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67" w:rightChars="-127"/>
        <w:jc w:val="right"/>
        <w:rPr>
          <w:color w:val="000000" w:themeColor="text1"/>
          <w:sz w:val="28"/>
          <w:szCs w:val="28"/>
        </w:rPr>
      </w:pPr>
      <w:r>
        <w:rPr>
          <w:rFonts w:hint="eastAsia"/>
          <w:color w:val="000000" w:themeColor="text1"/>
          <w:sz w:val="28"/>
          <w:szCs w:val="28"/>
        </w:rPr>
        <w:t>国环评证乙字第2741号</w:t>
      </w:r>
    </w:p>
    <w:p>
      <w:pPr>
        <w:jc w:val="center"/>
        <w:rPr>
          <w:rFonts w:ascii="宋体" w:hAnsi="宋体"/>
          <w:b/>
          <w:color w:val="000000"/>
          <w:sz w:val="72"/>
          <w:szCs w:val="72"/>
        </w:rPr>
      </w:pPr>
    </w:p>
    <w:p>
      <w:pPr>
        <w:jc w:val="center"/>
        <w:rPr>
          <w:rFonts w:ascii="宋体" w:hAnsi="宋体"/>
          <w:b/>
          <w:color w:val="000000"/>
          <w:sz w:val="72"/>
          <w:szCs w:val="72"/>
        </w:rPr>
      </w:pPr>
    </w:p>
    <w:p>
      <w:pPr>
        <w:jc w:val="center"/>
        <w:rPr>
          <w:b/>
          <w:color w:val="000000" w:themeColor="text1"/>
          <w:sz w:val="52"/>
          <w:szCs w:val="52"/>
        </w:rPr>
      </w:pPr>
      <w:r>
        <w:rPr>
          <w:rFonts w:hint="eastAsia" w:ascii="宋体" w:hAnsi="宋体"/>
          <w:b/>
          <w:color w:val="000000" w:themeColor="text1"/>
          <w:sz w:val="52"/>
          <w:szCs w:val="52"/>
        </w:rPr>
        <w:t>洪江市龙标洲际大酒店</w:t>
      </w:r>
      <w:r>
        <w:rPr>
          <w:b/>
          <w:color w:val="000000" w:themeColor="text1"/>
          <w:sz w:val="52"/>
          <w:szCs w:val="52"/>
        </w:rPr>
        <w:t>建设</w:t>
      </w:r>
    </w:p>
    <w:p>
      <w:pPr>
        <w:jc w:val="center"/>
        <w:rPr>
          <w:b/>
          <w:color w:val="000000" w:themeColor="text1"/>
          <w:sz w:val="48"/>
          <w:szCs w:val="48"/>
        </w:rPr>
      </w:pPr>
      <w:r>
        <w:rPr>
          <w:b/>
          <w:color w:val="000000" w:themeColor="text1"/>
          <w:sz w:val="52"/>
          <w:szCs w:val="52"/>
        </w:rPr>
        <w:t>项目环境影响报告表</w:t>
      </w:r>
    </w:p>
    <w:p>
      <w:pPr>
        <w:spacing w:beforeLines="50" w:line="360" w:lineRule="auto"/>
        <w:jc w:val="center"/>
        <w:outlineLvl w:val="0"/>
        <w:rPr>
          <w:rFonts w:ascii="宋体" w:hAnsi="宋体"/>
          <w:b/>
          <w:color w:val="000000"/>
          <w:sz w:val="32"/>
        </w:rPr>
      </w:pPr>
    </w:p>
    <w:p>
      <w:pPr>
        <w:spacing w:line="360" w:lineRule="auto"/>
        <w:rPr>
          <w:rFonts w:ascii="宋体" w:hAnsi="宋体"/>
          <w:color w:val="000000"/>
          <w:sz w:val="36"/>
          <w:u w:val="single"/>
        </w:rPr>
      </w:pPr>
    </w:p>
    <w:p>
      <w:pPr>
        <w:spacing w:line="360" w:lineRule="auto"/>
        <w:rPr>
          <w:rFonts w:ascii="宋体" w:hAnsi="宋体"/>
          <w:color w:val="000000"/>
          <w:sz w:val="36"/>
          <w:u w:val="single"/>
        </w:rPr>
      </w:pPr>
    </w:p>
    <w:p>
      <w:pPr>
        <w:spacing w:line="360" w:lineRule="auto"/>
        <w:rPr>
          <w:rFonts w:ascii="宋体" w:hAnsi="宋体"/>
          <w:color w:val="000000"/>
          <w:sz w:val="36"/>
          <w:u w:val="single"/>
        </w:rPr>
      </w:pPr>
    </w:p>
    <w:p>
      <w:pPr>
        <w:spacing w:line="360" w:lineRule="auto"/>
        <w:rPr>
          <w:rFonts w:ascii="宋体" w:hAnsi="宋体"/>
          <w:color w:val="000000"/>
          <w:sz w:val="36"/>
          <w:u w:val="single"/>
        </w:rPr>
      </w:pPr>
    </w:p>
    <w:p>
      <w:pPr>
        <w:spacing w:line="360" w:lineRule="auto"/>
        <w:rPr>
          <w:rFonts w:ascii="宋体" w:hAnsi="宋体"/>
          <w:color w:val="000000"/>
          <w:sz w:val="36"/>
          <w:u w:val="single"/>
        </w:rPr>
      </w:pPr>
    </w:p>
    <w:p>
      <w:pPr>
        <w:spacing w:line="360" w:lineRule="auto"/>
        <w:ind w:left="3022" w:leftChars="299" w:hanging="2394" w:hangingChars="795"/>
        <w:rPr>
          <w:b/>
          <w:color w:val="000000" w:themeColor="text1"/>
          <w:sz w:val="30"/>
          <w:szCs w:val="30"/>
        </w:rPr>
      </w:pPr>
    </w:p>
    <w:p>
      <w:pPr>
        <w:spacing w:line="360" w:lineRule="auto"/>
        <w:ind w:left="3022" w:leftChars="299" w:hanging="2394" w:hangingChars="795"/>
        <w:rPr>
          <w:b/>
          <w:color w:val="000000" w:themeColor="text1"/>
          <w:sz w:val="30"/>
          <w:szCs w:val="30"/>
        </w:rPr>
      </w:pPr>
      <w:r>
        <w:rPr>
          <w:b/>
          <w:color w:val="000000" w:themeColor="text1"/>
          <w:sz w:val="30"/>
          <w:szCs w:val="30"/>
        </w:rPr>
        <w:t>建设单位</w:t>
      </w:r>
      <w:r>
        <w:rPr>
          <w:rFonts w:hint="eastAsia"/>
          <w:b/>
          <w:color w:val="000000" w:themeColor="text1"/>
          <w:sz w:val="30"/>
          <w:szCs w:val="30"/>
        </w:rPr>
        <w:t>: 洪江市城市建设投资有限责任公司</w:t>
      </w:r>
    </w:p>
    <w:p>
      <w:pPr>
        <w:spacing w:line="360" w:lineRule="auto"/>
        <w:ind w:left="3022" w:leftChars="299" w:hanging="2394" w:hangingChars="795"/>
        <w:rPr>
          <w:b/>
          <w:color w:val="000000" w:themeColor="text1"/>
          <w:sz w:val="30"/>
          <w:szCs w:val="30"/>
        </w:rPr>
      </w:pPr>
      <w:r>
        <w:rPr>
          <w:rFonts w:hint="eastAsia"/>
          <w:b/>
          <w:color w:val="000000" w:themeColor="text1"/>
          <w:sz w:val="30"/>
          <w:szCs w:val="30"/>
        </w:rPr>
        <w:t xml:space="preserve">编制单位：湖南汇恒环境保护科技发展有限公司  </w:t>
      </w:r>
    </w:p>
    <w:p>
      <w:pPr>
        <w:spacing w:line="360" w:lineRule="auto"/>
        <w:ind w:left="3022" w:leftChars="299" w:hanging="2394" w:hangingChars="795"/>
        <w:rPr>
          <w:b/>
          <w:color w:val="000000" w:themeColor="text1"/>
          <w:sz w:val="30"/>
          <w:szCs w:val="30"/>
        </w:rPr>
      </w:pPr>
      <w:r>
        <w:rPr>
          <w:rFonts w:hint="eastAsia"/>
          <w:b/>
          <w:color w:val="000000" w:themeColor="text1"/>
          <w:sz w:val="30"/>
          <w:szCs w:val="30"/>
        </w:rPr>
        <w:t>编制</w:t>
      </w:r>
      <w:r>
        <w:rPr>
          <w:b/>
          <w:color w:val="000000" w:themeColor="text1"/>
          <w:sz w:val="30"/>
          <w:szCs w:val="30"/>
        </w:rPr>
        <w:t>单位:</w:t>
      </w:r>
      <w:r>
        <w:rPr>
          <w:rFonts w:hint="eastAsia"/>
          <w:b/>
          <w:color w:val="000000" w:themeColor="text1"/>
          <w:sz w:val="30"/>
          <w:szCs w:val="30"/>
        </w:rPr>
        <w:t xml:space="preserve"> </w:t>
      </w:r>
      <w:r>
        <w:rPr>
          <w:b/>
          <w:color w:val="000000" w:themeColor="text1"/>
          <w:sz w:val="30"/>
          <w:szCs w:val="30"/>
        </w:rPr>
        <w:t>湖南汇恒环境保护科技发展有限公司</w:t>
      </w:r>
    </w:p>
    <w:p>
      <w:pPr>
        <w:spacing w:line="360" w:lineRule="auto"/>
        <w:rPr>
          <w:rFonts w:ascii="宋体" w:hAnsi="宋体"/>
          <w:color w:val="000000"/>
          <w:sz w:val="32"/>
          <w:u w:val="single"/>
        </w:rPr>
      </w:pPr>
    </w:p>
    <w:p>
      <w:pPr>
        <w:spacing w:line="360" w:lineRule="auto"/>
        <w:rPr>
          <w:rFonts w:ascii="宋体" w:hAnsi="宋体"/>
          <w:color w:val="000000"/>
          <w:sz w:val="32"/>
          <w:u w:val="single"/>
        </w:rPr>
      </w:pPr>
    </w:p>
    <w:p>
      <w:pPr>
        <w:spacing w:line="360" w:lineRule="auto"/>
        <w:jc w:val="center"/>
        <w:rPr>
          <w:rFonts w:ascii="宋体" w:hAnsi="宋体"/>
          <w:b/>
          <w:color w:val="000000"/>
          <w:sz w:val="32"/>
        </w:rPr>
      </w:pPr>
      <w:r>
        <w:rPr>
          <w:rFonts w:ascii="宋体" w:hAnsi="宋体"/>
          <w:b/>
          <w:color w:val="000000"/>
          <w:sz w:val="32"/>
        </w:rPr>
        <w:t>编制日期：二〇一</w:t>
      </w:r>
      <w:r>
        <w:rPr>
          <w:rFonts w:hint="eastAsia" w:ascii="宋体" w:hAnsi="宋体"/>
          <w:b/>
          <w:color w:val="000000"/>
          <w:sz w:val="32"/>
        </w:rPr>
        <w:t>八</w:t>
      </w:r>
      <w:r>
        <w:rPr>
          <w:rFonts w:ascii="宋体" w:hAnsi="宋体"/>
          <w:b/>
          <w:color w:val="000000"/>
          <w:sz w:val="32"/>
        </w:rPr>
        <w:t>年</w:t>
      </w:r>
      <w:r>
        <w:rPr>
          <w:rFonts w:hint="eastAsia" w:ascii="宋体" w:hAnsi="宋体"/>
          <w:b/>
          <w:color w:val="000000"/>
          <w:sz w:val="32"/>
        </w:rPr>
        <w:t>四</w:t>
      </w:r>
      <w:r>
        <w:rPr>
          <w:rFonts w:ascii="宋体" w:hAnsi="宋体"/>
          <w:b/>
          <w:color w:val="000000"/>
          <w:sz w:val="32"/>
        </w:rPr>
        <w:t>月</w:t>
      </w:r>
    </w:p>
    <w:p>
      <w:pPr>
        <w:spacing w:line="360" w:lineRule="auto"/>
        <w:jc w:val="center"/>
        <w:rPr>
          <w:rFonts w:ascii="宋体" w:hAnsi="宋体"/>
          <w:b/>
          <w:color w:val="000000"/>
          <w:sz w:val="32"/>
        </w:rPr>
      </w:pPr>
      <w:r>
        <w:rPr>
          <w:rFonts w:ascii="宋体" w:hAnsi="宋体"/>
          <w:b/>
          <w:color w:val="000000"/>
          <w:sz w:val="32"/>
        </w:rPr>
        <w:t>中华人民共和国环境保护部制</w:t>
      </w:r>
    </w:p>
    <w:p>
      <w:pPr>
        <w:spacing w:line="360" w:lineRule="auto"/>
        <w:rPr>
          <w:rFonts w:ascii="宋体" w:hAnsi="宋体"/>
          <w:b/>
          <w:color w:val="000000"/>
          <w:sz w:val="24"/>
        </w:rPr>
        <w:sectPr>
          <w:headerReference r:id="rId5" w:type="first"/>
          <w:headerReference r:id="rId3" w:type="default"/>
          <w:footerReference r:id="rId6" w:type="default"/>
          <w:headerReference r:id="rId4" w:type="even"/>
          <w:footerReference r:id="rId7" w:type="even"/>
          <w:pgSz w:w="11906" w:h="16838"/>
          <w:pgMar w:top="1440" w:right="1080" w:bottom="1440" w:left="1080" w:header="851" w:footer="992" w:gutter="0"/>
          <w:pgNumType w:start="1"/>
          <w:cols w:space="720" w:num="1"/>
          <w:docGrid w:linePitch="312" w:charSpace="0"/>
        </w:sectPr>
      </w:pPr>
    </w:p>
    <w:p>
      <w:pPr>
        <w:spacing w:line="360" w:lineRule="auto"/>
        <w:jc w:val="center"/>
        <w:rPr>
          <w:b/>
          <w:color w:val="000000" w:themeColor="text1"/>
          <w:sz w:val="28"/>
          <w:szCs w:val="28"/>
        </w:rPr>
      </w:pPr>
    </w:p>
    <w:p>
      <w:pPr>
        <w:spacing w:line="360" w:lineRule="auto"/>
        <w:jc w:val="center"/>
        <w:rPr>
          <w:b/>
          <w:color w:val="000000" w:themeColor="text1"/>
          <w:sz w:val="28"/>
          <w:szCs w:val="28"/>
        </w:rPr>
      </w:pPr>
      <w:r>
        <w:rPr>
          <w:b/>
          <w:color w:val="000000" w:themeColor="text1"/>
          <w:sz w:val="28"/>
          <w:szCs w:val="28"/>
        </w:rPr>
        <w:t>目</w:t>
      </w:r>
      <w:r>
        <w:rPr>
          <w:rFonts w:hint="eastAsia"/>
          <w:b/>
          <w:color w:val="000000" w:themeColor="text1"/>
          <w:sz w:val="28"/>
          <w:szCs w:val="28"/>
        </w:rPr>
        <w:t xml:space="preserve"> </w:t>
      </w:r>
      <w:r>
        <w:rPr>
          <w:b/>
          <w:color w:val="000000" w:themeColor="text1"/>
          <w:sz w:val="28"/>
          <w:szCs w:val="28"/>
        </w:rPr>
        <w:t>录</w:t>
      </w:r>
    </w:p>
    <w:p>
      <w:pPr>
        <w:pStyle w:val="25"/>
        <w:tabs>
          <w:tab w:val="right" w:leader="dot" w:pos="8495"/>
        </w:tabs>
        <w:rPr>
          <w:rFonts w:asciiTheme="minorHAnsi" w:hAnsiTheme="minorHAnsi" w:eastAsiaTheme="minorEastAsia" w:cstheme="minorBidi"/>
          <w:color w:val="000000" w:themeColor="text1"/>
          <w:sz w:val="21"/>
          <w:szCs w:val="22"/>
        </w:rPr>
      </w:pPr>
      <w:r>
        <w:rPr>
          <w:b/>
          <w:color w:val="FF0000"/>
        </w:rPr>
        <w:fldChar w:fldCharType="begin"/>
      </w:r>
      <w:r>
        <w:rPr>
          <w:b/>
          <w:color w:val="FF0000"/>
        </w:rPr>
        <w:instrText xml:space="preserve"> TOC \o "1-1" \h \z \u </w:instrText>
      </w:r>
      <w:r>
        <w:rPr>
          <w:b/>
          <w:color w:val="FF0000"/>
        </w:rPr>
        <w:fldChar w:fldCharType="separate"/>
      </w:r>
      <w:r>
        <w:fldChar w:fldCharType="begin"/>
      </w:r>
      <w:r>
        <w:instrText xml:space="preserve"> HYPERLINK \l "_Toc507679067" </w:instrText>
      </w:r>
      <w:r>
        <w:fldChar w:fldCharType="separate"/>
      </w:r>
      <w:r>
        <w:rPr>
          <w:rStyle w:val="40"/>
          <w:rFonts w:hint="eastAsia"/>
          <w:color w:val="000000" w:themeColor="text1"/>
        </w:rPr>
        <w:t>建设项目基本情况</w:t>
      </w:r>
      <w:r>
        <w:rPr>
          <w:color w:val="000000" w:themeColor="text1"/>
        </w:rPr>
        <w:tab/>
      </w:r>
      <w:r>
        <w:rPr>
          <w:rFonts w:hint="eastAsia"/>
          <w:color w:val="000000" w:themeColor="text1"/>
          <w:lang w:val="en-US" w:eastAsia="zh-CN"/>
        </w:rPr>
        <w:t>1</w:t>
      </w:r>
      <w:r>
        <w:rPr>
          <w:color w:val="000000" w:themeColor="text1"/>
        </w:rPr>
        <w:fldChar w:fldCharType="end"/>
      </w:r>
    </w:p>
    <w:p>
      <w:pPr>
        <w:pStyle w:val="25"/>
        <w:tabs>
          <w:tab w:val="right" w:leader="dot" w:pos="8495"/>
        </w:tabs>
        <w:rPr>
          <w:rFonts w:asciiTheme="minorHAnsi" w:hAnsiTheme="minorHAnsi" w:eastAsiaTheme="minorEastAsia" w:cstheme="minorBidi"/>
          <w:color w:val="000000" w:themeColor="text1"/>
          <w:sz w:val="21"/>
          <w:szCs w:val="22"/>
        </w:rPr>
      </w:pPr>
      <w:r>
        <w:fldChar w:fldCharType="begin"/>
      </w:r>
      <w:r>
        <w:instrText xml:space="preserve"> HYPERLINK \l "_Toc507679068" </w:instrText>
      </w:r>
      <w:r>
        <w:fldChar w:fldCharType="separate"/>
      </w:r>
      <w:r>
        <w:rPr>
          <w:rStyle w:val="40"/>
          <w:rFonts w:hint="eastAsia"/>
          <w:color w:val="000000" w:themeColor="text1"/>
        </w:rPr>
        <w:t>项目所在地自然环境与社会环境简况</w:t>
      </w:r>
      <w:r>
        <w:rPr>
          <w:color w:val="000000" w:themeColor="text1"/>
        </w:rPr>
        <w:tab/>
      </w:r>
      <w:r>
        <w:rPr>
          <w:rFonts w:hint="eastAsia"/>
          <w:color w:val="000000" w:themeColor="text1"/>
        </w:rPr>
        <w:t>8</w:t>
      </w:r>
      <w:r>
        <w:rPr>
          <w:rFonts w:hint="eastAsia"/>
          <w:color w:val="000000" w:themeColor="text1"/>
        </w:rPr>
        <w:fldChar w:fldCharType="end"/>
      </w:r>
    </w:p>
    <w:p>
      <w:pPr>
        <w:pStyle w:val="25"/>
        <w:tabs>
          <w:tab w:val="right" w:leader="dot" w:pos="8495"/>
        </w:tabs>
        <w:rPr>
          <w:rFonts w:asciiTheme="minorHAnsi" w:hAnsiTheme="minorHAnsi" w:eastAsiaTheme="minorEastAsia" w:cstheme="minorBidi"/>
          <w:color w:val="000000" w:themeColor="text1"/>
          <w:sz w:val="21"/>
          <w:szCs w:val="22"/>
        </w:rPr>
      </w:pPr>
      <w:r>
        <w:fldChar w:fldCharType="begin"/>
      </w:r>
      <w:r>
        <w:instrText xml:space="preserve"> HYPERLINK \l "_Toc507679069" </w:instrText>
      </w:r>
      <w:r>
        <w:fldChar w:fldCharType="separate"/>
      </w:r>
      <w:r>
        <w:rPr>
          <w:rStyle w:val="40"/>
          <w:rFonts w:hint="eastAsia"/>
          <w:color w:val="000000" w:themeColor="text1"/>
        </w:rPr>
        <w:t>环境质量现状</w:t>
      </w:r>
      <w:r>
        <w:rPr>
          <w:color w:val="000000" w:themeColor="text1"/>
        </w:rPr>
        <w:tab/>
      </w:r>
      <w:r>
        <w:rPr>
          <w:rFonts w:hint="eastAsia"/>
          <w:color w:val="000000" w:themeColor="text1"/>
        </w:rPr>
        <w:t xml:space="preserve"> </w:t>
      </w:r>
      <w:r>
        <w:rPr>
          <w:color w:val="000000" w:themeColor="text1"/>
        </w:rPr>
        <w:fldChar w:fldCharType="end"/>
      </w:r>
      <w:r>
        <w:rPr>
          <w:rFonts w:hint="eastAsia"/>
          <w:color w:val="000000" w:themeColor="text1"/>
          <w:lang w:val="en-US" w:eastAsia="zh-CN"/>
        </w:rPr>
        <w:t>13</w:t>
      </w:r>
    </w:p>
    <w:p>
      <w:pPr>
        <w:pStyle w:val="25"/>
        <w:tabs>
          <w:tab w:val="right" w:leader="dot" w:pos="8495"/>
        </w:tabs>
        <w:rPr>
          <w:rFonts w:asciiTheme="minorHAnsi" w:hAnsiTheme="minorHAnsi" w:eastAsiaTheme="minorEastAsia" w:cstheme="minorBidi"/>
          <w:color w:val="000000" w:themeColor="text1"/>
          <w:sz w:val="21"/>
          <w:szCs w:val="22"/>
        </w:rPr>
      </w:pPr>
      <w:r>
        <w:fldChar w:fldCharType="begin"/>
      </w:r>
      <w:r>
        <w:instrText xml:space="preserve"> HYPERLINK \l "_Toc507679070" </w:instrText>
      </w:r>
      <w:r>
        <w:fldChar w:fldCharType="separate"/>
      </w:r>
      <w:r>
        <w:rPr>
          <w:rStyle w:val="40"/>
          <w:rFonts w:hint="eastAsia"/>
          <w:color w:val="000000" w:themeColor="text1"/>
        </w:rPr>
        <w:t>评价适用标准</w:t>
      </w:r>
      <w:r>
        <w:rPr>
          <w:color w:val="000000" w:themeColor="text1"/>
        </w:rPr>
        <w:tab/>
      </w:r>
      <w:r>
        <w:rPr>
          <w:rFonts w:hint="eastAsia"/>
          <w:color w:val="000000" w:themeColor="text1"/>
          <w:lang w:val="en-US" w:eastAsia="zh-CN"/>
        </w:rPr>
        <w:t>1</w:t>
      </w:r>
      <w:r>
        <w:rPr>
          <w:color w:val="000000" w:themeColor="text1"/>
        </w:rPr>
        <w:fldChar w:fldCharType="end"/>
      </w:r>
      <w:r>
        <w:rPr>
          <w:rFonts w:hint="eastAsia"/>
          <w:color w:val="000000" w:themeColor="text1"/>
          <w:lang w:val="en-US" w:eastAsia="zh-CN"/>
        </w:rPr>
        <w:t>6</w:t>
      </w:r>
    </w:p>
    <w:p>
      <w:pPr>
        <w:pStyle w:val="25"/>
        <w:tabs>
          <w:tab w:val="right" w:leader="dot" w:pos="8495"/>
        </w:tabs>
        <w:rPr>
          <w:rFonts w:asciiTheme="minorHAnsi" w:hAnsiTheme="minorHAnsi" w:eastAsiaTheme="minorEastAsia" w:cstheme="minorBidi"/>
          <w:color w:val="000000" w:themeColor="text1"/>
          <w:sz w:val="21"/>
          <w:szCs w:val="22"/>
        </w:rPr>
      </w:pPr>
      <w:r>
        <w:fldChar w:fldCharType="begin"/>
      </w:r>
      <w:r>
        <w:instrText xml:space="preserve"> HYPERLINK \l "_Toc507679071" </w:instrText>
      </w:r>
      <w:r>
        <w:fldChar w:fldCharType="separate"/>
      </w:r>
      <w:r>
        <w:rPr>
          <w:rStyle w:val="40"/>
          <w:rFonts w:hint="eastAsia"/>
          <w:color w:val="000000" w:themeColor="text1"/>
        </w:rPr>
        <w:t>建设建设工程分析</w:t>
      </w:r>
      <w:r>
        <w:rPr>
          <w:color w:val="000000" w:themeColor="text1"/>
        </w:rPr>
        <w:tab/>
      </w:r>
      <w:r>
        <w:rPr>
          <w:rFonts w:hint="eastAsia"/>
          <w:color w:val="000000" w:themeColor="text1"/>
          <w:lang w:val="en-US" w:eastAsia="zh-CN"/>
        </w:rPr>
        <w:t>1</w:t>
      </w:r>
      <w:r>
        <w:rPr>
          <w:rFonts w:hint="eastAsia"/>
          <w:color w:val="000000" w:themeColor="text1"/>
        </w:rPr>
        <w:fldChar w:fldCharType="end"/>
      </w:r>
      <w:r>
        <w:rPr>
          <w:rFonts w:hint="eastAsia"/>
          <w:color w:val="000000" w:themeColor="text1"/>
          <w:lang w:val="en-US" w:eastAsia="zh-CN"/>
        </w:rPr>
        <w:t>7</w:t>
      </w:r>
    </w:p>
    <w:p>
      <w:pPr>
        <w:pStyle w:val="25"/>
        <w:tabs>
          <w:tab w:val="right" w:leader="dot" w:pos="8495"/>
        </w:tabs>
        <w:rPr>
          <w:rFonts w:asciiTheme="minorHAnsi" w:hAnsiTheme="minorHAnsi" w:eastAsiaTheme="minorEastAsia" w:cstheme="minorBidi"/>
          <w:color w:val="000000" w:themeColor="text1"/>
          <w:sz w:val="21"/>
          <w:szCs w:val="22"/>
        </w:rPr>
      </w:pPr>
      <w:r>
        <w:fldChar w:fldCharType="begin"/>
      </w:r>
      <w:r>
        <w:instrText xml:space="preserve"> HYPERLINK \l "_Toc507679072" </w:instrText>
      </w:r>
      <w:r>
        <w:fldChar w:fldCharType="separate"/>
      </w:r>
      <w:r>
        <w:rPr>
          <w:rStyle w:val="40"/>
          <w:rFonts w:hint="eastAsia"/>
          <w:color w:val="000000" w:themeColor="text1"/>
        </w:rPr>
        <w:t>项目主要污染物产生及预计排放情况</w:t>
      </w:r>
      <w:r>
        <w:rPr>
          <w:color w:val="000000" w:themeColor="text1"/>
        </w:rPr>
        <w:tab/>
      </w:r>
      <w:r>
        <w:rPr>
          <w:rFonts w:hint="eastAsia"/>
          <w:color w:val="000000" w:themeColor="text1"/>
        </w:rPr>
        <w:t>25</w:t>
      </w:r>
      <w:r>
        <w:rPr>
          <w:rFonts w:hint="eastAsia"/>
          <w:color w:val="000000" w:themeColor="text1"/>
        </w:rPr>
        <w:fldChar w:fldCharType="end"/>
      </w:r>
    </w:p>
    <w:p>
      <w:pPr>
        <w:pStyle w:val="25"/>
        <w:tabs>
          <w:tab w:val="right" w:leader="dot" w:pos="8495"/>
        </w:tabs>
        <w:rPr>
          <w:color w:val="000000" w:themeColor="text1"/>
        </w:rPr>
      </w:pPr>
      <w:r>
        <w:fldChar w:fldCharType="begin"/>
      </w:r>
      <w:r>
        <w:instrText xml:space="preserve"> HYPERLINK \l "_Toc507679073" </w:instrText>
      </w:r>
      <w:r>
        <w:fldChar w:fldCharType="separate"/>
      </w:r>
      <w:r>
        <w:rPr>
          <w:rStyle w:val="40"/>
          <w:rFonts w:hint="eastAsia"/>
          <w:color w:val="000000" w:themeColor="text1"/>
        </w:rPr>
        <w:t>环境影响分析</w:t>
      </w:r>
      <w:r>
        <w:rPr>
          <w:color w:val="000000" w:themeColor="text1"/>
        </w:rPr>
        <w:tab/>
      </w:r>
      <w:r>
        <w:rPr>
          <w:rFonts w:hint="eastAsia"/>
          <w:color w:val="000000" w:themeColor="text1"/>
        </w:rPr>
        <w:t>26</w:t>
      </w:r>
      <w:r>
        <w:rPr>
          <w:rFonts w:hint="eastAsia"/>
          <w:color w:val="000000" w:themeColor="text1"/>
        </w:rPr>
        <w:fldChar w:fldCharType="end"/>
      </w:r>
    </w:p>
    <w:p>
      <w:pPr>
        <w:pStyle w:val="25"/>
        <w:tabs>
          <w:tab w:val="right" w:leader="dot" w:pos="8495"/>
        </w:tabs>
        <w:rPr>
          <w:color w:val="000000" w:themeColor="text1"/>
        </w:rPr>
      </w:pPr>
      <w:r>
        <w:fldChar w:fldCharType="begin"/>
      </w:r>
      <w:r>
        <w:instrText xml:space="preserve"> HYPERLINK \l "_Toc507679073" </w:instrText>
      </w:r>
      <w:r>
        <w:fldChar w:fldCharType="separate"/>
      </w:r>
      <w:r>
        <w:rPr>
          <w:rStyle w:val="40"/>
          <w:rFonts w:hint="eastAsia"/>
          <w:color w:val="000000" w:themeColor="text1"/>
        </w:rPr>
        <w:t>建设项目拟采取的防治措施及预期治理效果</w:t>
      </w:r>
      <w:r>
        <w:rPr>
          <w:color w:val="000000" w:themeColor="text1"/>
        </w:rPr>
        <w:tab/>
      </w:r>
      <w:r>
        <w:rPr>
          <w:rFonts w:hint="eastAsia"/>
          <w:color w:val="000000" w:themeColor="text1"/>
        </w:rPr>
        <w:t>4</w:t>
      </w:r>
      <w:r>
        <w:rPr>
          <w:rFonts w:hint="eastAsia"/>
          <w:color w:val="000000" w:themeColor="text1"/>
          <w:lang w:val="en-US" w:eastAsia="zh-CN"/>
        </w:rPr>
        <w:t>4</w:t>
      </w:r>
      <w:r>
        <w:rPr>
          <w:rFonts w:hint="eastAsia"/>
          <w:color w:val="000000" w:themeColor="text1"/>
        </w:rPr>
        <w:fldChar w:fldCharType="end"/>
      </w:r>
    </w:p>
    <w:p>
      <w:pPr>
        <w:pStyle w:val="25"/>
        <w:tabs>
          <w:tab w:val="right" w:leader="dot" w:pos="8495"/>
        </w:tabs>
        <w:rPr>
          <w:rFonts w:asciiTheme="minorHAnsi" w:hAnsiTheme="minorHAnsi" w:eastAsiaTheme="minorEastAsia" w:cstheme="minorBidi"/>
          <w:color w:val="FF0000"/>
          <w:sz w:val="21"/>
          <w:szCs w:val="22"/>
        </w:rPr>
      </w:pPr>
      <w:r>
        <w:fldChar w:fldCharType="begin"/>
      </w:r>
      <w:r>
        <w:instrText xml:space="preserve"> HYPERLINK \l "_Toc507679074" </w:instrText>
      </w:r>
      <w:r>
        <w:fldChar w:fldCharType="separate"/>
      </w:r>
      <w:r>
        <w:rPr>
          <w:rStyle w:val="40"/>
          <w:rFonts w:hint="eastAsia"/>
          <w:color w:val="000000" w:themeColor="text1"/>
        </w:rPr>
        <w:t>结论和建议</w:t>
      </w:r>
      <w:r>
        <w:rPr>
          <w:color w:val="000000" w:themeColor="text1"/>
        </w:rPr>
        <w:tab/>
      </w:r>
      <w:r>
        <w:rPr>
          <w:rFonts w:hint="eastAsia"/>
          <w:color w:val="000000" w:themeColor="text1"/>
        </w:rPr>
        <w:t>4</w:t>
      </w:r>
      <w:r>
        <w:rPr>
          <w:rFonts w:hint="eastAsia"/>
          <w:color w:val="000000" w:themeColor="text1"/>
          <w:lang w:val="en-US" w:eastAsia="zh-CN"/>
        </w:rPr>
        <w:t>5</w:t>
      </w:r>
      <w:r>
        <w:rPr>
          <w:rFonts w:hint="eastAsia"/>
          <w:color w:val="000000" w:themeColor="text1"/>
        </w:rPr>
        <w:fldChar w:fldCharType="end"/>
      </w:r>
    </w:p>
    <w:p>
      <w:pPr>
        <w:spacing w:line="460" w:lineRule="exact"/>
        <w:rPr>
          <w:color w:val="000000" w:themeColor="text1"/>
          <w:sz w:val="24"/>
        </w:rPr>
      </w:pPr>
      <w:r>
        <w:rPr>
          <w:b/>
          <w:color w:val="FF0000"/>
          <w:sz w:val="24"/>
        </w:rPr>
        <w:fldChar w:fldCharType="end"/>
      </w:r>
      <w:r>
        <w:rPr>
          <w:rFonts w:hint="eastAsia"/>
          <w:color w:val="000000" w:themeColor="text1"/>
          <w:sz w:val="24"/>
        </w:rPr>
        <w:t xml:space="preserve"> </w:t>
      </w:r>
    </w:p>
    <w:p>
      <w:pPr>
        <w:spacing w:line="460" w:lineRule="exact"/>
        <w:rPr>
          <w:b/>
          <w:color w:val="000000" w:themeColor="text1"/>
          <w:sz w:val="28"/>
        </w:rPr>
      </w:pPr>
      <w:r>
        <w:rPr>
          <w:rFonts w:hint="eastAsia"/>
          <w:b/>
          <w:color w:val="000000" w:themeColor="text1"/>
          <w:sz w:val="28"/>
        </w:rPr>
        <w:t>附图</w:t>
      </w:r>
    </w:p>
    <w:p>
      <w:pPr>
        <w:spacing w:line="460" w:lineRule="exact"/>
        <w:rPr>
          <w:color w:val="000000" w:themeColor="text1"/>
          <w:sz w:val="24"/>
        </w:rPr>
      </w:pPr>
      <w:r>
        <w:rPr>
          <w:color w:val="000000" w:themeColor="text1"/>
          <w:sz w:val="24"/>
        </w:rPr>
        <w:t>附图1  项目地理位置图</w:t>
      </w:r>
    </w:p>
    <w:p>
      <w:pPr>
        <w:spacing w:line="460" w:lineRule="exact"/>
        <w:rPr>
          <w:color w:val="000000" w:themeColor="text1"/>
          <w:sz w:val="24"/>
        </w:rPr>
      </w:pPr>
      <w:r>
        <w:rPr>
          <w:color w:val="000000" w:themeColor="text1"/>
          <w:sz w:val="24"/>
        </w:rPr>
        <w:t>附图</w:t>
      </w:r>
      <w:r>
        <w:rPr>
          <w:rFonts w:hint="eastAsia"/>
          <w:color w:val="000000" w:themeColor="text1"/>
          <w:sz w:val="24"/>
        </w:rPr>
        <w:t>2</w:t>
      </w:r>
      <w:r>
        <w:rPr>
          <w:color w:val="000000" w:themeColor="text1"/>
          <w:sz w:val="24"/>
        </w:rPr>
        <w:t xml:space="preserve">  项目</w:t>
      </w:r>
      <w:r>
        <w:rPr>
          <w:rFonts w:hint="eastAsia"/>
          <w:color w:val="000000" w:themeColor="text1"/>
          <w:sz w:val="24"/>
        </w:rPr>
        <w:t>总</w:t>
      </w:r>
      <w:r>
        <w:rPr>
          <w:color w:val="000000" w:themeColor="text1"/>
          <w:sz w:val="24"/>
        </w:rPr>
        <w:t>平面布置图</w:t>
      </w:r>
    </w:p>
    <w:p>
      <w:pPr>
        <w:spacing w:line="460" w:lineRule="exact"/>
        <w:rPr>
          <w:color w:val="000000" w:themeColor="text1"/>
          <w:sz w:val="24"/>
        </w:rPr>
      </w:pPr>
      <w:r>
        <w:rPr>
          <w:rFonts w:hint="eastAsia"/>
          <w:color w:val="000000" w:themeColor="text1"/>
          <w:sz w:val="24"/>
        </w:rPr>
        <w:t>附图3  项目监测点位图</w:t>
      </w:r>
    </w:p>
    <w:p>
      <w:pPr>
        <w:spacing w:line="460" w:lineRule="exact"/>
        <w:rPr>
          <w:color w:val="000000" w:themeColor="text1"/>
          <w:sz w:val="24"/>
        </w:rPr>
      </w:pPr>
      <w:r>
        <w:rPr>
          <w:rFonts w:hint="eastAsia"/>
          <w:color w:val="000000" w:themeColor="text1"/>
          <w:sz w:val="24"/>
        </w:rPr>
        <w:t>附图4  环境保护目标图</w:t>
      </w:r>
    </w:p>
    <w:p>
      <w:pPr>
        <w:spacing w:line="460" w:lineRule="exact"/>
        <w:rPr>
          <w:color w:val="000000" w:themeColor="text1"/>
          <w:sz w:val="24"/>
        </w:rPr>
      </w:pPr>
      <w:r>
        <w:rPr>
          <w:rFonts w:hint="eastAsia"/>
          <w:color w:val="000000" w:themeColor="text1"/>
          <w:sz w:val="24"/>
        </w:rPr>
        <w:t>附图5  周边环境关系图</w:t>
      </w:r>
    </w:p>
    <w:p>
      <w:pPr>
        <w:spacing w:line="460" w:lineRule="exact"/>
        <w:rPr>
          <w:b/>
          <w:color w:val="000000" w:themeColor="text1"/>
          <w:sz w:val="28"/>
        </w:rPr>
      </w:pPr>
      <w:r>
        <w:rPr>
          <w:b/>
          <w:color w:val="000000" w:themeColor="text1"/>
          <w:sz w:val="28"/>
        </w:rPr>
        <w:t>附件</w:t>
      </w:r>
      <w:r>
        <w:rPr>
          <w:color w:val="000000" w:themeColor="text1"/>
        </w:rPr>
        <w:tab/>
      </w:r>
    </w:p>
    <w:p>
      <w:pPr>
        <w:spacing w:line="460" w:lineRule="exact"/>
        <w:rPr>
          <w:color w:val="000000" w:themeColor="text1"/>
          <w:sz w:val="24"/>
        </w:rPr>
      </w:pPr>
      <w:r>
        <w:rPr>
          <w:color w:val="000000" w:themeColor="text1"/>
          <w:sz w:val="24"/>
        </w:rPr>
        <w:t>附件1  委托书</w:t>
      </w:r>
    </w:p>
    <w:p>
      <w:pPr>
        <w:spacing w:line="460" w:lineRule="exact"/>
        <w:rPr>
          <w:color w:val="000000" w:themeColor="text1"/>
          <w:sz w:val="24"/>
        </w:rPr>
      </w:pPr>
      <w:r>
        <w:rPr>
          <w:color w:val="000000" w:themeColor="text1"/>
          <w:sz w:val="24"/>
        </w:rPr>
        <w:t xml:space="preserve">附件2  </w:t>
      </w:r>
      <w:r>
        <w:rPr>
          <w:rFonts w:hint="eastAsia"/>
          <w:color w:val="000000" w:themeColor="text1"/>
          <w:sz w:val="24"/>
        </w:rPr>
        <w:t>营业执照</w:t>
      </w:r>
    </w:p>
    <w:p>
      <w:pPr>
        <w:spacing w:line="460" w:lineRule="exact"/>
        <w:rPr>
          <w:color w:val="000000" w:themeColor="text1"/>
          <w:sz w:val="24"/>
        </w:rPr>
      </w:pPr>
      <w:r>
        <w:rPr>
          <w:color w:val="000000" w:themeColor="text1"/>
          <w:sz w:val="24"/>
        </w:rPr>
        <w:t>附件</w:t>
      </w:r>
      <w:r>
        <w:rPr>
          <w:rFonts w:hint="eastAsia"/>
          <w:color w:val="000000" w:themeColor="text1"/>
          <w:sz w:val="24"/>
        </w:rPr>
        <w:t>3</w:t>
      </w:r>
      <w:r>
        <w:rPr>
          <w:color w:val="000000" w:themeColor="text1"/>
          <w:sz w:val="24"/>
        </w:rPr>
        <w:t xml:space="preserve">  </w:t>
      </w:r>
      <w:r>
        <w:rPr>
          <w:rFonts w:hint="eastAsia"/>
          <w:color w:val="000000" w:themeColor="text1"/>
          <w:sz w:val="24"/>
        </w:rPr>
        <w:t>红线图</w:t>
      </w:r>
    </w:p>
    <w:p>
      <w:pPr>
        <w:spacing w:line="460" w:lineRule="exact"/>
        <w:rPr>
          <w:color w:val="000000" w:themeColor="text1"/>
          <w:sz w:val="24"/>
        </w:rPr>
      </w:pPr>
      <w:r>
        <w:rPr>
          <w:rFonts w:hint="eastAsia"/>
          <w:color w:val="000000" w:themeColor="text1"/>
          <w:sz w:val="24"/>
        </w:rPr>
        <w:t>附</w:t>
      </w:r>
      <w:r>
        <w:rPr>
          <w:color w:val="000000" w:themeColor="text1"/>
          <w:sz w:val="24"/>
        </w:rPr>
        <w:t>件</w:t>
      </w:r>
      <w:r>
        <w:rPr>
          <w:rFonts w:hint="eastAsia"/>
          <w:color w:val="000000" w:themeColor="text1"/>
          <w:sz w:val="24"/>
        </w:rPr>
        <w:t>4  洪发改【2017】123号</w:t>
      </w:r>
    </w:p>
    <w:p>
      <w:pPr>
        <w:spacing w:line="460" w:lineRule="exact"/>
        <w:rPr>
          <w:color w:val="000000" w:themeColor="text1"/>
          <w:sz w:val="24"/>
        </w:rPr>
      </w:pPr>
      <w:r>
        <w:rPr>
          <w:rFonts w:hint="eastAsia"/>
          <w:color w:val="000000" w:themeColor="text1"/>
          <w:sz w:val="24"/>
        </w:rPr>
        <w:t>附</w:t>
      </w:r>
      <w:r>
        <w:rPr>
          <w:color w:val="000000" w:themeColor="text1"/>
          <w:sz w:val="24"/>
        </w:rPr>
        <w:t>件</w:t>
      </w:r>
      <w:r>
        <w:rPr>
          <w:rFonts w:hint="eastAsia"/>
          <w:color w:val="000000" w:themeColor="text1"/>
          <w:sz w:val="24"/>
        </w:rPr>
        <w:t>5  洪江市龙标洲际大酒店修建性详细规划评审意见书</w:t>
      </w:r>
    </w:p>
    <w:p>
      <w:pPr>
        <w:spacing w:line="460" w:lineRule="exact"/>
        <w:rPr>
          <w:color w:val="FF0000"/>
          <w:sz w:val="24"/>
        </w:rPr>
      </w:pPr>
      <w:r>
        <w:rPr>
          <w:rFonts w:hint="eastAsia"/>
          <w:color w:val="000000" w:themeColor="text1"/>
          <w:sz w:val="24"/>
        </w:rPr>
        <w:t>附件6  项目建设用地使用权出让合同</w:t>
      </w:r>
    </w:p>
    <w:p>
      <w:pPr>
        <w:spacing w:line="460" w:lineRule="exact"/>
        <w:rPr>
          <w:color w:val="000000" w:themeColor="text1"/>
          <w:sz w:val="24"/>
        </w:rPr>
      </w:pPr>
      <w:r>
        <w:rPr>
          <w:rFonts w:hint="eastAsia"/>
          <w:color w:val="000000" w:themeColor="text1"/>
          <w:sz w:val="24"/>
        </w:rPr>
        <w:t>附件7  质量保证单及监测报告</w:t>
      </w:r>
    </w:p>
    <w:p>
      <w:pPr>
        <w:spacing w:line="460" w:lineRule="exact"/>
        <w:rPr>
          <w:b/>
          <w:color w:val="000000" w:themeColor="text1"/>
          <w:sz w:val="28"/>
        </w:rPr>
      </w:pPr>
      <w:r>
        <w:rPr>
          <w:rFonts w:hint="eastAsia"/>
          <w:b/>
          <w:color w:val="000000" w:themeColor="text1"/>
          <w:sz w:val="28"/>
        </w:rPr>
        <w:t>附表</w:t>
      </w:r>
    </w:p>
    <w:p>
      <w:pPr>
        <w:spacing w:line="460" w:lineRule="exact"/>
        <w:rPr>
          <w:color w:val="000000" w:themeColor="text1"/>
          <w:sz w:val="24"/>
        </w:rPr>
      </w:pPr>
      <w:r>
        <w:rPr>
          <w:rFonts w:hint="eastAsia"/>
          <w:color w:val="000000" w:themeColor="text1"/>
          <w:sz w:val="24"/>
        </w:rPr>
        <w:t>建设项目环评审批基础信息</w:t>
      </w:r>
    </w:p>
    <w:p>
      <w:pPr>
        <w:spacing w:line="360" w:lineRule="auto"/>
        <w:rPr>
          <w:rFonts w:ascii="宋体" w:hAnsi="宋体"/>
          <w:b/>
          <w:color w:val="000000"/>
          <w:sz w:val="24"/>
        </w:rPr>
        <w:sectPr>
          <w:footerReference r:id="rId9" w:type="first"/>
          <w:footerReference r:id="rId8" w:type="default"/>
          <w:pgSz w:w="11907" w:h="16839"/>
          <w:pgMar w:top="1418" w:right="1418" w:bottom="1418" w:left="1418" w:header="851" w:footer="992" w:gutter="0"/>
          <w:pgNumType w:start="1"/>
          <w:cols w:space="720" w:num="1"/>
          <w:titlePg/>
          <w:docGrid w:type="linesAndChars" w:linePitch="316" w:charSpace="200"/>
        </w:sectPr>
      </w:pPr>
    </w:p>
    <w:p>
      <w:pPr>
        <w:pStyle w:val="2"/>
        <w:keepLines/>
        <w:pageBreakBefore/>
        <w:rPr>
          <w:rFonts w:ascii="宋体" w:hAnsi="宋体"/>
          <w:b/>
          <w:color w:val="000000"/>
          <w:kern w:val="44"/>
          <w:szCs w:val="28"/>
        </w:rPr>
      </w:pPr>
      <w:bookmarkStart w:id="0" w:name="_Toc509236299"/>
      <w:r>
        <w:rPr>
          <w:rFonts w:ascii="宋体" w:hAnsi="宋体"/>
          <w:b/>
          <w:color w:val="000000"/>
          <w:kern w:val="44"/>
          <w:szCs w:val="28"/>
        </w:rPr>
        <w:t>建设项目基本情况</w:t>
      </w:r>
      <w:bookmarkEnd w:id="0"/>
    </w:p>
    <w:tbl>
      <w:tblPr>
        <w:tblStyle w:val="42"/>
        <w:tblW w:w="9462"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42"/>
        <w:gridCol w:w="1277"/>
        <w:gridCol w:w="1133"/>
        <w:gridCol w:w="717"/>
        <w:gridCol w:w="169"/>
        <w:gridCol w:w="1571"/>
        <w:gridCol w:w="122"/>
        <w:gridCol w:w="1330"/>
        <w:gridCol w:w="88"/>
        <w:gridCol w:w="12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项目名称</w:t>
            </w:r>
          </w:p>
        </w:tc>
        <w:tc>
          <w:tcPr>
            <w:tcW w:w="7620" w:type="dxa"/>
            <w:gridSpan w:val="9"/>
            <w:vAlign w:val="center"/>
          </w:tcPr>
          <w:p>
            <w:pPr>
              <w:adjustRightInd w:val="0"/>
              <w:snapToGrid w:val="0"/>
              <w:jc w:val="center"/>
              <w:rPr>
                <w:rFonts w:ascii="宋体" w:hAnsi="宋体"/>
                <w:color w:val="000000"/>
                <w:sz w:val="24"/>
              </w:rPr>
            </w:pPr>
            <w:r>
              <w:rPr>
                <w:rFonts w:hint="eastAsia" w:ascii="宋体" w:hAnsi="宋体"/>
                <w:color w:val="000000"/>
                <w:sz w:val="24"/>
              </w:rPr>
              <w:t>洪江市龙标洲际大酒店建设项目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建设单位</w:t>
            </w:r>
          </w:p>
        </w:tc>
        <w:tc>
          <w:tcPr>
            <w:tcW w:w="7620" w:type="dxa"/>
            <w:gridSpan w:val="9"/>
            <w:vAlign w:val="center"/>
          </w:tcPr>
          <w:p>
            <w:pPr>
              <w:adjustRightInd w:val="0"/>
              <w:snapToGrid w:val="0"/>
              <w:jc w:val="center"/>
              <w:rPr>
                <w:rFonts w:ascii="宋体" w:hAnsi="宋体"/>
                <w:color w:val="000000"/>
                <w:kern w:val="0"/>
                <w:sz w:val="26"/>
              </w:rPr>
            </w:pPr>
            <w:r>
              <w:rPr>
                <w:rFonts w:hint="eastAsia" w:ascii="宋体" w:hAnsi="宋体"/>
                <w:color w:val="000000"/>
                <w:kern w:val="0"/>
                <w:sz w:val="24"/>
              </w:rPr>
              <w:t>洪江市城市建设投资有限责任公司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法人代表</w:t>
            </w:r>
          </w:p>
        </w:tc>
        <w:tc>
          <w:tcPr>
            <w:tcW w:w="2410" w:type="dxa"/>
            <w:gridSpan w:val="2"/>
            <w:vAlign w:val="center"/>
          </w:tcPr>
          <w:p>
            <w:pPr>
              <w:adjustRightInd w:val="0"/>
              <w:snapToGrid w:val="0"/>
              <w:jc w:val="center"/>
              <w:rPr>
                <w:rFonts w:ascii="宋体" w:hAnsi="宋体"/>
                <w:color w:val="000000"/>
                <w:sz w:val="24"/>
              </w:rPr>
            </w:pPr>
            <w:r>
              <w:rPr>
                <w:rFonts w:hint="eastAsia" w:ascii="宋体" w:hAnsi="宋体"/>
                <w:color w:val="000000"/>
                <w:kern w:val="0"/>
                <w:sz w:val="24"/>
              </w:rPr>
              <w:t>张建东</w:t>
            </w:r>
          </w:p>
        </w:tc>
        <w:tc>
          <w:tcPr>
            <w:tcW w:w="2579" w:type="dxa"/>
            <w:gridSpan w:val="4"/>
            <w:vAlign w:val="center"/>
          </w:tcPr>
          <w:p>
            <w:pPr>
              <w:jc w:val="center"/>
              <w:rPr>
                <w:rFonts w:ascii="宋体" w:hAnsi="宋体"/>
                <w:color w:val="000000"/>
                <w:sz w:val="24"/>
              </w:rPr>
            </w:pPr>
            <w:r>
              <w:rPr>
                <w:rFonts w:ascii="宋体" w:hAnsi="宋体"/>
                <w:color w:val="000000"/>
                <w:sz w:val="24"/>
              </w:rPr>
              <w:t>联系人</w:t>
            </w:r>
          </w:p>
        </w:tc>
        <w:tc>
          <w:tcPr>
            <w:tcW w:w="2631" w:type="dxa"/>
            <w:gridSpan w:val="3"/>
            <w:vAlign w:val="center"/>
          </w:tcPr>
          <w:p>
            <w:pPr>
              <w:pStyle w:val="183"/>
              <w:jc w:val="center"/>
              <w:rPr>
                <w:rFonts w:ascii="宋体" w:hAnsi="宋体"/>
                <w:color w:val="000000"/>
                <w:kern w:val="2"/>
                <w:sz w:val="24"/>
              </w:rPr>
            </w:pPr>
            <w:r>
              <w:rPr>
                <w:rFonts w:hint="eastAsia" w:ascii="宋体" w:hAnsi="宋体"/>
                <w:color w:val="000000"/>
                <w:kern w:val="2"/>
                <w:sz w:val="24"/>
              </w:rPr>
              <w:t>王敏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通讯地址</w:t>
            </w:r>
          </w:p>
        </w:tc>
        <w:tc>
          <w:tcPr>
            <w:tcW w:w="7620" w:type="dxa"/>
            <w:gridSpan w:val="9"/>
            <w:vAlign w:val="center"/>
          </w:tcPr>
          <w:p>
            <w:pPr>
              <w:adjustRightInd w:val="0"/>
              <w:snapToGrid w:val="0"/>
              <w:jc w:val="center"/>
              <w:rPr>
                <w:rFonts w:ascii="宋体" w:hAnsi="宋体"/>
                <w:color w:val="000000"/>
                <w:sz w:val="24"/>
              </w:rPr>
            </w:pPr>
            <w:r>
              <w:rPr>
                <w:rFonts w:hint="eastAsia" w:ascii="宋体" w:hAnsi="宋体"/>
                <w:color w:val="000000"/>
                <w:sz w:val="24"/>
              </w:rPr>
              <w:t>洪江市黔城镇开元大道城投公司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联系电话</w:t>
            </w:r>
          </w:p>
        </w:tc>
        <w:tc>
          <w:tcPr>
            <w:tcW w:w="2410" w:type="dxa"/>
            <w:gridSpan w:val="2"/>
            <w:vAlign w:val="center"/>
          </w:tcPr>
          <w:p>
            <w:pPr>
              <w:adjustRightInd w:val="0"/>
              <w:snapToGrid w:val="0"/>
              <w:jc w:val="center"/>
              <w:rPr>
                <w:rFonts w:ascii="宋体" w:hAnsi="宋体"/>
                <w:color w:val="000000"/>
                <w:sz w:val="24"/>
              </w:rPr>
            </w:pPr>
            <w:r>
              <w:rPr>
                <w:rFonts w:hint="eastAsia" w:ascii="宋体" w:hAnsi="宋体"/>
                <w:color w:val="000000"/>
                <w:sz w:val="24"/>
              </w:rPr>
              <w:t>17774562333</w:t>
            </w:r>
          </w:p>
        </w:tc>
        <w:tc>
          <w:tcPr>
            <w:tcW w:w="886" w:type="dxa"/>
            <w:gridSpan w:val="2"/>
            <w:vAlign w:val="center"/>
          </w:tcPr>
          <w:p>
            <w:pPr>
              <w:adjustRightInd w:val="0"/>
              <w:snapToGrid w:val="0"/>
              <w:jc w:val="center"/>
              <w:rPr>
                <w:rFonts w:ascii="宋体" w:hAnsi="宋体"/>
                <w:color w:val="000000"/>
                <w:sz w:val="24"/>
              </w:rPr>
            </w:pPr>
            <w:r>
              <w:rPr>
                <w:rFonts w:ascii="宋体" w:hAnsi="宋体"/>
                <w:color w:val="000000"/>
                <w:sz w:val="24"/>
              </w:rPr>
              <w:t>传真</w:t>
            </w:r>
          </w:p>
        </w:tc>
        <w:tc>
          <w:tcPr>
            <w:tcW w:w="1693" w:type="dxa"/>
            <w:gridSpan w:val="2"/>
            <w:vAlign w:val="center"/>
          </w:tcPr>
          <w:p>
            <w:pPr>
              <w:adjustRightInd w:val="0"/>
              <w:snapToGrid w:val="0"/>
              <w:jc w:val="center"/>
              <w:rPr>
                <w:rFonts w:ascii="宋体" w:hAnsi="宋体"/>
                <w:color w:val="000000"/>
                <w:sz w:val="24"/>
              </w:rPr>
            </w:pPr>
          </w:p>
        </w:tc>
        <w:tc>
          <w:tcPr>
            <w:tcW w:w="1330" w:type="dxa"/>
            <w:vAlign w:val="center"/>
          </w:tcPr>
          <w:p>
            <w:pPr>
              <w:adjustRightInd w:val="0"/>
              <w:snapToGrid w:val="0"/>
              <w:jc w:val="center"/>
              <w:rPr>
                <w:rFonts w:ascii="宋体" w:hAnsi="宋体"/>
                <w:color w:val="000000"/>
                <w:sz w:val="24"/>
              </w:rPr>
            </w:pPr>
            <w:r>
              <w:rPr>
                <w:rFonts w:ascii="宋体" w:hAnsi="宋体"/>
                <w:color w:val="000000"/>
                <w:sz w:val="24"/>
              </w:rPr>
              <w:t>邮政编码</w:t>
            </w:r>
          </w:p>
        </w:tc>
        <w:tc>
          <w:tcPr>
            <w:tcW w:w="1301" w:type="dxa"/>
            <w:gridSpan w:val="2"/>
            <w:vAlign w:val="center"/>
          </w:tcPr>
          <w:p>
            <w:pPr>
              <w:adjustRightInd w:val="0"/>
              <w:snapToGrid w:val="0"/>
              <w:jc w:val="center"/>
              <w:rPr>
                <w:rFonts w:ascii="宋体" w:hAnsi="宋体"/>
                <w:color w:val="000000"/>
                <w:sz w:val="24"/>
              </w:rPr>
            </w:pPr>
            <w:r>
              <w:rPr>
                <w:rFonts w:hint="eastAsia" w:ascii="宋体" w:hAnsi="宋体"/>
                <w:color w:val="000000"/>
                <w:sz w:val="24"/>
              </w:rPr>
              <w:t>418200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建设地点</w:t>
            </w:r>
          </w:p>
        </w:tc>
        <w:tc>
          <w:tcPr>
            <w:tcW w:w="7620" w:type="dxa"/>
            <w:gridSpan w:val="9"/>
            <w:vAlign w:val="center"/>
          </w:tcPr>
          <w:p>
            <w:pPr>
              <w:adjustRightInd w:val="0"/>
              <w:snapToGrid w:val="0"/>
              <w:jc w:val="center"/>
              <w:rPr>
                <w:rFonts w:ascii="宋体" w:hAnsi="宋体"/>
                <w:color w:val="000000"/>
                <w:sz w:val="24"/>
              </w:rPr>
            </w:pPr>
            <w:r>
              <w:rPr>
                <w:rFonts w:hint="eastAsia" w:ascii="宋体" w:hAnsi="宋体"/>
                <w:color w:val="000000"/>
                <w:sz w:val="24"/>
              </w:rPr>
              <w:t>洪江市黔城镇玉壶路、禾花路、沿江路交汇处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立项审批部门</w:t>
            </w:r>
          </w:p>
        </w:tc>
        <w:tc>
          <w:tcPr>
            <w:tcW w:w="3127" w:type="dxa"/>
            <w:gridSpan w:val="3"/>
            <w:vAlign w:val="center"/>
          </w:tcPr>
          <w:p>
            <w:pPr>
              <w:jc w:val="center"/>
              <w:rPr>
                <w:rFonts w:ascii="宋体" w:hAnsi="宋体"/>
                <w:color w:val="000000"/>
                <w:sz w:val="24"/>
              </w:rPr>
            </w:pPr>
            <w:r>
              <w:rPr>
                <w:rFonts w:hint="eastAsia" w:ascii="宋体" w:hAnsi="宋体"/>
                <w:color w:val="000000"/>
                <w:sz w:val="24"/>
              </w:rPr>
              <w:t>洪江市发改局</w:t>
            </w:r>
          </w:p>
        </w:tc>
        <w:tc>
          <w:tcPr>
            <w:tcW w:w="1740" w:type="dxa"/>
            <w:gridSpan w:val="2"/>
            <w:vAlign w:val="center"/>
          </w:tcPr>
          <w:p>
            <w:pPr>
              <w:jc w:val="center"/>
              <w:rPr>
                <w:rFonts w:ascii="宋体" w:hAnsi="宋体"/>
                <w:color w:val="000000"/>
                <w:sz w:val="24"/>
              </w:rPr>
            </w:pPr>
            <w:r>
              <w:rPr>
                <w:rFonts w:ascii="宋体" w:hAnsi="宋体"/>
                <w:color w:val="000000"/>
                <w:sz w:val="24"/>
              </w:rPr>
              <w:t>批准文号</w:t>
            </w:r>
          </w:p>
        </w:tc>
        <w:tc>
          <w:tcPr>
            <w:tcW w:w="2753" w:type="dxa"/>
            <w:gridSpan w:val="4"/>
            <w:vAlign w:val="center"/>
          </w:tcPr>
          <w:p>
            <w:pPr>
              <w:spacing w:line="460" w:lineRule="exact"/>
              <w:rPr>
                <w:rFonts w:ascii="宋体" w:hAnsi="宋体"/>
                <w:color w:val="000000"/>
                <w:sz w:val="24"/>
              </w:rPr>
            </w:pPr>
            <w:r>
              <w:rPr>
                <w:rFonts w:hint="eastAsia"/>
                <w:color w:val="000000" w:themeColor="text1"/>
                <w:sz w:val="24"/>
              </w:rPr>
              <w:t>洪发改【2017】123号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spacing w:line="360" w:lineRule="auto"/>
              <w:jc w:val="center"/>
              <w:rPr>
                <w:rFonts w:ascii="宋体" w:hAnsi="宋体"/>
                <w:color w:val="000000"/>
                <w:sz w:val="24"/>
              </w:rPr>
            </w:pPr>
            <w:r>
              <w:rPr>
                <w:rFonts w:ascii="宋体" w:hAnsi="宋体"/>
                <w:color w:val="000000"/>
                <w:sz w:val="24"/>
              </w:rPr>
              <w:t>建设性质</w:t>
            </w:r>
          </w:p>
        </w:tc>
        <w:tc>
          <w:tcPr>
            <w:tcW w:w="3127" w:type="dxa"/>
            <w:gridSpan w:val="3"/>
            <w:vAlign w:val="center"/>
          </w:tcPr>
          <w:p>
            <w:pPr>
              <w:spacing w:line="360" w:lineRule="auto"/>
              <w:jc w:val="center"/>
              <w:rPr>
                <w:rFonts w:ascii="宋体" w:hAnsi="宋体"/>
                <w:color w:val="000000"/>
                <w:sz w:val="24"/>
              </w:rPr>
            </w:pPr>
            <w:r>
              <w:rPr>
                <w:rFonts w:ascii="宋体" w:hAnsi="宋体"/>
                <w:color w:val="000000"/>
                <w:sz w:val="24"/>
              </w:rPr>
              <w:t>新建</w:t>
            </w:r>
            <w:r>
              <w:rPr>
                <w:rFonts w:hint="eastAsia" w:ascii="宋体" w:hAnsi="宋体"/>
                <w:color w:val="000000"/>
                <w:sz w:val="24"/>
              </w:rPr>
              <w:t>■</w:t>
            </w:r>
            <w:r>
              <w:rPr>
                <w:rFonts w:ascii="宋体" w:hAnsi="宋体"/>
                <w:color w:val="000000"/>
                <w:sz w:val="24"/>
              </w:rPr>
              <w:t>改扩建</w:t>
            </w:r>
            <w:r>
              <w:rPr>
                <w:rFonts w:hint="eastAsia" w:ascii="宋体" w:hAnsi="宋体"/>
                <w:color w:val="000000"/>
                <w:sz w:val="24"/>
              </w:rPr>
              <w:t>□</w:t>
            </w:r>
            <w:r>
              <w:rPr>
                <w:rFonts w:ascii="宋体" w:hAnsi="宋体"/>
                <w:color w:val="000000"/>
                <w:sz w:val="24"/>
              </w:rPr>
              <w:t>技改</w:t>
            </w:r>
            <w:r>
              <w:rPr>
                <w:rFonts w:hint="eastAsia" w:ascii="宋体" w:hAnsi="宋体"/>
                <w:color w:val="000000"/>
                <w:sz w:val="24"/>
              </w:rPr>
              <w:t>□</w:t>
            </w:r>
          </w:p>
        </w:tc>
        <w:tc>
          <w:tcPr>
            <w:tcW w:w="1740" w:type="dxa"/>
            <w:gridSpan w:val="2"/>
            <w:vAlign w:val="center"/>
          </w:tcPr>
          <w:p>
            <w:pPr>
              <w:jc w:val="center"/>
              <w:rPr>
                <w:rFonts w:ascii="宋体" w:hAnsi="宋体"/>
                <w:color w:val="000000"/>
                <w:sz w:val="24"/>
              </w:rPr>
            </w:pPr>
            <w:r>
              <w:rPr>
                <w:rFonts w:ascii="宋体" w:hAnsi="宋体"/>
                <w:color w:val="000000"/>
                <w:sz w:val="24"/>
              </w:rPr>
              <w:t>行业类别及代码</w:t>
            </w:r>
          </w:p>
        </w:tc>
        <w:tc>
          <w:tcPr>
            <w:tcW w:w="2753" w:type="dxa"/>
            <w:gridSpan w:val="4"/>
            <w:vAlign w:val="center"/>
          </w:tcPr>
          <w:p>
            <w:pPr>
              <w:pStyle w:val="183"/>
              <w:rPr>
                <w:rFonts w:ascii="宋体" w:hAnsi="宋体" w:cs="宋体"/>
                <w:color w:val="000000"/>
                <w:sz w:val="24"/>
                <w:szCs w:val="24"/>
              </w:rPr>
            </w:pPr>
            <w:r>
              <w:rPr>
                <w:rFonts w:hint="eastAsia" w:ascii="宋体" w:hAnsi="宋体"/>
                <w:color w:val="000000"/>
                <w:sz w:val="24"/>
              </w:rPr>
              <w:t>H6110旅游饭店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3" w:hRule="atLeast"/>
        </w:trPr>
        <w:tc>
          <w:tcPr>
            <w:tcW w:w="1842" w:type="dxa"/>
            <w:vAlign w:val="center"/>
          </w:tcPr>
          <w:p>
            <w:pPr>
              <w:jc w:val="center"/>
              <w:rPr>
                <w:rFonts w:ascii="宋体" w:hAnsi="宋体"/>
                <w:color w:val="000000"/>
                <w:sz w:val="24"/>
              </w:rPr>
            </w:pPr>
            <w:r>
              <w:rPr>
                <w:rFonts w:ascii="宋体" w:hAnsi="宋体"/>
                <w:color w:val="000000"/>
                <w:sz w:val="24"/>
              </w:rPr>
              <w:t>占地面积</w:t>
            </w:r>
          </w:p>
        </w:tc>
        <w:tc>
          <w:tcPr>
            <w:tcW w:w="3127" w:type="dxa"/>
            <w:gridSpan w:val="3"/>
            <w:vAlign w:val="center"/>
          </w:tcPr>
          <w:p>
            <w:pPr>
              <w:jc w:val="center"/>
              <w:rPr>
                <w:rFonts w:ascii="宋体" w:hAnsi="宋体"/>
                <w:color w:val="000000"/>
                <w:sz w:val="24"/>
              </w:rPr>
            </w:pPr>
            <w:r>
              <w:rPr>
                <w:rFonts w:hint="eastAsia" w:ascii="宋体" w:hAnsi="宋体"/>
                <w:color w:val="000000"/>
                <w:sz w:val="24"/>
              </w:rPr>
              <w:t>40120.94m</w:t>
            </w:r>
            <w:r>
              <w:rPr>
                <w:rFonts w:hint="eastAsia" w:ascii="宋体" w:hAnsi="宋体"/>
                <w:color w:val="000000"/>
                <w:sz w:val="24"/>
                <w:vertAlign w:val="superscript"/>
              </w:rPr>
              <w:t>2</w:t>
            </w:r>
          </w:p>
        </w:tc>
        <w:tc>
          <w:tcPr>
            <w:tcW w:w="1740" w:type="dxa"/>
            <w:gridSpan w:val="2"/>
            <w:vAlign w:val="center"/>
          </w:tcPr>
          <w:p>
            <w:pPr>
              <w:jc w:val="center"/>
              <w:rPr>
                <w:rFonts w:ascii="宋体" w:hAnsi="宋体"/>
                <w:color w:val="000000"/>
                <w:sz w:val="24"/>
              </w:rPr>
            </w:pPr>
            <w:r>
              <w:rPr>
                <w:rFonts w:ascii="宋体" w:hAnsi="宋体"/>
                <w:color w:val="000000"/>
                <w:sz w:val="24"/>
              </w:rPr>
              <w:t>绿化面积</w:t>
            </w:r>
          </w:p>
        </w:tc>
        <w:tc>
          <w:tcPr>
            <w:tcW w:w="2753" w:type="dxa"/>
            <w:gridSpan w:val="4"/>
            <w:vAlign w:val="center"/>
          </w:tcPr>
          <w:p>
            <w:pPr>
              <w:jc w:val="center"/>
              <w:rPr>
                <w:rFonts w:ascii="宋体" w:hAnsi="宋体"/>
                <w:color w:val="000000"/>
                <w:sz w:val="24"/>
              </w:rPr>
            </w:pPr>
            <w:r>
              <w:rPr>
                <w:rFonts w:hint="eastAsia" w:ascii="宋体" w:hAnsi="宋体"/>
                <w:color w:val="000000"/>
                <w:sz w:val="24"/>
              </w:rPr>
              <w:t>14042.33m</w:t>
            </w:r>
            <w:r>
              <w:rPr>
                <w:rFonts w:hint="eastAsia" w:ascii="宋体" w:hAnsi="宋体"/>
                <w:color w:val="000000"/>
                <w:sz w:val="24"/>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jc w:val="center"/>
              <w:rPr>
                <w:rFonts w:ascii="宋体" w:hAnsi="宋体"/>
                <w:color w:val="000000"/>
                <w:sz w:val="24"/>
              </w:rPr>
            </w:pPr>
            <w:r>
              <w:rPr>
                <w:rFonts w:ascii="宋体" w:hAnsi="宋体"/>
                <w:color w:val="000000"/>
                <w:sz w:val="24"/>
              </w:rPr>
              <w:t>总投资(万元)</w:t>
            </w:r>
          </w:p>
        </w:tc>
        <w:tc>
          <w:tcPr>
            <w:tcW w:w="1277" w:type="dxa"/>
            <w:vAlign w:val="center"/>
          </w:tcPr>
          <w:p>
            <w:pPr>
              <w:jc w:val="center"/>
              <w:rPr>
                <w:rFonts w:ascii="宋体" w:hAnsi="宋体"/>
                <w:color w:val="000000"/>
                <w:sz w:val="24"/>
              </w:rPr>
            </w:pPr>
            <w:r>
              <w:rPr>
                <w:rFonts w:hint="eastAsia" w:ascii="宋体" w:hAnsi="宋体"/>
                <w:color w:val="000000"/>
                <w:sz w:val="24"/>
              </w:rPr>
              <w:t>38199.71</w:t>
            </w:r>
          </w:p>
        </w:tc>
        <w:tc>
          <w:tcPr>
            <w:tcW w:w="1850" w:type="dxa"/>
            <w:gridSpan w:val="2"/>
            <w:vAlign w:val="center"/>
          </w:tcPr>
          <w:p>
            <w:pPr>
              <w:jc w:val="center"/>
              <w:rPr>
                <w:rFonts w:ascii="宋体" w:hAnsi="宋体"/>
                <w:color w:val="000000"/>
                <w:sz w:val="24"/>
              </w:rPr>
            </w:pPr>
            <w:r>
              <w:rPr>
                <w:rFonts w:ascii="宋体" w:hAnsi="宋体"/>
                <w:color w:val="000000"/>
                <w:sz w:val="24"/>
              </w:rPr>
              <w:t>其中：环保投资(万元)</w:t>
            </w:r>
          </w:p>
        </w:tc>
        <w:tc>
          <w:tcPr>
            <w:tcW w:w="1740" w:type="dxa"/>
            <w:gridSpan w:val="2"/>
            <w:vAlign w:val="center"/>
          </w:tcPr>
          <w:p>
            <w:pPr>
              <w:jc w:val="center"/>
              <w:rPr>
                <w:rFonts w:ascii="宋体" w:hAnsi="宋体"/>
                <w:color w:val="000000"/>
                <w:sz w:val="24"/>
              </w:rPr>
            </w:pPr>
            <w:r>
              <w:rPr>
                <w:rFonts w:hint="eastAsia" w:ascii="宋体" w:hAnsi="宋体"/>
                <w:color w:val="000000"/>
                <w:sz w:val="24"/>
              </w:rPr>
              <w:t>429.0</w:t>
            </w:r>
          </w:p>
        </w:tc>
        <w:tc>
          <w:tcPr>
            <w:tcW w:w="1540" w:type="dxa"/>
            <w:gridSpan w:val="3"/>
            <w:vAlign w:val="center"/>
          </w:tcPr>
          <w:p>
            <w:pPr>
              <w:jc w:val="center"/>
              <w:rPr>
                <w:rFonts w:ascii="宋体" w:hAnsi="宋体"/>
                <w:color w:val="000000"/>
                <w:sz w:val="24"/>
              </w:rPr>
            </w:pPr>
            <w:r>
              <w:rPr>
                <w:rFonts w:ascii="宋体" w:hAnsi="宋体"/>
                <w:color w:val="000000"/>
                <w:sz w:val="24"/>
              </w:rPr>
              <w:t>环保投资占总投资比例</w:t>
            </w:r>
          </w:p>
        </w:tc>
        <w:tc>
          <w:tcPr>
            <w:tcW w:w="1213" w:type="dxa"/>
            <w:vAlign w:val="center"/>
          </w:tcPr>
          <w:p>
            <w:pPr>
              <w:spacing w:line="360" w:lineRule="auto"/>
              <w:jc w:val="center"/>
              <w:rPr>
                <w:rFonts w:ascii="宋体" w:hAnsi="宋体"/>
                <w:color w:val="000000"/>
                <w:sz w:val="24"/>
              </w:rPr>
            </w:pPr>
            <w:r>
              <w:rPr>
                <w:rFonts w:hint="eastAsia" w:ascii="宋体" w:hAnsi="宋体"/>
                <w:color w:val="000000"/>
                <w:sz w:val="24"/>
              </w:rPr>
              <w:t>1.12%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 w:hRule="atLeast"/>
        </w:trPr>
        <w:tc>
          <w:tcPr>
            <w:tcW w:w="1842" w:type="dxa"/>
            <w:vAlign w:val="center"/>
          </w:tcPr>
          <w:p>
            <w:pPr>
              <w:jc w:val="center"/>
              <w:rPr>
                <w:rFonts w:ascii="宋体" w:hAnsi="宋体"/>
                <w:color w:val="000000"/>
                <w:sz w:val="24"/>
              </w:rPr>
            </w:pPr>
            <w:r>
              <w:rPr>
                <w:rFonts w:ascii="宋体" w:hAnsi="宋体"/>
                <w:color w:val="000000"/>
                <w:sz w:val="24"/>
              </w:rPr>
              <w:t>评价经费</w:t>
            </w:r>
          </w:p>
          <w:p>
            <w:pPr>
              <w:jc w:val="center"/>
              <w:rPr>
                <w:rFonts w:ascii="宋体" w:hAnsi="宋体"/>
                <w:color w:val="000000"/>
                <w:sz w:val="24"/>
              </w:rPr>
            </w:pPr>
            <w:r>
              <w:rPr>
                <w:rFonts w:ascii="宋体" w:hAnsi="宋体"/>
                <w:color w:val="000000"/>
                <w:sz w:val="24"/>
              </w:rPr>
              <w:t>(万元)</w:t>
            </w:r>
          </w:p>
        </w:tc>
        <w:tc>
          <w:tcPr>
            <w:tcW w:w="1277" w:type="dxa"/>
            <w:vAlign w:val="center"/>
          </w:tcPr>
          <w:p>
            <w:pPr>
              <w:spacing w:line="360" w:lineRule="auto"/>
              <w:jc w:val="center"/>
              <w:rPr>
                <w:rFonts w:ascii="宋体" w:hAnsi="宋体"/>
                <w:color w:val="000000"/>
                <w:sz w:val="24"/>
              </w:rPr>
            </w:pPr>
          </w:p>
        </w:tc>
        <w:tc>
          <w:tcPr>
            <w:tcW w:w="1850" w:type="dxa"/>
            <w:gridSpan w:val="2"/>
            <w:vAlign w:val="center"/>
          </w:tcPr>
          <w:p>
            <w:pPr>
              <w:adjustRightInd w:val="0"/>
              <w:snapToGrid w:val="0"/>
              <w:jc w:val="center"/>
              <w:rPr>
                <w:rFonts w:ascii="宋体" w:hAnsi="宋体"/>
                <w:color w:val="000000"/>
                <w:sz w:val="24"/>
              </w:rPr>
            </w:pPr>
            <w:r>
              <w:rPr>
                <w:rFonts w:ascii="宋体" w:hAnsi="宋体"/>
                <w:color w:val="000000"/>
                <w:sz w:val="24"/>
              </w:rPr>
              <w:t>预期投产日期</w:t>
            </w:r>
          </w:p>
        </w:tc>
        <w:tc>
          <w:tcPr>
            <w:tcW w:w="4493" w:type="dxa"/>
            <w:gridSpan w:val="6"/>
            <w:vAlign w:val="center"/>
          </w:tcPr>
          <w:p>
            <w:pPr>
              <w:adjustRightInd w:val="0"/>
              <w:snapToGrid w:val="0"/>
              <w:jc w:val="center"/>
              <w:rPr>
                <w:rFonts w:ascii="宋体" w:hAnsi="宋体"/>
                <w:color w:val="000000"/>
                <w:sz w:val="24"/>
              </w:rPr>
            </w:pPr>
            <w:r>
              <w:rPr>
                <w:rFonts w:hint="eastAsia" w:ascii="宋体" w:hAnsi="宋体"/>
                <w:color w:val="000000"/>
                <w:sz w:val="24"/>
              </w:rPr>
              <w:t xml:space="preserve"> 2020年5月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80" w:hRule="atLeast"/>
        </w:trPr>
        <w:tc>
          <w:tcPr>
            <w:tcW w:w="9462" w:type="dxa"/>
            <w:gridSpan w:val="10"/>
            <w:vAlign w:val="center"/>
          </w:tcPr>
          <w:p>
            <w:pPr>
              <w:spacing w:line="360" w:lineRule="auto"/>
              <w:rPr>
                <w:rFonts w:ascii="宋体" w:hAnsi="宋体"/>
                <w:b/>
                <w:color w:val="000000"/>
                <w:sz w:val="24"/>
              </w:rPr>
            </w:pPr>
            <w:r>
              <w:rPr>
                <w:rFonts w:ascii="宋体" w:hAnsi="宋体"/>
                <w:b/>
                <w:color w:val="000000"/>
                <w:sz w:val="24"/>
              </w:rPr>
              <w:pict>
                <v:line id="直线 1025" o:spid="_x0000_s1026" o:spt="20" style="position:absolute;left:0pt;margin-left:425.25pt;margin-top:335.1pt;height:0.05pt;width:0.05pt;z-index:25161625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J1QIgIAAC0EAAAOAAAAZHJzL2Uyb0RvYy54bWysU02u0zAQ3iNxB8v7NklfWtqo6RNKWjYP&#10;qPQeB3Btp7FwbMt2m1aIk3ANVmw4zrsGY/cHChuEyMKZGY8/fzPzeX5/6CTac+uEViXOhilGXFHN&#10;hNqW+MPTajDFyHmiGJFa8RIfucP3i5cv5r0p+Ei3WjJuEYAoV/SmxK33pkgSR1veETfUhivYbLTt&#10;iAfXbhNmSQ/onUxGaTpJem2ZsZpy5yBanzbxIuI3Daf+fdM47pEsMXDzcbVx3YQ1WcxJsbXEtIKe&#10;aZB/YNERoeDSK1RNPEE7K/6A6gS12unGD6nuEt00gvJYA1STpb9V89gSw2Mt0Bxnrm1y/w+Wvtuv&#10;LRIMZpfNMFKkgyE9f/n6/O07ytLRODSoN66AvEqtbSiRHtSjedD0o0NKVy1RWx6JPh0NnM3CieTm&#10;SHCcgWs2/VvNIIfsvI7dOjS2C5DQB3SIQzleh8IPHlEITu7GGFGIByNgk+JyzFjn33DdoWCUWAoV&#10;ukUKsn9w/pR6SQlhpVdCSoiTQirUl3g2hgKD67QULGxGx243lbRoT4Jm4ne+9ybN6p1iEazlhC3P&#10;tidCnmzgKVXAg0KAztk6ieLTLJ0tp8tpPshHk+UgT+t68HpV5YPJKns1ru/qqqqzz4FalhetYIyr&#10;wO4i0Cz/OwGcn8pJWleJXtuQ3KLH1gLZyz+SjpMMwzvJYKPZcW1Da8NQQZMx+fx+guh/9WPWz1e+&#10;+AEAAP//AwBQSwMEFAAGAAgAAAAhAPM0fgLeAAAACwEAAA8AAABkcnMvZG93bnJldi54bWxMj8FO&#10;wzAMhu9IvENkJC4TS+i0MpWmEwJ648IAcfVa01Y0TtdkW+HpMbvA0b8//f6cryfXqwONofNs4Xpu&#10;QBFXvu64sfD6Ul6tQIWIXGPvmSx8UYB1cX6WY1b7Iz/TYRMbJSUcMrTQxjhkWoeqJYdh7gdi2X34&#10;0WGUcWx0PeJRyl2vE2NS7bBjudDiQPctVZ+bvbMQyjfald+zambeF42nZPfw9IjWXl5Md7egIk3x&#10;D4ZffVGHQpy2fs91UL2F1dIsBbWQ3pgElBCSpKC2p2QBusj1/x+KHwAAAP//AwBQSwECLQAUAAYA&#10;CAAAACEAtoM4kv4AAADhAQAAEwAAAAAAAAAAAAAAAAAAAAAAW0NvbnRlbnRfVHlwZXNdLnhtbFBL&#10;AQItABQABgAIAAAAIQA4/SH/1gAAAJQBAAALAAAAAAAAAAAAAAAAAC8BAABfcmVscy8ucmVsc1BL&#10;AQItABQABgAIAAAAIQDxwJ1QIgIAAC0EAAAOAAAAAAAAAAAAAAAAAC4CAABkcnMvZTJvRG9jLnht&#10;bFBLAQItABQABgAIAAAAIQDzNH4C3gAAAAsBAAAPAAAAAAAAAAAAAAAAAHwEAABkcnMvZG93bnJl&#10;di54bWxQSwUGAAAAAAQABADzAAAAhwUAAAAA&#10;">
                  <v:path arrowok="t"/>
                  <v:fill focussize="0,0"/>
                  <v:stroke/>
                  <v:imagedata o:title=""/>
                  <o:lock v:ext="edit"/>
                </v:line>
              </w:pict>
            </w:r>
            <w:r>
              <w:rPr>
                <w:rFonts w:ascii="宋体" w:hAnsi="宋体"/>
                <w:b/>
                <w:color w:val="000000"/>
                <w:sz w:val="24"/>
              </w:rPr>
              <w:t>工程内容及规模：</w:t>
            </w:r>
          </w:p>
          <w:p>
            <w:pPr>
              <w:spacing w:line="360" w:lineRule="auto"/>
              <w:ind w:firstLine="480" w:firstLineChars="200"/>
              <w:rPr>
                <w:rFonts w:ascii="宋体" w:hAnsi="宋体"/>
                <w:b/>
                <w:color w:val="000000"/>
                <w:sz w:val="24"/>
              </w:rPr>
            </w:pPr>
            <w:r>
              <w:rPr>
                <w:rFonts w:hint="eastAsia" w:ascii="宋体" w:hAnsi="宋体"/>
                <w:b/>
                <w:color w:val="000000"/>
                <w:sz w:val="24"/>
              </w:rPr>
              <w:t>一、</w:t>
            </w:r>
            <w:r>
              <w:rPr>
                <w:rFonts w:ascii="宋体" w:hAnsi="宋体"/>
                <w:b/>
                <w:color w:val="000000"/>
                <w:sz w:val="24"/>
              </w:rPr>
              <w:t>项目由来</w:t>
            </w:r>
          </w:p>
          <w:p>
            <w:pPr>
              <w:autoSpaceDE w:val="0"/>
              <w:autoSpaceDN w:val="0"/>
              <w:adjustRightInd w:val="0"/>
              <w:snapToGrid w:val="0"/>
              <w:spacing w:line="360" w:lineRule="auto"/>
              <w:ind w:firstLine="560"/>
              <w:rPr>
                <w:rFonts w:ascii="宋体" w:hAnsi="宋体"/>
                <w:color w:val="000000"/>
                <w:sz w:val="24"/>
                <w:szCs w:val="24"/>
                <w:lang w:val="zh-CN"/>
              </w:rPr>
            </w:pPr>
            <w:r>
              <w:rPr>
                <w:rFonts w:hint="eastAsia" w:ascii="宋体" w:hAnsi="宋体"/>
                <w:color w:val="000000"/>
                <w:sz w:val="24"/>
                <w:szCs w:val="24"/>
                <w:lang w:val="zh-CN"/>
              </w:rPr>
              <w:t>旅游经济是当今时代发展最快、最具活力、最具前途的产业，随着经济、科技的发展，人民生活水平的提高，旅游需求日益增加，旅游业的市场前景广阔。酒店业作为旅游经济的基本细胞，是旅游收入的重要来源。酒店业发达促进着旅游业的兴旺，对带动相关产业技术水平的提高，推动整个区域经济的发展具有极为重要的意义。</w:t>
            </w:r>
          </w:p>
          <w:p>
            <w:pPr>
              <w:autoSpaceDE w:val="0"/>
              <w:autoSpaceDN w:val="0"/>
              <w:adjustRightInd w:val="0"/>
              <w:snapToGrid w:val="0"/>
              <w:spacing w:line="360" w:lineRule="auto"/>
              <w:ind w:firstLine="560"/>
              <w:rPr>
                <w:rFonts w:ascii="宋体" w:hAnsi="宋体"/>
                <w:color w:val="000000"/>
                <w:sz w:val="24"/>
                <w:szCs w:val="24"/>
                <w:lang w:val="zh-CN"/>
              </w:rPr>
            </w:pPr>
            <w:bookmarkStart w:id="1" w:name="_Toc25628"/>
            <w:bookmarkStart w:id="2" w:name="_Toc6506"/>
            <w:r>
              <w:rPr>
                <w:rStyle w:val="227"/>
                <w:rFonts w:hint="eastAsia" w:ascii="宋体" w:hAnsi="宋体" w:eastAsia="宋体"/>
                <w:b w:val="0"/>
                <w:bCs/>
                <w:sz w:val="24"/>
                <w:szCs w:val="24"/>
              </w:rPr>
              <w:t>洪江市</w:t>
            </w:r>
            <w:r>
              <w:rPr>
                <w:rStyle w:val="227"/>
                <w:rFonts w:ascii="宋体" w:hAnsi="宋体" w:eastAsia="宋体"/>
                <w:b w:val="0"/>
                <w:bCs/>
                <w:sz w:val="24"/>
                <w:szCs w:val="24"/>
              </w:rPr>
              <w:t>旅游资源丰富，具有民俗风情浓郁，自然、人文、历史等特点</w:t>
            </w:r>
            <w:r>
              <w:rPr>
                <w:rStyle w:val="227"/>
                <w:rFonts w:hint="eastAsia" w:ascii="宋体" w:hAnsi="宋体" w:eastAsia="宋体"/>
                <w:b w:val="0"/>
                <w:bCs/>
                <w:sz w:val="24"/>
                <w:szCs w:val="24"/>
              </w:rPr>
              <w:t>；</w:t>
            </w:r>
            <w:r>
              <w:rPr>
                <w:rStyle w:val="227"/>
                <w:rFonts w:ascii="宋体" w:hAnsi="宋体" w:eastAsia="宋体"/>
                <w:b w:val="0"/>
                <w:bCs/>
                <w:sz w:val="24"/>
                <w:szCs w:val="24"/>
              </w:rPr>
              <w:t>黔阳古城、雪峰山国家森林公园分别成功创建为国家AAAA级、AAA级景区，</w:t>
            </w:r>
            <w:r>
              <w:rPr>
                <w:rStyle w:val="227"/>
                <w:rFonts w:hint="eastAsia" w:ascii="宋体" w:hAnsi="宋体" w:eastAsia="宋体"/>
                <w:b w:val="0"/>
                <w:bCs/>
                <w:sz w:val="24"/>
                <w:szCs w:val="24"/>
              </w:rPr>
              <w:t>相思</w:t>
            </w:r>
            <w:r>
              <w:rPr>
                <w:rStyle w:val="227"/>
                <w:rFonts w:ascii="宋体" w:hAnsi="宋体" w:eastAsia="宋体"/>
                <w:b w:val="0"/>
                <w:bCs/>
                <w:sz w:val="24"/>
                <w:szCs w:val="24"/>
              </w:rPr>
              <w:t>湖成功获批</w:t>
            </w:r>
            <w:r>
              <w:rPr>
                <w:rStyle w:val="227"/>
                <w:rFonts w:hint="eastAsia" w:ascii="宋体" w:hAnsi="宋体" w:eastAsia="宋体"/>
                <w:b w:val="0"/>
                <w:bCs/>
                <w:sz w:val="24"/>
                <w:szCs w:val="24"/>
              </w:rPr>
              <w:t>“</w:t>
            </w:r>
            <w:r>
              <w:rPr>
                <w:rStyle w:val="227"/>
                <w:rFonts w:ascii="宋体" w:hAnsi="宋体" w:eastAsia="宋体"/>
                <w:b w:val="0"/>
                <w:bCs/>
                <w:sz w:val="24"/>
                <w:szCs w:val="24"/>
              </w:rPr>
              <w:t>国家湿地公园</w:t>
            </w:r>
            <w:r>
              <w:rPr>
                <w:rStyle w:val="227"/>
                <w:rFonts w:hint="eastAsia" w:ascii="宋体" w:hAnsi="宋体" w:eastAsia="宋体"/>
                <w:b w:val="0"/>
                <w:bCs/>
                <w:sz w:val="24"/>
                <w:szCs w:val="24"/>
              </w:rPr>
              <w:t>”</w:t>
            </w:r>
            <w:r>
              <w:rPr>
                <w:rStyle w:val="227"/>
                <w:rFonts w:ascii="宋体" w:hAnsi="宋体" w:eastAsia="宋体"/>
                <w:b w:val="0"/>
                <w:bCs/>
                <w:color w:val="000000" w:themeColor="text1"/>
                <w:sz w:val="24"/>
                <w:szCs w:val="24"/>
              </w:rPr>
              <w:t>，</w:t>
            </w:r>
            <w:r>
              <w:rPr>
                <w:rStyle w:val="227"/>
                <w:rFonts w:hint="eastAsia" w:ascii="宋体" w:hAnsi="宋体" w:eastAsia="宋体"/>
                <w:b w:val="0"/>
                <w:bCs/>
                <w:color w:val="000000" w:themeColor="text1"/>
                <w:sz w:val="24"/>
                <w:szCs w:val="24"/>
              </w:rPr>
              <w:t>洪江市</w:t>
            </w:r>
            <w:r>
              <w:rPr>
                <w:rStyle w:val="227"/>
                <w:rFonts w:ascii="宋体" w:hAnsi="宋体" w:eastAsia="宋体"/>
                <w:b w:val="0"/>
                <w:bCs/>
                <w:sz w:val="24"/>
                <w:szCs w:val="24"/>
              </w:rPr>
              <w:t>成功纳入大湘西乡村旅游3号精品线路，并被评为</w:t>
            </w:r>
            <w:r>
              <w:rPr>
                <w:rStyle w:val="227"/>
                <w:rFonts w:hint="eastAsia" w:ascii="宋体" w:hAnsi="宋体" w:eastAsia="宋体"/>
                <w:b w:val="0"/>
                <w:bCs/>
                <w:sz w:val="24"/>
                <w:szCs w:val="24"/>
              </w:rPr>
              <w:t>“</w:t>
            </w:r>
            <w:r>
              <w:rPr>
                <w:rStyle w:val="227"/>
                <w:rFonts w:ascii="宋体" w:hAnsi="宋体" w:eastAsia="宋体"/>
                <w:b w:val="0"/>
                <w:bCs/>
                <w:sz w:val="24"/>
                <w:szCs w:val="24"/>
              </w:rPr>
              <w:t>湖南省旅游强县</w:t>
            </w:r>
            <w:r>
              <w:rPr>
                <w:rStyle w:val="227"/>
                <w:rFonts w:hint="eastAsia" w:ascii="宋体" w:hAnsi="宋体" w:eastAsia="宋体"/>
                <w:b w:val="0"/>
                <w:bCs/>
                <w:sz w:val="24"/>
                <w:szCs w:val="24"/>
              </w:rPr>
              <w:t>”</w:t>
            </w:r>
            <w:r>
              <w:rPr>
                <w:rStyle w:val="227"/>
                <w:rFonts w:ascii="宋体" w:hAnsi="宋体" w:eastAsia="宋体"/>
                <w:b w:val="0"/>
                <w:bCs/>
                <w:sz w:val="24"/>
                <w:szCs w:val="24"/>
              </w:rPr>
              <w:t>；先后多次举办</w:t>
            </w:r>
            <w:r>
              <w:rPr>
                <w:rStyle w:val="227"/>
                <w:rFonts w:hint="eastAsia" w:ascii="宋体" w:hAnsi="宋体" w:eastAsia="宋体"/>
                <w:b w:val="0"/>
                <w:bCs/>
                <w:sz w:val="24"/>
                <w:szCs w:val="24"/>
              </w:rPr>
              <w:t>“</w:t>
            </w:r>
            <w:r>
              <w:rPr>
                <w:rStyle w:val="227"/>
                <w:rFonts w:ascii="宋体" w:hAnsi="宋体" w:eastAsia="宋体"/>
                <w:b w:val="0"/>
                <w:bCs/>
                <w:sz w:val="24"/>
                <w:szCs w:val="24"/>
              </w:rPr>
              <w:t>中国·洪江市‘三月三’女儿节</w:t>
            </w:r>
            <w:r>
              <w:rPr>
                <w:rStyle w:val="227"/>
                <w:rFonts w:hint="eastAsia" w:ascii="宋体" w:hAnsi="宋体" w:eastAsia="宋体"/>
                <w:b w:val="0"/>
                <w:bCs/>
                <w:sz w:val="24"/>
                <w:szCs w:val="24"/>
              </w:rPr>
              <w:t>”</w:t>
            </w:r>
            <w:r>
              <w:rPr>
                <w:rStyle w:val="227"/>
                <w:rFonts w:ascii="宋体" w:hAnsi="宋体" w:eastAsia="宋体"/>
                <w:b w:val="0"/>
                <w:bCs/>
                <w:sz w:val="24"/>
                <w:szCs w:val="24"/>
              </w:rPr>
              <w:t>、</w:t>
            </w:r>
            <w:r>
              <w:rPr>
                <w:rStyle w:val="227"/>
                <w:rFonts w:hint="eastAsia" w:ascii="宋体" w:hAnsi="宋体" w:eastAsia="宋体"/>
                <w:b w:val="0"/>
                <w:bCs/>
                <w:sz w:val="24"/>
                <w:szCs w:val="24"/>
              </w:rPr>
              <w:t>“</w:t>
            </w:r>
            <w:r>
              <w:rPr>
                <w:rStyle w:val="227"/>
                <w:rFonts w:ascii="宋体" w:hAnsi="宋体" w:eastAsia="宋体"/>
                <w:b w:val="0"/>
                <w:bCs/>
                <w:sz w:val="24"/>
                <w:szCs w:val="24"/>
              </w:rPr>
              <w:t>中国·洪江市柑橘花节</w:t>
            </w:r>
            <w:r>
              <w:rPr>
                <w:rStyle w:val="227"/>
                <w:rFonts w:hint="eastAsia" w:ascii="宋体" w:hAnsi="宋体" w:eastAsia="宋体"/>
                <w:b w:val="0"/>
                <w:bCs/>
                <w:sz w:val="24"/>
                <w:szCs w:val="24"/>
              </w:rPr>
              <w:t>”</w:t>
            </w:r>
            <w:r>
              <w:rPr>
                <w:rStyle w:val="227"/>
                <w:rFonts w:ascii="宋体" w:hAnsi="宋体" w:eastAsia="宋体"/>
                <w:b w:val="0"/>
                <w:bCs/>
                <w:sz w:val="24"/>
                <w:szCs w:val="24"/>
              </w:rPr>
              <w:t>、</w:t>
            </w:r>
            <w:r>
              <w:rPr>
                <w:rStyle w:val="227"/>
                <w:rFonts w:hint="eastAsia" w:ascii="宋体" w:hAnsi="宋体" w:eastAsia="宋体"/>
                <w:b w:val="0"/>
                <w:bCs/>
                <w:sz w:val="24"/>
                <w:szCs w:val="24"/>
              </w:rPr>
              <w:t>“</w:t>
            </w:r>
            <w:r>
              <w:rPr>
                <w:rStyle w:val="227"/>
                <w:rFonts w:ascii="宋体" w:hAnsi="宋体" w:eastAsia="宋体"/>
                <w:b w:val="0"/>
                <w:bCs/>
                <w:sz w:val="24"/>
                <w:szCs w:val="24"/>
              </w:rPr>
              <w:t>湖南稻谷·洪江生态文化旅游节</w:t>
            </w:r>
            <w:r>
              <w:rPr>
                <w:rStyle w:val="227"/>
                <w:rFonts w:hint="eastAsia" w:ascii="宋体" w:hAnsi="宋体" w:eastAsia="宋体"/>
                <w:b w:val="0"/>
                <w:bCs/>
                <w:sz w:val="24"/>
                <w:szCs w:val="24"/>
              </w:rPr>
              <w:t>”</w:t>
            </w:r>
            <w:r>
              <w:rPr>
                <w:rStyle w:val="227"/>
                <w:rFonts w:ascii="宋体" w:hAnsi="宋体" w:eastAsia="宋体"/>
                <w:b w:val="0"/>
                <w:bCs/>
                <w:sz w:val="24"/>
                <w:szCs w:val="24"/>
              </w:rPr>
              <w:t>等节会活动；配合中央电视台等知名媒体拍摄制作了《行走的餐桌之洪江美食》等具有较大影响力的宣传专题片，</w:t>
            </w:r>
            <w:r>
              <w:rPr>
                <w:rStyle w:val="227"/>
                <w:rFonts w:hint="eastAsia" w:ascii="宋体" w:hAnsi="宋体" w:eastAsia="宋体"/>
                <w:b w:val="0"/>
                <w:bCs/>
                <w:sz w:val="24"/>
                <w:szCs w:val="24"/>
              </w:rPr>
              <w:t>2017年，洪江市实现旅游总收入11.08亿元，比上年增长15%；接待国内外游客138万人次，增长12%。随着</w:t>
            </w:r>
            <w:r>
              <w:rPr>
                <w:rStyle w:val="227"/>
                <w:rFonts w:ascii="宋体" w:hAnsi="宋体" w:eastAsia="宋体"/>
                <w:b w:val="0"/>
                <w:bCs/>
                <w:sz w:val="24"/>
                <w:szCs w:val="24"/>
              </w:rPr>
              <w:t>旅游资源逐步开发利用，</w:t>
            </w:r>
            <w:bookmarkEnd w:id="1"/>
            <w:bookmarkEnd w:id="2"/>
            <w:r>
              <w:rPr>
                <w:rFonts w:hint="eastAsia" w:ascii="宋体" w:hAnsi="宋体"/>
                <w:color w:val="000000"/>
                <w:sz w:val="24"/>
                <w:szCs w:val="24"/>
                <w:lang w:val="zh-CN"/>
              </w:rPr>
              <w:t>有助于境内丰富的旅游资源优势转化为经济优势，带动旅游业、酒店业的繁荣发展。然而作为旅游城市，洪江市目前没有一家五星级旅游酒店，接待能力已远远不能适应洪江市社会经济不断发展的要求，迫切需要建设一家上档次、上规模的酒店。</w:t>
            </w:r>
          </w:p>
          <w:p>
            <w:pPr>
              <w:spacing w:line="360" w:lineRule="auto"/>
              <w:ind w:firstLine="480" w:firstLineChars="200"/>
              <w:rPr>
                <w:rFonts w:ascii="宋体" w:hAnsi="宋体"/>
                <w:color w:val="000000" w:themeColor="text1"/>
                <w:kern w:val="0"/>
                <w:sz w:val="24"/>
              </w:rPr>
            </w:pPr>
            <w:r>
              <w:rPr>
                <w:rFonts w:ascii="宋体" w:hAnsi="宋体"/>
                <w:color w:val="000000"/>
                <w:sz w:val="24"/>
                <w:szCs w:val="24"/>
              </w:rPr>
              <w:t>所以，本项目是根据相关规划要求，结合</w:t>
            </w:r>
            <w:r>
              <w:rPr>
                <w:rFonts w:hint="eastAsia" w:ascii="宋体" w:hAnsi="宋体"/>
                <w:sz w:val="24"/>
                <w:szCs w:val="24"/>
              </w:rPr>
              <w:t>洪江市酒店行业现状</w:t>
            </w:r>
            <w:r>
              <w:rPr>
                <w:rFonts w:ascii="宋体" w:hAnsi="宋体"/>
                <w:sz w:val="24"/>
                <w:szCs w:val="24"/>
              </w:rPr>
              <w:t>，</w:t>
            </w:r>
            <w:r>
              <w:rPr>
                <w:rFonts w:hint="eastAsia" w:ascii="宋体" w:hAnsi="宋体"/>
                <w:sz w:val="24"/>
                <w:szCs w:val="24"/>
              </w:rPr>
              <w:t>为完</w:t>
            </w:r>
            <w:r>
              <w:rPr>
                <w:rFonts w:hint="eastAsia" w:ascii="宋体" w:hAnsi="宋体"/>
                <w:color w:val="000000"/>
                <w:sz w:val="24"/>
                <w:szCs w:val="24"/>
              </w:rPr>
              <w:t>善旅游配套设施，弥补洪江市五星级酒店的空白，提高洪江市酒店接待能力和服务水平，提升洪江市城市形象，推动区域经济健康、持续发展而提出的</w:t>
            </w:r>
            <w:r>
              <w:rPr>
                <w:rFonts w:ascii="宋体" w:hAnsi="宋体"/>
                <w:color w:val="000000"/>
                <w:sz w:val="24"/>
                <w:szCs w:val="24"/>
              </w:rPr>
              <w:t>。</w:t>
            </w:r>
            <w:r>
              <w:rPr>
                <w:rFonts w:hint="eastAsia" w:ascii="宋体" w:hAnsi="宋体"/>
                <w:color w:val="000000" w:themeColor="text1"/>
                <w:sz w:val="24"/>
                <w:szCs w:val="24"/>
              </w:rPr>
              <w:t>现</w:t>
            </w:r>
            <w:r>
              <w:rPr>
                <w:rFonts w:hint="eastAsia" w:ascii="宋体" w:hAnsi="宋体"/>
                <w:color w:val="000000" w:themeColor="text1"/>
                <w:sz w:val="24"/>
              </w:rPr>
              <w:t>由</w:t>
            </w:r>
            <w:r>
              <w:rPr>
                <w:rFonts w:hint="eastAsia" w:ascii="宋体" w:hAnsi="宋体"/>
                <w:color w:val="000000" w:themeColor="text1"/>
                <w:kern w:val="0"/>
                <w:sz w:val="24"/>
              </w:rPr>
              <w:t>洪江市城市建设投资有限责任公司</w:t>
            </w:r>
            <w:r>
              <w:rPr>
                <w:rFonts w:hint="eastAsia" w:ascii="宋体" w:hAnsi="宋体"/>
                <w:color w:val="000000" w:themeColor="text1"/>
                <w:sz w:val="24"/>
              </w:rPr>
              <w:t>拟建该项目。</w:t>
            </w:r>
          </w:p>
          <w:p>
            <w:pPr>
              <w:pStyle w:val="95"/>
              <w:widowControl w:val="0"/>
              <w:adjustRightInd w:val="0"/>
              <w:snapToGrid w:val="0"/>
              <w:spacing w:line="360" w:lineRule="auto"/>
              <w:ind w:firstLine="482"/>
              <w:jc w:val="both"/>
              <w:rPr>
                <w:rFonts w:hAnsi="宋体"/>
                <w:color w:val="000000"/>
                <w:sz w:val="24"/>
                <w:szCs w:val="24"/>
              </w:rPr>
            </w:pPr>
            <w:r>
              <w:rPr>
                <w:rFonts w:hAnsi="宋体"/>
                <w:color w:val="000000"/>
                <w:sz w:val="24"/>
                <w:szCs w:val="24"/>
              </w:rPr>
              <w:t>洪江市城市建设投资有限责任公司成立于2004年，是一家直属洪江市人民政府管理的国有独资公司</w:t>
            </w:r>
            <w:r>
              <w:rPr>
                <w:rFonts w:hint="eastAsia" w:hAnsi="宋体"/>
                <w:color w:val="000000"/>
                <w:sz w:val="24"/>
                <w:szCs w:val="24"/>
              </w:rPr>
              <w:t>，</w:t>
            </w:r>
            <w:r>
              <w:rPr>
                <w:rFonts w:hAnsi="宋体"/>
                <w:color w:val="000000"/>
                <w:sz w:val="24"/>
                <w:szCs w:val="24"/>
              </w:rPr>
              <w:t>注册资本金</w:t>
            </w:r>
            <w:r>
              <w:rPr>
                <w:rFonts w:hint="eastAsia" w:hAnsi="宋体"/>
                <w:color w:val="000000"/>
                <w:sz w:val="24"/>
                <w:szCs w:val="24"/>
              </w:rPr>
              <w:t>10000</w:t>
            </w:r>
            <w:r>
              <w:rPr>
                <w:rFonts w:hAnsi="宋体"/>
                <w:color w:val="000000"/>
                <w:sz w:val="24"/>
                <w:szCs w:val="24"/>
              </w:rPr>
              <w:t>万元。</w:t>
            </w:r>
          </w:p>
          <w:p>
            <w:pPr>
              <w:pStyle w:val="95"/>
              <w:widowControl w:val="0"/>
              <w:adjustRightInd w:val="0"/>
              <w:snapToGrid w:val="0"/>
              <w:spacing w:line="360" w:lineRule="auto"/>
              <w:ind w:firstLine="482"/>
              <w:jc w:val="both"/>
              <w:rPr>
                <w:rFonts w:hAnsi="宋体"/>
                <w:color w:val="000000"/>
                <w:sz w:val="24"/>
                <w:szCs w:val="24"/>
              </w:rPr>
            </w:pPr>
            <w:r>
              <w:rPr>
                <w:rFonts w:hAnsi="宋体"/>
                <w:color w:val="000000"/>
                <w:sz w:val="24"/>
                <w:szCs w:val="24"/>
              </w:rPr>
              <w:t>公司现有人数31人，其中高级工程师1人，工程师2人，会计师2人；内设机构有办公室、征地拆迁部、财务融资部、工程技术部、项目经营部。</w:t>
            </w:r>
          </w:p>
          <w:p>
            <w:pPr>
              <w:pStyle w:val="95"/>
              <w:widowControl w:val="0"/>
              <w:adjustRightInd w:val="0"/>
              <w:snapToGrid w:val="0"/>
              <w:spacing w:line="360" w:lineRule="auto"/>
              <w:ind w:firstLine="482"/>
              <w:jc w:val="both"/>
              <w:rPr>
                <w:rFonts w:hAnsi="宋体"/>
                <w:color w:val="000000"/>
                <w:sz w:val="24"/>
                <w:szCs w:val="24"/>
              </w:rPr>
            </w:pPr>
            <w:r>
              <w:rPr>
                <w:rFonts w:hAnsi="宋体"/>
                <w:color w:val="000000"/>
                <w:sz w:val="24"/>
                <w:szCs w:val="24"/>
              </w:rPr>
              <w:t>公司主要经营业务：一是受洪江市人民政府的委托全面承担</w:t>
            </w:r>
            <w:r>
              <w:rPr>
                <w:rFonts w:hAnsi="宋体"/>
                <w:color w:val="000000" w:themeColor="text1"/>
                <w:sz w:val="24"/>
                <w:szCs w:val="24"/>
              </w:rPr>
              <w:t>洪江市基础设施建设任务；二是负责洪江市</w:t>
            </w:r>
            <w:r>
              <w:rPr>
                <w:rFonts w:hint="eastAsia" w:hAnsi="宋体"/>
                <w:color w:val="000000" w:themeColor="text1"/>
                <w:sz w:val="24"/>
                <w:szCs w:val="24"/>
              </w:rPr>
              <w:t>规</w:t>
            </w:r>
            <w:r>
              <w:rPr>
                <w:rFonts w:hAnsi="宋体"/>
                <w:color w:val="000000" w:themeColor="text1"/>
                <w:sz w:val="24"/>
                <w:szCs w:val="24"/>
              </w:rPr>
              <w:t>划范围内的土地开发及经营；三是作为洪江市</w:t>
            </w:r>
            <w:r>
              <w:rPr>
                <w:rFonts w:hAnsi="宋体"/>
                <w:color w:val="000000"/>
                <w:sz w:val="24"/>
                <w:szCs w:val="24"/>
              </w:rPr>
              <w:t>人民政府的融资平台为洪江市城市基础设施建设和洪江市工业园建设筹集资金。</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为了保证项目建设与环境保护协调有序发展,根据《中华人民共和国环境保护法》、《中华人民共和国环境影响评价法》及《建设项目环境保护管理条例》的有关规定,建设单位于2018年3月委托国家环评持证单位湖南汇恒环境保护科技发展有限公司承担“</w:t>
            </w:r>
            <w:r>
              <w:rPr>
                <w:rFonts w:hint="eastAsia" w:ascii="宋体" w:hAnsi="宋体"/>
                <w:color w:val="000000"/>
                <w:sz w:val="24"/>
              </w:rPr>
              <w:t>洪江市龙标洲际大酒店建设项目</w:t>
            </w:r>
            <w:r>
              <w:rPr>
                <w:rFonts w:hint="eastAsia" w:ascii="宋体" w:hAnsi="宋体"/>
                <w:color w:val="000000"/>
                <w:sz w:val="24"/>
                <w:szCs w:val="24"/>
              </w:rPr>
              <w:t>”的环境影响评价工作。接受委托后,我公司即派出了环评技术人员对项目所在地现场进行了踏勘,并收集了与本项目环评工作所需相关资料,在上述工作基础上,按照《建设项目环境影响评价技术导则 总纲》（HJ2.1-2017）规范要求,编制了本环境影响报告表。</w:t>
            </w:r>
          </w:p>
          <w:p>
            <w:pPr>
              <w:spacing w:line="360" w:lineRule="auto"/>
              <w:ind w:firstLine="480" w:firstLineChars="200"/>
              <w:rPr>
                <w:rFonts w:ascii="宋体" w:hAnsi="宋体"/>
                <w:b/>
                <w:color w:val="000000"/>
                <w:sz w:val="24"/>
              </w:rPr>
            </w:pPr>
            <w:r>
              <w:rPr>
                <w:rFonts w:hint="eastAsia" w:ascii="宋体" w:hAnsi="宋体"/>
                <w:b/>
                <w:color w:val="000000"/>
                <w:sz w:val="24"/>
              </w:rPr>
              <w:t>二、工程概况</w:t>
            </w:r>
          </w:p>
          <w:p>
            <w:pPr>
              <w:spacing w:line="360" w:lineRule="auto"/>
              <w:ind w:firstLine="480" w:firstLineChars="200"/>
              <w:rPr>
                <w:rFonts w:ascii="宋体" w:hAnsi="宋体"/>
                <w:color w:val="000000"/>
                <w:sz w:val="24"/>
              </w:rPr>
            </w:pPr>
            <w:r>
              <w:rPr>
                <w:rFonts w:hint="eastAsia" w:ascii="宋体" w:hAnsi="宋体"/>
                <w:color w:val="000000"/>
                <w:sz w:val="24"/>
              </w:rPr>
              <w:t>1、项目名称、建设地址、建设单位</w:t>
            </w:r>
          </w:p>
          <w:p>
            <w:pPr>
              <w:spacing w:line="360" w:lineRule="auto"/>
              <w:ind w:firstLine="480" w:firstLineChars="200"/>
              <w:rPr>
                <w:rFonts w:ascii="宋体" w:hAnsi="宋体"/>
                <w:color w:val="000000"/>
                <w:sz w:val="24"/>
              </w:rPr>
            </w:pPr>
            <w:r>
              <w:rPr>
                <w:rFonts w:hint="eastAsia" w:ascii="宋体" w:hAnsi="宋体"/>
                <w:color w:val="000000"/>
                <w:sz w:val="24"/>
              </w:rPr>
              <w:t>（1）项目名称：洪江市龙标洲际大酒店建设项目</w:t>
            </w:r>
          </w:p>
          <w:p>
            <w:pPr>
              <w:spacing w:line="360" w:lineRule="auto"/>
              <w:ind w:firstLine="480" w:firstLineChars="200"/>
              <w:rPr>
                <w:rFonts w:ascii="宋体" w:hAnsi="宋体"/>
                <w:color w:val="000000"/>
                <w:sz w:val="24"/>
              </w:rPr>
            </w:pPr>
            <w:r>
              <w:rPr>
                <w:rFonts w:hint="eastAsia" w:ascii="宋体" w:hAnsi="宋体"/>
                <w:color w:val="000000"/>
                <w:sz w:val="24"/>
              </w:rPr>
              <w:t>（2）项目建设地址：洪江市黔城镇玉壶路、禾花路、沿江路交汇处</w:t>
            </w:r>
          </w:p>
          <w:p>
            <w:pPr>
              <w:spacing w:line="360" w:lineRule="auto"/>
              <w:ind w:firstLine="480" w:firstLineChars="200"/>
              <w:rPr>
                <w:rFonts w:ascii="宋体" w:hAnsi="宋体"/>
                <w:color w:val="000000"/>
                <w:kern w:val="0"/>
                <w:sz w:val="24"/>
              </w:rPr>
            </w:pPr>
            <w:r>
              <w:rPr>
                <w:rFonts w:hint="eastAsia" w:ascii="宋体" w:hAnsi="宋体"/>
                <w:color w:val="000000"/>
                <w:sz w:val="24"/>
              </w:rPr>
              <w:t>（3）项目建设单位：</w:t>
            </w:r>
            <w:r>
              <w:rPr>
                <w:rFonts w:hint="eastAsia" w:ascii="宋体" w:hAnsi="宋体"/>
                <w:color w:val="000000"/>
                <w:kern w:val="0"/>
                <w:sz w:val="24"/>
              </w:rPr>
              <w:t>洪江市城市建设投资有限责任公司</w:t>
            </w:r>
          </w:p>
          <w:p>
            <w:pPr>
              <w:spacing w:line="360" w:lineRule="auto"/>
              <w:ind w:firstLine="480" w:firstLineChars="200"/>
              <w:rPr>
                <w:rFonts w:ascii="宋体" w:hAnsi="宋体"/>
                <w:color w:val="000000"/>
                <w:sz w:val="24"/>
              </w:rPr>
            </w:pPr>
            <w:r>
              <w:rPr>
                <w:rFonts w:hint="eastAsia" w:ascii="宋体" w:hAnsi="宋体"/>
                <w:color w:val="000000"/>
                <w:sz w:val="24"/>
              </w:rPr>
              <w:t>（4）建设性质：新建</w:t>
            </w:r>
          </w:p>
          <w:p>
            <w:pPr>
              <w:spacing w:line="360" w:lineRule="auto"/>
              <w:rPr>
                <w:rFonts w:ascii="宋体" w:hAnsi="宋体"/>
                <w:b/>
                <w:bCs/>
                <w:color w:val="000000"/>
                <w:sz w:val="24"/>
              </w:rPr>
            </w:pPr>
            <w:r>
              <w:rPr>
                <w:rFonts w:hint="eastAsia" w:ascii="宋体" w:hAnsi="宋体"/>
                <w:color w:val="000000"/>
                <w:sz w:val="24"/>
                <w:szCs w:val="24"/>
              </w:rPr>
              <w:t xml:space="preserve">    </w:t>
            </w:r>
            <w:r>
              <w:rPr>
                <w:rFonts w:hint="eastAsia" w:ascii="宋体" w:hAnsi="宋体"/>
                <w:b/>
                <w:bCs/>
                <w:color w:val="000000"/>
                <w:sz w:val="24"/>
              </w:rPr>
              <w:t>三、</w:t>
            </w:r>
            <w:r>
              <w:rPr>
                <w:rFonts w:ascii="宋体" w:hAnsi="宋体"/>
                <w:b/>
                <w:bCs/>
                <w:color w:val="000000"/>
                <w:sz w:val="24"/>
              </w:rPr>
              <w:t>项目所在地及周边情况</w:t>
            </w:r>
          </w:p>
          <w:p>
            <w:pPr>
              <w:spacing w:line="360" w:lineRule="auto"/>
              <w:ind w:firstLine="480" w:firstLineChars="200"/>
              <w:rPr>
                <w:rFonts w:ascii="宋体" w:hAnsi="宋体"/>
                <w:color w:val="000000"/>
                <w:sz w:val="24"/>
              </w:rPr>
            </w:pPr>
            <w:r>
              <w:rPr>
                <w:rFonts w:ascii="宋体" w:hAnsi="宋体"/>
                <w:color w:val="000000"/>
                <w:sz w:val="24"/>
              </w:rPr>
              <w:t>本拟建</w:t>
            </w:r>
            <w:r>
              <w:rPr>
                <w:rFonts w:hint="eastAsia" w:ascii="宋体" w:hAnsi="宋体"/>
                <w:color w:val="000000"/>
                <w:sz w:val="24"/>
              </w:rPr>
              <w:t>项目位于洪江市黔城镇玉壶路、禾花路、沿江路交汇处（E109°49′0″；W27°12′58″）</w:t>
            </w:r>
            <w:r>
              <w:rPr>
                <w:rFonts w:ascii="宋体" w:hAnsi="宋体"/>
                <w:color w:val="000000"/>
                <w:sz w:val="24"/>
              </w:rPr>
              <w:t>。根据现场踏勘情况及建设单位提供的资料得知，</w:t>
            </w:r>
            <w:r>
              <w:rPr>
                <w:rFonts w:hint="eastAsia" w:ascii="宋体" w:hAnsi="宋体"/>
                <w:color w:val="000000"/>
                <w:sz w:val="24"/>
              </w:rPr>
              <w:t>该宗地为规划建设用地，地面无构筑物。</w:t>
            </w:r>
            <w:r>
              <w:rPr>
                <w:rFonts w:ascii="宋体" w:hAnsi="宋体"/>
                <w:color w:val="000000"/>
                <w:sz w:val="24"/>
              </w:rPr>
              <w:t>项目拟建地</w:t>
            </w:r>
            <w:r>
              <w:rPr>
                <w:rFonts w:hint="eastAsia" w:ascii="宋体" w:hAnsi="宋体"/>
                <w:color w:val="000000"/>
                <w:sz w:val="24"/>
              </w:rPr>
              <w:t>东依玉壶路和待开发建设的空闲地块，南接禾花路与待开发建设的空闲地块，西北临沿江路和舞水，在东南角400米处为洪江市人民医院和洪江市人民医院桑逸医养结合养老有限公司。给排水、电力、电信等基础设施以及公共交通配套完善，实施区域内土石方工程量较小，环境容量较大，周边无生产性污染源，生态环境良好。</w:t>
            </w:r>
          </w:p>
          <w:p>
            <w:pPr>
              <w:spacing w:line="360" w:lineRule="auto"/>
              <w:ind w:firstLine="480" w:firstLineChars="200"/>
              <w:rPr>
                <w:rFonts w:ascii="宋体" w:hAnsi="宋体"/>
                <w:b/>
                <w:bCs/>
                <w:color w:val="000000"/>
                <w:sz w:val="24"/>
              </w:rPr>
            </w:pPr>
            <w:r>
              <w:rPr>
                <w:rFonts w:hint="eastAsia" w:ascii="宋体" w:hAnsi="宋体"/>
                <w:b/>
                <w:bCs/>
                <w:color w:val="000000"/>
                <w:sz w:val="24"/>
              </w:rPr>
              <w:t>四、</w:t>
            </w:r>
            <w:r>
              <w:rPr>
                <w:rFonts w:ascii="宋体" w:hAnsi="宋体"/>
                <w:b/>
                <w:bCs/>
                <w:color w:val="000000"/>
                <w:sz w:val="24"/>
              </w:rPr>
              <w:t>工程内容与规模</w:t>
            </w:r>
          </w:p>
          <w:p>
            <w:pPr>
              <w:adjustRightInd w:val="0"/>
              <w:snapToGrid w:val="0"/>
              <w:spacing w:line="360" w:lineRule="auto"/>
              <w:ind w:firstLine="480" w:firstLineChars="200"/>
              <w:rPr>
                <w:rFonts w:ascii="宋体" w:hAnsi="宋体"/>
                <w:color w:val="000000" w:themeColor="text1"/>
                <w:sz w:val="24"/>
                <w:szCs w:val="24"/>
              </w:rPr>
            </w:pPr>
            <w:r>
              <w:rPr>
                <w:rFonts w:hint="eastAsia" w:asciiTheme="minorEastAsia" w:hAnsiTheme="minorEastAsia" w:eastAsiaTheme="minorEastAsia"/>
                <w:color w:val="000000" w:themeColor="text1"/>
                <w:kern w:val="0"/>
                <w:sz w:val="24"/>
              </w:rPr>
              <w:t>本工程位于湖南省洪江市，基地东临玉壶路、北临滨江路、南靠禾花路，划总用地面积40120.94㎡，约60.18 亩</w:t>
            </w:r>
            <w:r>
              <w:rPr>
                <w:rFonts w:ascii="宋体" w:hAnsi="宋体"/>
                <w:color w:val="000000" w:themeColor="text1"/>
                <w:sz w:val="24"/>
                <w:szCs w:val="24"/>
              </w:rPr>
              <w:t>，</w:t>
            </w:r>
            <w:r>
              <w:rPr>
                <w:rFonts w:hint="eastAsia" w:asciiTheme="minorEastAsia" w:hAnsiTheme="minorEastAsia" w:eastAsiaTheme="minorEastAsia"/>
                <w:color w:val="000000" w:themeColor="text1"/>
                <w:kern w:val="0"/>
                <w:sz w:val="24"/>
              </w:rPr>
              <w:t>本工程地上部分酒店为22层，建筑高度为99.0m；宴会厅和演播厅为3层，建筑高度为18m；地下1层，总建筑面积为68297㎡ 。由酒店客房、宴会厅、演播厅、婚庆公园等配套齐全的设施组成的一座星级酒店。</w:t>
            </w:r>
            <w:r>
              <w:rPr>
                <w:rFonts w:hint="eastAsia" w:ascii="宋体" w:hAnsi="宋体"/>
                <w:color w:val="000000" w:themeColor="text1"/>
                <w:sz w:val="24"/>
                <w:szCs w:val="24"/>
              </w:rPr>
              <w:t>建筑总面积70036.0m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，其中计容面积60181.0m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（其中演播厅面积6964.0m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w:t>
            </w:r>
            <w:r>
              <w:rPr>
                <w:rFonts w:hint="eastAsia" w:asciiTheme="minorEastAsia" w:hAnsiTheme="minorEastAsia" w:eastAsiaTheme="minorEastAsia"/>
                <w:color w:val="000000" w:themeColor="text1"/>
                <w:kern w:val="0"/>
                <w:sz w:val="24"/>
              </w:rPr>
              <w:t>婚庆公园2000.0</w:t>
            </w:r>
            <w:r>
              <w:rPr>
                <w:rFonts w:hint="eastAsia" w:ascii="宋体" w:hAnsi="宋体"/>
                <w:color w:val="000000" w:themeColor="text1"/>
                <w:sz w:val="24"/>
                <w:szCs w:val="24"/>
              </w:rPr>
              <w:t xml:space="preserve"> 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酒店配套面积23888.0m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，酒店客房面积22970.0m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，配套用房面积1377.0m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，酒店地下室配套5000m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），地下车库面积9855.0m</w:t>
            </w:r>
            <w:r>
              <w:rPr>
                <w:rFonts w:hint="eastAsia" w:ascii="宋体" w:hAnsi="宋体"/>
                <w:color w:val="000000" w:themeColor="text1"/>
                <w:sz w:val="24"/>
                <w:szCs w:val="24"/>
                <w:vertAlign w:val="superscript"/>
              </w:rPr>
              <w:t>2</w:t>
            </w:r>
            <w:r>
              <w:rPr>
                <w:rFonts w:hint="eastAsia" w:ascii="宋体" w:hAnsi="宋体"/>
                <w:color w:val="000000" w:themeColor="text1"/>
                <w:sz w:val="24"/>
                <w:szCs w:val="24"/>
              </w:rPr>
              <w:t>，建筑占地面积12036.0m</w:t>
            </w:r>
            <w:r>
              <w:rPr>
                <w:rFonts w:hint="eastAsia" w:ascii="宋体" w:hAnsi="宋体"/>
                <w:color w:val="000000" w:themeColor="text1"/>
                <w:sz w:val="24"/>
                <w:szCs w:val="24"/>
                <w:vertAlign w:val="superscript"/>
              </w:rPr>
              <w:t>2</w:t>
            </w:r>
            <w:r>
              <w:rPr>
                <w:rFonts w:ascii="宋体" w:hAnsi="宋体"/>
                <w:color w:val="000000" w:themeColor="text1"/>
                <w:sz w:val="24"/>
                <w:szCs w:val="24"/>
              </w:rPr>
              <w:t>，</w:t>
            </w:r>
            <w:r>
              <w:rPr>
                <w:rFonts w:hint="eastAsia" w:ascii="宋体" w:hAnsi="宋体"/>
                <w:color w:val="000000" w:themeColor="text1"/>
                <w:sz w:val="24"/>
                <w:szCs w:val="24"/>
              </w:rPr>
              <w:t>绿地率为35%，建筑密度30%，容积率1.50客房数286套，停车位347个（地面停车位107个，地下停车位240个）。同时完成道路、绿化、给排水、供配电、亮化、消防、暖通等配套工程的建设。</w:t>
            </w:r>
            <w:r>
              <w:rPr>
                <w:rFonts w:ascii="宋体" w:hAnsi="宋体"/>
                <w:color w:val="000000" w:themeColor="text1"/>
                <w:sz w:val="24"/>
              </w:rPr>
              <w:t>项目组成情况</w:t>
            </w:r>
            <w:r>
              <w:rPr>
                <w:rFonts w:hint="eastAsia" w:ascii="宋体" w:hAnsi="宋体"/>
                <w:color w:val="000000" w:themeColor="text1"/>
                <w:sz w:val="24"/>
              </w:rPr>
              <w:t>和主要经济指标</w:t>
            </w:r>
            <w:r>
              <w:rPr>
                <w:rFonts w:ascii="宋体" w:hAnsi="宋体"/>
                <w:color w:val="000000" w:themeColor="text1"/>
                <w:sz w:val="24"/>
              </w:rPr>
              <w:t>详见表1</w:t>
            </w:r>
            <w:r>
              <w:rPr>
                <w:rFonts w:hint="eastAsia" w:ascii="宋体" w:hAnsi="宋体"/>
                <w:color w:val="000000" w:themeColor="text1"/>
                <w:sz w:val="24"/>
              </w:rPr>
              <w:t>，</w:t>
            </w:r>
            <w:r>
              <w:rPr>
                <w:rFonts w:ascii="宋体" w:hAnsi="宋体"/>
                <w:color w:val="000000" w:themeColor="text1"/>
                <w:sz w:val="24"/>
              </w:rPr>
              <w:t>表</w:t>
            </w:r>
            <w:r>
              <w:rPr>
                <w:rFonts w:hint="eastAsia" w:ascii="宋体" w:hAnsi="宋体"/>
                <w:color w:val="000000" w:themeColor="text1"/>
                <w:sz w:val="24"/>
              </w:rPr>
              <w:t>2</w:t>
            </w:r>
            <w:r>
              <w:rPr>
                <w:rFonts w:ascii="宋体" w:hAnsi="宋体"/>
                <w:color w:val="000000" w:themeColor="text1"/>
                <w:sz w:val="24"/>
              </w:rPr>
              <w:t xml:space="preserve"> 。</w:t>
            </w:r>
          </w:p>
          <w:p>
            <w:pPr>
              <w:adjustRightInd w:val="0"/>
              <w:snapToGrid w:val="0"/>
              <w:spacing w:line="360" w:lineRule="auto"/>
              <w:ind w:firstLine="480" w:firstLineChars="200"/>
              <w:jc w:val="center"/>
              <w:rPr>
                <w:rFonts w:ascii="宋体" w:hAnsi="宋体"/>
                <w:sz w:val="24"/>
                <w:szCs w:val="24"/>
              </w:rPr>
            </w:pPr>
            <w:r>
              <w:rPr>
                <w:rFonts w:ascii="宋体" w:hAnsi="宋体"/>
                <w:sz w:val="24"/>
                <w:szCs w:val="24"/>
              </w:rPr>
              <w:t>表</w:t>
            </w:r>
            <w:r>
              <w:rPr>
                <w:rFonts w:hint="eastAsia" w:ascii="宋体" w:hAnsi="宋体"/>
                <w:sz w:val="24"/>
                <w:szCs w:val="24"/>
              </w:rPr>
              <w:t>1</w:t>
            </w:r>
            <w:r>
              <w:rPr>
                <w:rFonts w:ascii="宋体" w:hAnsi="宋体"/>
                <w:sz w:val="24"/>
                <w:szCs w:val="24"/>
              </w:rPr>
              <w:t xml:space="preserve">   项目组成与</w:t>
            </w:r>
            <w:r>
              <w:rPr>
                <w:rFonts w:hint="eastAsia" w:ascii="宋体" w:hAnsi="宋体"/>
                <w:sz w:val="24"/>
                <w:szCs w:val="24"/>
              </w:rPr>
              <w:t>主要</w:t>
            </w:r>
            <w:r>
              <w:rPr>
                <w:rFonts w:ascii="宋体" w:hAnsi="宋体"/>
                <w:sz w:val="24"/>
                <w:szCs w:val="24"/>
              </w:rPr>
              <w:t>建设内容一览表</w:t>
            </w:r>
          </w:p>
          <w:tbl>
            <w:tblPr>
              <w:tblStyle w:val="42"/>
              <w:tblpPr w:leftFromText="180" w:rightFromText="180" w:vertAnchor="text" w:horzAnchor="margin" w:tblpXSpec="center" w:tblpY="16"/>
              <w:tblOverlap w:val="never"/>
              <w:tblW w:w="8822" w:type="dxa"/>
              <w:tblInd w:w="0" w:type="dxa"/>
              <w:tblLayout w:type="fixed"/>
              <w:tblCellMar>
                <w:top w:w="0" w:type="dxa"/>
                <w:left w:w="0" w:type="dxa"/>
                <w:bottom w:w="0" w:type="dxa"/>
                <w:right w:w="0" w:type="dxa"/>
              </w:tblCellMar>
            </w:tblPr>
            <w:tblGrid>
              <w:gridCol w:w="374"/>
              <w:gridCol w:w="1085"/>
              <w:gridCol w:w="1861"/>
              <w:gridCol w:w="1897"/>
              <w:gridCol w:w="3605"/>
            </w:tblGrid>
            <w:tr>
              <w:tblPrEx>
                <w:tblLayout w:type="fixed"/>
                <w:tblCellMar>
                  <w:top w:w="0" w:type="dxa"/>
                  <w:left w:w="0" w:type="dxa"/>
                  <w:bottom w:w="0" w:type="dxa"/>
                  <w:right w:w="0" w:type="dxa"/>
                </w:tblCellMar>
              </w:tblPrEx>
              <w:trPr>
                <w:trHeight w:val="50" w:hRule="atLeast"/>
              </w:trPr>
              <w:tc>
                <w:tcPr>
                  <w:tcW w:w="374" w:type="dxa"/>
                  <w:tcBorders>
                    <w:top w:val="single" w:color="auto" w:sz="8" w:space="0"/>
                    <w:left w:val="single" w:color="auto" w:sz="8" w:space="0"/>
                    <w:bottom w:val="single" w:color="auto" w:sz="4" w:space="0"/>
                    <w:right w:val="single" w:color="auto" w:sz="8" w:space="0"/>
                  </w:tcBorders>
                  <w:vAlign w:val="center"/>
                </w:tcPr>
                <w:p>
                  <w:pPr>
                    <w:jc w:val="center"/>
                    <w:rPr>
                      <w:rFonts w:ascii="宋体" w:hAnsi="宋体"/>
                      <w:sz w:val="24"/>
                      <w:szCs w:val="24"/>
                    </w:rPr>
                  </w:pPr>
                  <w:r>
                    <w:rPr>
                      <w:rFonts w:ascii="宋体" w:hAnsi="宋体"/>
                      <w:sz w:val="24"/>
                      <w:szCs w:val="24"/>
                    </w:rPr>
                    <w:t>序号</w:t>
                  </w:r>
                </w:p>
              </w:tc>
              <w:tc>
                <w:tcPr>
                  <w:tcW w:w="1085" w:type="dxa"/>
                  <w:tcBorders>
                    <w:top w:val="single" w:color="auto" w:sz="8" w:space="0"/>
                    <w:left w:val="single" w:color="auto" w:sz="8" w:space="0"/>
                    <w:bottom w:val="single" w:color="auto" w:sz="4" w:space="0"/>
                    <w:right w:val="single" w:color="auto" w:sz="8" w:space="0"/>
                  </w:tcBorders>
                  <w:vAlign w:val="center"/>
                </w:tcPr>
                <w:p>
                  <w:pPr>
                    <w:jc w:val="center"/>
                    <w:rPr>
                      <w:rFonts w:ascii="宋体" w:hAnsi="宋体"/>
                      <w:sz w:val="24"/>
                      <w:szCs w:val="24"/>
                    </w:rPr>
                  </w:pPr>
                  <w:r>
                    <w:rPr>
                      <w:rFonts w:ascii="宋体" w:hAnsi="宋体"/>
                      <w:sz w:val="24"/>
                      <w:szCs w:val="24"/>
                    </w:rPr>
                    <w:t>项目组成</w:t>
                  </w:r>
                </w:p>
              </w:tc>
              <w:tc>
                <w:tcPr>
                  <w:tcW w:w="1861" w:type="dxa"/>
                  <w:tcBorders>
                    <w:top w:val="single" w:color="auto" w:sz="8" w:space="0"/>
                    <w:left w:val="single" w:color="auto" w:sz="8" w:space="0"/>
                    <w:bottom w:val="single" w:color="auto" w:sz="4" w:space="0"/>
                    <w:right w:val="single" w:color="auto" w:sz="8" w:space="0"/>
                  </w:tcBorders>
                  <w:vAlign w:val="center"/>
                </w:tcPr>
                <w:p>
                  <w:pPr>
                    <w:jc w:val="center"/>
                    <w:rPr>
                      <w:rFonts w:ascii="宋体" w:hAnsi="宋体"/>
                      <w:sz w:val="24"/>
                      <w:szCs w:val="24"/>
                    </w:rPr>
                  </w:pPr>
                  <w:r>
                    <w:rPr>
                      <w:rFonts w:ascii="宋体" w:hAnsi="宋体"/>
                      <w:sz w:val="24"/>
                      <w:szCs w:val="24"/>
                    </w:rPr>
                    <w:t>建设项目</w:t>
                  </w:r>
                </w:p>
              </w:tc>
              <w:tc>
                <w:tcPr>
                  <w:tcW w:w="1897" w:type="dxa"/>
                  <w:tcBorders>
                    <w:top w:val="single" w:color="auto" w:sz="8" w:space="0"/>
                    <w:left w:val="single" w:color="auto" w:sz="8" w:space="0"/>
                    <w:bottom w:val="single" w:color="auto" w:sz="4" w:space="0"/>
                    <w:right w:val="single" w:color="auto" w:sz="4" w:space="0"/>
                  </w:tcBorders>
                  <w:vAlign w:val="center"/>
                </w:tcPr>
                <w:p>
                  <w:pPr>
                    <w:jc w:val="center"/>
                    <w:rPr>
                      <w:rFonts w:ascii="宋体" w:hAnsi="宋体"/>
                      <w:sz w:val="24"/>
                      <w:szCs w:val="24"/>
                    </w:rPr>
                  </w:pPr>
                  <w:r>
                    <w:rPr>
                      <w:rFonts w:hint="eastAsia" w:ascii="宋体" w:hAnsi="宋体"/>
                      <w:sz w:val="24"/>
                      <w:szCs w:val="24"/>
                    </w:rPr>
                    <w:t>建筑面积（m</w:t>
                  </w:r>
                  <w:r>
                    <w:rPr>
                      <w:rFonts w:hint="eastAsia" w:ascii="宋体" w:hAnsi="宋体"/>
                      <w:sz w:val="24"/>
                      <w:szCs w:val="24"/>
                      <w:vertAlign w:val="superscript"/>
                    </w:rPr>
                    <w:t>2</w:t>
                  </w:r>
                  <w:r>
                    <w:rPr>
                      <w:rFonts w:hint="eastAsia" w:ascii="宋体" w:hAnsi="宋体"/>
                      <w:sz w:val="24"/>
                      <w:szCs w:val="24"/>
                    </w:rPr>
                    <w:t>）</w:t>
                  </w:r>
                </w:p>
              </w:tc>
              <w:tc>
                <w:tcPr>
                  <w:tcW w:w="3605" w:type="dxa"/>
                  <w:tcBorders>
                    <w:top w:val="single" w:color="auto" w:sz="8" w:space="0"/>
                    <w:left w:val="single" w:color="auto" w:sz="4" w:space="0"/>
                    <w:bottom w:val="single" w:color="auto" w:sz="4" w:space="0"/>
                    <w:right w:val="single" w:color="auto" w:sz="8" w:space="0"/>
                  </w:tcBorders>
                  <w:vAlign w:val="center"/>
                </w:tcPr>
                <w:p>
                  <w:pPr>
                    <w:jc w:val="center"/>
                    <w:rPr>
                      <w:rFonts w:ascii="宋体" w:hAnsi="宋体"/>
                      <w:sz w:val="24"/>
                      <w:szCs w:val="24"/>
                    </w:rPr>
                  </w:pPr>
                  <w:r>
                    <w:rPr>
                      <w:rFonts w:hint="eastAsia" w:ascii="宋体" w:hAnsi="宋体"/>
                      <w:sz w:val="24"/>
                      <w:szCs w:val="24"/>
                    </w:rPr>
                    <w:t>备注</w:t>
                  </w:r>
                </w:p>
              </w:tc>
            </w:tr>
            <w:tr>
              <w:tblPrEx>
                <w:tblLayout w:type="fixed"/>
                <w:tblCellMar>
                  <w:top w:w="0" w:type="dxa"/>
                  <w:left w:w="0" w:type="dxa"/>
                  <w:bottom w:w="0" w:type="dxa"/>
                  <w:right w:w="0" w:type="dxa"/>
                </w:tblCellMar>
              </w:tblPrEx>
              <w:trPr>
                <w:trHeight w:val="225" w:hRule="atLeast"/>
              </w:trPr>
              <w:tc>
                <w:tcPr>
                  <w:tcW w:w="374" w:type="dxa"/>
                  <w:vMerge w:val="restart"/>
                  <w:tcBorders>
                    <w:top w:val="single" w:color="auto" w:sz="4" w:space="0"/>
                    <w:left w:val="single" w:color="auto" w:sz="8" w:space="0"/>
                    <w:right w:val="single" w:color="auto" w:sz="8" w:space="0"/>
                  </w:tcBorders>
                  <w:vAlign w:val="center"/>
                </w:tcPr>
                <w:p>
                  <w:pPr>
                    <w:jc w:val="center"/>
                    <w:rPr>
                      <w:rFonts w:ascii="宋体" w:hAnsi="宋体"/>
                      <w:sz w:val="24"/>
                      <w:szCs w:val="24"/>
                    </w:rPr>
                  </w:pPr>
                  <w:r>
                    <w:rPr>
                      <w:rFonts w:hint="eastAsia" w:ascii="宋体" w:hAnsi="宋体"/>
                      <w:sz w:val="24"/>
                      <w:szCs w:val="24"/>
                    </w:rPr>
                    <w:t xml:space="preserve">1 </w:t>
                  </w:r>
                </w:p>
              </w:tc>
              <w:tc>
                <w:tcPr>
                  <w:tcW w:w="1085" w:type="dxa"/>
                  <w:vMerge w:val="restart"/>
                  <w:tcBorders>
                    <w:top w:val="single" w:color="auto" w:sz="4" w:space="0"/>
                    <w:left w:val="single" w:color="auto" w:sz="8" w:space="0"/>
                    <w:right w:val="single" w:color="auto" w:sz="4" w:space="0"/>
                  </w:tcBorders>
                  <w:vAlign w:val="center"/>
                </w:tcPr>
                <w:p>
                  <w:pPr>
                    <w:jc w:val="center"/>
                    <w:rPr>
                      <w:rFonts w:ascii="宋体" w:hAnsi="宋体"/>
                      <w:sz w:val="24"/>
                      <w:szCs w:val="24"/>
                    </w:rPr>
                  </w:pPr>
                  <w:r>
                    <w:rPr>
                      <w:rFonts w:ascii="宋体" w:hAnsi="宋体"/>
                      <w:sz w:val="24"/>
                      <w:szCs w:val="24"/>
                    </w:rPr>
                    <w:t>主体工程</w:t>
                  </w:r>
                </w:p>
              </w:tc>
              <w:tc>
                <w:tcPr>
                  <w:tcW w:w="1861" w:type="dxa"/>
                  <w:tcBorders>
                    <w:top w:val="single" w:color="auto" w:sz="8" w:space="0"/>
                    <w:left w:val="single" w:color="auto" w:sz="4" w:space="0"/>
                    <w:bottom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演播厅</w:t>
                  </w:r>
                </w:p>
              </w:tc>
              <w:tc>
                <w:tcPr>
                  <w:tcW w:w="1897" w:type="dxa"/>
                  <w:vMerge w:val="restart"/>
                  <w:tcBorders>
                    <w:top w:val="single" w:color="auto" w:sz="8" w:space="0"/>
                    <w:left w:val="single" w:color="auto" w:sz="8" w:space="0"/>
                    <w:right w:val="single" w:color="auto" w:sz="4" w:space="0"/>
                  </w:tcBorders>
                  <w:vAlign w:val="center"/>
                </w:tcPr>
                <w:p>
                  <w:pPr>
                    <w:jc w:val="center"/>
                    <w:rPr>
                      <w:rFonts w:ascii="宋体" w:hAnsi="宋体"/>
                      <w:color w:val="000000"/>
                      <w:sz w:val="24"/>
                      <w:szCs w:val="24"/>
                    </w:rPr>
                  </w:pPr>
                  <w:r>
                    <w:rPr>
                      <w:rFonts w:ascii="宋体" w:hAnsi="宋体"/>
                      <w:color w:val="000000"/>
                      <w:sz w:val="24"/>
                      <w:szCs w:val="24"/>
                    </w:rPr>
                    <w:t>60181.00</w:t>
                  </w:r>
                </w:p>
              </w:tc>
              <w:tc>
                <w:tcPr>
                  <w:tcW w:w="3605" w:type="dxa"/>
                  <w:vMerge w:val="restart"/>
                  <w:tcBorders>
                    <w:top w:val="single" w:color="auto" w:sz="8" w:space="0"/>
                    <w:left w:val="single" w:color="auto" w:sz="4" w:space="0"/>
                    <w:right w:val="single" w:color="auto" w:sz="8" w:space="0"/>
                  </w:tcBorders>
                </w:tcPr>
                <w:p>
                  <w:pPr>
                    <w:jc w:val="center"/>
                    <w:rPr>
                      <w:rFonts w:ascii="宋体" w:hAnsi="宋体"/>
                      <w:color w:val="000000"/>
                      <w:sz w:val="24"/>
                      <w:szCs w:val="24"/>
                    </w:rPr>
                  </w:pPr>
                  <w:r>
                    <w:rPr>
                      <w:rFonts w:hint="eastAsia" w:ascii="宋体" w:hAnsi="宋体"/>
                      <w:color w:val="000000"/>
                      <w:sz w:val="24"/>
                      <w:szCs w:val="24"/>
                    </w:rPr>
                    <w:t>酒店略呈弧线造型，22层</w:t>
                  </w:r>
                </w:p>
              </w:tc>
            </w:tr>
            <w:tr>
              <w:tblPrEx>
                <w:tblLayout w:type="fixed"/>
                <w:tblCellMar>
                  <w:top w:w="0" w:type="dxa"/>
                  <w:left w:w="0" w:type="dxa"/>
                  <w:bottom w:w="0" w:type="dxa"/>
                  <w:right w:w="0" w:type="dxa"/>
                </w:tblCellMar>
              </w:tblPrEx>
              <w:trPr>
                <w:trHeight w:val="88" w:hRule="atLeast"/>
              </w:trPr>
              <w:tc>
                <w:tcPr>
                  <w:tcW w:w="374" w:type="dxa"/>
                  <w:vMerge w:val="continue"/>
                  <w:tcBorders>
                    <w:top w:val="single" w:color="auto" w:sz="4" w:space="0"/>
                    <w:left w:val="single" w:color="auto" w:sz="8" w:space="0"/>
                    <w:right w:val="single" w:color="auto" w:sz="8" w:space="0"/>
                  </w:tcBorders>
                  <w:vAlign w:val="center"/>
                </w:tcPr>
                <w:p>
                  <w:pPr>
                    <w:jc w:val="center"/>
                    <w:rPr>
                      <w:rFonts w:hint="eastAsia" w:ascii="宋体" w:hAnsi="宋体"/>
                      <w:sz w:val="24"/>
                      <w:szCs w:val="24"/>
                    </w:rPr>
                  </w:pPr>
                </w:p>
              </w:tc>
              <w:tc>
                <w:tcPr>
                  <w:tcW w:w="1085" w:type="dxa"/>
                  <w:vMerge w:val="continue"/>
                  <w:tcBorders>
                    <w:top w:val="single" w:color="auto" w:sz="4" w:space="0"/>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4" w:space="0"/>
                    <w:left w:val="single" w:color="auto" w:sz="4" w:space="0"/>
                    <w:right w:val="single" w:color="auto" w:sz="8" w:space="0"/>
                  </w:tcBorders>
                  <w:vAlign w:val="center"/>
                </w:tcPr>
                <w:p>
                  <w:pPr>
                    <w:jc w:val="center"/>
                    <w:rPr>
                      <w:rFonts w:hint="eastAsia" w:ascii="宋体" w:hAnsi="宋体"/>
                      <w:color w:val="000000"/>
                      <w:sz w:val="24"/>
                      <w:szCs w:val="24"/>
                    </w:rPr>
                  </w:pPr>
                  <w:r>
                    <w:rPr>
                      <w:rFonts w:hint="eastAsia" w:ascii="宋体" w:hAnsi="宋体"/>
                      <w:color w:val="000000"/>
                      <w:sz w:val="24"/>
                      <w:szCs w:val="24"/>
                    </w:rPr>
                    <w:t>宴会厅</w:t>
                  </w:r>
                </w:p>
              </w:tc>
              <w:tc>
                <w:tcPr>
                  <w:tcW w:w="1897" w:type="dxa"/>
                  <w:vMerge w:val="continue"/>
                  <w:tcBorders>
                    <w:top w:val="single" w:color="auto" w:sz="8" w:space="0"/>
                    <w:left w:val="single" w:color="auto" w:sz="8" w:space="0"/>
                    <w:right w:val="single" w:color="auto" w:sz="4" w:space="0"/>
                  </w:tcBorders>
                  <w:vAlign w:val="center"/>
                </w:tcPr>
                <w:p>
                  <w:pPr>
                    <w:jc w:val="center"/>
                    <w:rPr>
                      <w:rFonts w:ascii="宋体" w:hAnsi="宋体"/>
                      <w:color w:val="000000"/>
                      <w:sz w:val="24"/>
                      <w:szCs w:val="24"/>
                    </w:rPr>
                  </w:pPr>
                </w:p>
              </w:tc>
              <w:tc>
                <w:tcPr>
                  <w:tcW w:w="3605" w:type="dxa"/>
                  <w:vMerge w:val="continue"/>
                  <w:tcBorders>
                    <w:left w:val="single" w:color="auto" w:sz="4" w:space="0"/>
                    <w:right w:val="single" w:color="auto" w:sz="8" w:space="0"/>
                  </w:tcBorders>
                </w:tcPr>
                <w:p>
                  <w:pPr>
                    <w:jc w:val="center"/>
                    <w:rPr>
                      <w:rFonts w:hint="eastAsia" w:ascii="宋体" w:hAnsi="宋体"/>
                      <w:color w:val="000000"/>
                      <w:sz w:val="24"/>
                      <w:szCs w:val="24"/>
                    </w:rPr>
                  </w:pPr>
                </w:p>
              </w:tc>
            </w:tr>
            <w:tr>
              <w:tblPrEx>
                <w:tblLayout w:type="fixed"/>
                <w:tblCellMar>
                  <w:top w:w="0" w:type="dxa"/>
                  <w:left w:w="0" w:type="dxa"/>
                  <w:bottom w:w="0" w:type="dxa"/>
                  <w:right w:w="0" w:type="dxa"/>
                </w:tblCellMar>
              </w:tblPrEx>
              <w:trPr>
                <w:trHeight w:val="72"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8" w:space="0"/>
                    <w:left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酒店配套</w:t>
                  </w:r>
                </w:p>
              </w:tc>
              <w:tc>
                <w:tcPr>
                  <w:tcW w:w="1897" w:type="dxa"/>
                  <w:vMerge w:val="continue"/>
                  <w:tcBorders>
                    <w:left w:val="single" w:color="auto" w:sz="8" w:space="0"/>
                    <w:right w:val="single" w:color="auto" w:sz="4" w:space="0"/>
                  </w:tcBorders>
                </w:tcPr>
                <w:p>
                  <w:pPr>
                    <w:jc w:val="center"/>
                    <w:rPr>
                      <w:rFonts w:ascii="宋体" w:hAnsi="宋体"/>
                      <w:color w:val="FF0000"/>
                      <w:sz w:val="24"/>
                      <w:szCs w:val="24"/>
                    </w:rPr>
                  </w:pPr>
                </w:p>
              </w:tc>
              <w:tc>
                <w:tcPr>
                  <w:tcW w:w="3605" w:type="dxa"/>
                  <w:tcBorders>
                    <w:top w:val="single" w:color="auto" w:sz="8" w:space="0"/>
                    <w:left w:val="single" w:color="auto" w:sz="4" w:space="0"/>
                    <w:right w:val="single" w:color="auto" w:sz="8" w:space="0"/>
                  </w:tcBorders>
                </w:tcPr>
                <w:p>
                  <w:pPr>
                    <w:jc w:val="center"/>
                    <w:rPr>
                      <w:rFonts w:ascii="宋体" w:hAnsi="宋体"/>
                      <w:color w:val="FF0000"/>
                      <w:sz w:val="24"/>
                      <w:szCs w:val="24"/>
                    </w:rPr>
                  </w:pPr>
                </w:p>
              </w:tc>
            </w:tr>
            <w:tr>
              <w:tblPrEx>
                <w:tblLayout w:type="fixed"/>
                <w:tblCellMar>
                  <w:top w:w="0" w:type="dxa"/>
                  <w:left w:w="0" w:type="dxa"/>
                  <w:bottom w:w="0" w:type="dxa"/>
                  <w:right w:w="0" w:type="dxa"/>
                </w:tblCellMar>
              </w:tblPrEx>
              <w:trPr>
                <w:trHeight w:val="175"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8" w:space="0"/>
                    <w:left w:val="single" w:color="auto" w:sz="4" w:space="0"/>
                    <w:bottom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酒店客房</w:t>
                  </w:r>
                </w:p>
              </w:tc>
              <w:tc>
                <w:tcPr>
                  <w:tcW w:w="1897" w:type="dxa"/>
                  <w:vMerge w:val="continue"/>
                  <w:tcBorders>
                    <w:left w:val="single" w:color="auto" w:sz="8" w:space="0"/>
                    <w:right w:val="single" w:color="auto" w:sz="4" w:space="0"/>
                  </w:tcBorders>
                  <w:vAlign w:val="center"/>
                </w:tcPr>
                <w:p>
                  <w:pPr>
                    <w:ind w:firstLine="720" w:firstLineChars="300"/>
                    <w:rPr>
                      <w:rFonts w:ascii="宋体" w:hAnsi="宋体"/>
                      <w:color w:val="FF0000"/>
                      <w:sz w:val="24"/>
                      <w:szCs w:val="24"/>
                    </w:rPr>
                  </w:pPr>
                </w:p>
              </w:tc>
              <w:tc>
                <w:tcPr>
                  <w:tcW w:w="3605" w:type="dxa"/>
                  <w:vMerge w:val="restart"/>
                  <w:tcBorders>
                    <w:top w:val="single" w:color="auto" w:sz="8" w:space="0"/>
                    <w:left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themeColor="text1"/>
                      <w:sz w:val="24"/>
                      <w:szCs w:val="24"/>
                    </w:rPr>
                    <w:t>286</w:t>
                  </w:r>
                  <w:r>
                    <w:rPr>
                      <w:rFonts w:hint="eastAsia" w:ascii="宋体" w:hAnsi="宋体"/>
                      <w:color w:val="000000"/>
                      <w:sz w:val="24"/>
                      <w:szCs w:val="24"/>
                    </w:rPr>
                    <w:t>套</w:t>
                  </w:r>
                </w:p>
              </w:tc>
            </w:tr>
            <w:tr>
              <w:tblPrEx>
                <w:tblLayout w:type="fixed"/>
                <w:tblCellMar>
                  <w:top w:w="0" w:type="dxa"/>
                  <w:left w:w="0" w:type="dxa"/>
                  <w:bottom w:w="0" w:type="dxa"/>
                  <w:right w:w="0" w:type="dxa"/>
                </w:tblCellMar>
              </w:tblPrEx>
              <w:trPr>
                <w:trHeight w:val="138"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color w:val="000000"/>
                      <w:sz w:val="24"/>
                      <w:szCs w:val="24"/>
                    </w:rPr>
                  </w:pPr>
                  <w:r>
                    <w:rPr>
                      <w:rFonts w:hint="eastAsia" w:ascii="宋体" w:hAnsi="宋体"/>
                      <w:color w:val="000000"/>
                      <w:sz w:val="24"/>
                      <w:szCs w:val="24"/>
                    </w:rPr>
                    <w:t>婚庆公园</w:t>
                  </w:r>
                </w:p>
              </w:tc>
              <w:tc>
                <w:tcPr>
                  <w:tcW w:w="1897" w:type="dxa"/>
                  <w:vMerge w:val="continue"/>
                  <w:tcBorders>
                    <w:left w:val="single" w:color="auto" w:sz="8" w:space="0"/>
                    <w:right w:val="single" w:color="auto" w:sz="4" w:space="0"/>
                  </w:tcBorders>
                  <w:vAlign w:val="center"/>
                </w:tcPr>
                <w:p>
                  <w:pPr>
                    <w:ind w:firstLine="720" w:firstLineChars="300"/>
                    <w:rPr>
                      <w:rFonts w:ascii="宋体" w:hAnsi="宋体"/>
                      <w:color w:val="FF0000"/>
                      <w:sz w:val="24"/>
                      <w:szCs w:val="24"/>
                    </w:rPr>
                  </w:pPr>
                </w:p>
              </w:tc>
              <w:tc>
                <w:tcPr>
                  <w:tcW w:w="3605" w:type="dxa"/>
                  <w:vMerge w:val="continue"/>
                  <w:tcBorders>
                    <w:left w:val="single" w:color="auto" w:sz="4" w:space="0"/>
                    <w:bottom w:val="single" w:color="auto" w:sz="4" w:space="0"/>
                    <w:right w:val="single" w:color="auto" w:sz="8" w:space="0"/>
                  </w:tcBorders>
                  <w:vAlign w:val="center"/>
                </w:tcPr>
                <w:p>
                  <w:pPr>
                    <w:jc w:val="center"/>
                    <w:rPr>
                      <w:rFonts w:hint="eastAsia" w:ascii="宋体" w:hAnsi="宋体"/>
                      <w:color w:val="000000" w:themeColor="text1"/>
                      <w:sz w:val="24"/>
                      <w:szCs w:val="24"/>
                    </w:rPr>
                  </w:pPr>
                </w:p>
              </w:tc>
            </w:tr>
            <w:tr>
              <w:tblPrEx>
                <w:tblLayout w:type="fixed"/>
                <w:tblCellMar>
                  <w:top w:w="0" w:type="dxa"/>
                  <w:left w:w="0" w:type="dxa"/>
                  <w:bottom w:w="0" w:type="dxa"/>
                  <w:right w:w="0" w:type="dxa"/>
                </w:tblCellMar>
              </w:tblPrEx>
              <w:trPr>
                <w:trHeight w:val="41"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4" w:space="0"/>
                    <w:left w:val="single" w:color="auto" w:sz="4" w:space="0"/>
                    <w:bottom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配套用房</w:t>
                  </w:r>
                </w:p>
              </w:tc>
              <w:tc>
                <w:tcPr>
                  <w:tcW w:w="1897" w:type="dxa"/>
                  <w:vMerge w:val="continue"/>
                  <w:tcBorders>
                    <w:left w:val="single" w:color="auto" w:sz="8" w:space="0"/>
                    <w:right w:val="single" w:color="auto" w:sz="4" w:space="0"/>
                  </w:tcBorders>
                  <w:vAlign w:val="center"/>
                </w:tcPr>
                <w:p>
                  <w:pPr>
                    <w:ind w:firstLine="720" w:firstLineChars="300"/>
                    <w:rPr>
                      <w:rFonts w:ascii="宋体" w:hAnsi="宋体"/>
                      <w:color w:val="FF0000"/>
                      <w:sz w:val="24"/>
                      <w:szCs w:val="24"/>
                    </w:rPr>
                  </w:pPr>
                </w:p>
              </w:tc>
              <w:tc>
                <w:tcPr>
                  <w:tcW w:w="3605" w:type="dxa"/>
                  <w:tcBorders>
                    <w:top w:val="single" w:color="auto" w:sz="8" w:space="0"/>
                    <w:left w:val="single" w:color="auto" w:sz="4" w:space="0"/>
                    <w:bottom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1栋3-7层</w:t>
                  </w:r>
                </w:p>
              </w:tc>
            </w:tr>
            <w:tr>
              <w:tblPrEx>
                <w:tblLayout w:type="fixed"/>
                <w:tblCellMar>
                  <w:top w:w="0" w:type="dxa"/>
                  <w:left w:w="0" w:type="dxa"/>
                  <w:bottom w:w="0" w:type="dxa"/>
                  <w:right w:w="0" w:type="dxa"/>
                </w:tblCellMar>
              </w:tblPrEx>
              <w:trPr>
                <w:trHeight w:val="40" w:hRule="atLeast"/>
              </w:trPr>
              <w:tc>
                <w:tcPr>
                  <w:tcW w:w="374" w:type="dxa"/>
                  <w:vMerge w:val="continue"/>
                  <w:tcBorders>
                    <w:left w:val="single" w:color="auto" w:sz="8" w:space="0"/>
                    <w:bottom w:val="single" w:color="auto" w:sz="4"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bottom w:val="single" w:color="auto" w:sz="4" w:space="0"/>
                    <w:right w:val="single" w:color="auto" w:sz="4" w:space="0"/>
                  </w:tcBorders>
                  <w:vAlign w:val="center"/>
                </w:tcPr>
                <w:p>
                  <w:pPr>
                    <w:jc w:val="center"/>
                    <w:rPr>
                      <w:rFonts w:ascii="宋体" w:hAnsi="宋体"/>
                      <w:sz w:val="24"/>
                      <w:szCs w:val="24"/>
                    </w:rPr>
                  </w:pPr>
                </w:p>
              </w:tc>
              <w:tc>
                <w:tcPr>
                  <w:tcW w:w="1861" w:type="dxa"/>
                  <w:tcBorders>
                    <w:top w:val="single" w:color="auto" w:sz="4" w:space="0"/>
                    <w:left w:val="single" w:color="auto" w:sz="4" w:space="0"/>
                    <w:bottom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酒店地下室配套</w:t>
                  </w:r>
                </w:p>
              </w:tc>
              <w:tc>
                <w:tcPr>
                  <w:tcW w:w="1897" w:type="dxa"/>
                  <w:vMerge w:val="continue"/>
                  <w:tcBorders>
                    <w:left w:val="single" w:color="auto" w:sz="8" w:space="0"/>
                    <w:bottom w:val="single" w:color="auto" w:sz="4" w:space="0"/>
                    <w:right w:val="single" w:color="auto" w:sz="4" w:space="0"/>
                  </w:tcBorders>
                  <w:vAlign w:val="center"/>
                </w:tcPr>
                <w:p>
                  <w:pPr>
                    <w:jc w:val="center"/>
                    <w:rPr>
                      <w:rFonts w:ascii="宋体" w:hAnsi="宋体"/>
                      <w:color w:val="FF0000"/>
                      <w:sz w:val="24"/>
                      <w:szCs w:val="24"/>
                    </w:rPr>
                  </w:pPr>
                </w:p>
              </w:tc>
              <w:tc>
                <w:tcPr>
                  <w:tcW w:w="3605" w:type="dxa"/>
                  <w:tcBorders>
                    <w:top w:val="single" w:color="auto" w:sz="4" w:space="0"/>
                    <w:left w:val="single" w:color="auto" w:sz="4" w:space="0"/>
                    <w:bottom w:val="single" w:color="auto" w:sz="4" w:space="0"/>
                    <w:right w:val="single" w:color="auto" w:sz="8" w:space="0"/>
                  </w:tcBorders>
                  <w:vAlign w:val="center"/>
                </w:tcPr>
                <w:p>
                  <w:pPr>
                    <w:jc w:val="center"/>
                    <w:rPr>
                      <w:rFonts w:ascii="宋体" w:hAnsi="宋体"/>
                      <w:color w:val="FF0000"/>
                      <w:sz w:val="24"/>
                      <w:szCs w:val="24"/>
                    </w:rPr>
                  </w:pPr>
                </w:p>
              </w:tc>
            </w:tr>
            <w:tr>
              <w:tblPrEx>
                <w:tblLayout w:type="fixed"/>
                <w:tblCellMar>
                  <w:top w:w="0" w:type="dxa"/>
                  <w:left w:w="0" w:type="dxa"/>
                  <w:bottom w:w="0" w:type="dxa"/>
                  <w:right w:w="0" w:type="dxa"/>
                </w:tblCellMar>
              </w:tblPrEx>
              <w:trPr>
                <w:trHeight w:val="109" w:hRule="atLeast"/>
              </w:trPr>
              <w:tc>
                <w:tcPr>
                  <w:tcW w:w="374" w:type="dxa"/>
                  <w:vMerge w:val="restart"/>
                  <w:tcBorders>
                    <w:top w:val="single" w:color="auto" w:sz="6" w:space="0"/>
                    <w:left w:val="single" w:color="auto" w:sz="8" w:space="0"/>
                    <w:right w:val="single" w:color="auto" w:sz="8" w:space="0"/>
                  </w:tcBorders>
                  <w:vAlign w:val="center"/>
                </w:tcPr>
                <w:p>
                  <w:pPr>
                    <w:jc w:val="center"/>
                    <w:rPr>
                      <w:rFonts w:ascii="宋体" w:hAnsi="宋体"/>
                      <w:sz w:val="24"/>
                      <w:szCs w:val="24"/>
                    </w:rPr>
                  </w:pPr>
                  <w:r>
                    <w:rPr>
                      <w:rFonts w:hint="eastAsia" w:ascii="宋体" w:hAnsi="宋体"/>
                      <w:sz w:val="24"/>
                      <w:szCs w:val="24"/>
                    </w:rPr>
                    <w:t>2</w:t>
                  </w:r>
                </w:p>
              </w:tc>
              <w:tc>
                <w:tcPr>
                  <w:tcW w:w="1085" w:type="dxa"/>
                  <w:vMerge w:val="restart"/>
                  <w:tcBorders>
                    <w:top w:val="single" w:color="auto" w:sz="6" w:space="0"/>
                    <w:left w:val="single" w:color="auto" w:sz="8" w:space="0"/>
                    <w:right w:val="single" w:color="auto" w:sz="8" w:space="0"/>
                  </w:tcBorders>
                  <w:vAlign w:val="center"/>
                </w:tcPr>
                <w:p>
                  <w:pPr>
                    <w:jc w:val="center"/>
                    <w:rPr>
                      <w:rFonts w:ascii="宋体" w:hAnsi="宋体"/>
                      <w:sz w:val="24"/>
                      <w:szCs w:val="24"/>
                    </w:rPr>
                  </w:pPr>
                  <w:r>
                    <w:rPr>
                      <w:rFonts w:hint="eastAsia" w:ascii="宋体" w:hAnsi="宋体"/>
                      <w:sz w:val="24"/>
                      <w:szCs w:val="24"/>
                    </w:rPr>
                    <w:t>辅助工程</w:t>
                  </w:r>
                </w:p>
              </w:tc>
              <w:tc>
                <w:tcPr>
                  <w:tcW w:w="1861" w:type="dxa"/>
                  <w:tcBorders>
                    <w:top w:val="single" w:color="auto" w:sz="4" w:space="0"/>
                    <w:left w:val="single" w:color="auto" w:sz="8" w:space="0"/>
                    <w:right w:val="single" w:color="auto" w:sz="8" w:space="0"/>
                  </w:tcBorders>
                </w:tcPr>
                <w:p>
                  <w:pPr>
                    <w:jc w:val="center"/>
                    <w:rPr>
                      <w:rFonts w:ascii="宋体" w:hAnsi="宋体"/>
                      <w:color w:val="000000"/>
                      <w:sz w:val="24"/>
                      <w:szCs w:val="24"/>
                    </w:rPr>
                  </w:pPr>
                  <w:r>
                    <w:rPr>
                      <w:rFonts w:hint="eastAsia" w:ascii="宋体" w:hAnsi="宋体"/>
                      <w:color w:val="000000"/>
                      <w:sz w:val="24"/>
                      <w:szCs w:val="24"/>
                    </w:rPr>
                    <w:t>地面停车位</w:t>
                  </w:r>
                </w:p>
              </w:tc>
              <w:tc>
                <w:tcPr>
                  <w:tcW w:w="1897" w:type="dxa"/>
                  <w:tcBorders>
                    <w:top w:val="single" w:color="auto" w:sz="4" w:space="0"/>
                    <w:left w:val="single" w:color="auto" w:sz="8" w:space="0"/>
                    <w:right w:val="single" w:color="auto" w:sz="4" w:space="0"/>
                  </w:tcBorders>
                </w:tcPr>
                <w:p>
                  <w:pPr>
                    <w:jc w:val="center"/>
                    <w:rPr>
                      <w:rFonts w:ascii="宋体" w:hAnsi="宋体"/>
                      <w:color w:val="FF0000"/>
                      <w:sz w:val="24"/>
                      <w:szCs w:val="24"/>
                    </w:rPr>
                  </w:pPr>
                </w:p>
              </w:tc>
              <w:tc>
                <w:tcPr>
                  <w:tcW w:w="3605" w:type="dxa"/>
                  <w:tcBorders>
                    <w:top w:val="single" w:color="auto" w:sz="4" w:space="0"/>
                    <w:left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107个车位</w:t>
                  </w:r>
                </w:p>
              </w:tc>
            </w:tr>
            <w:tr>
              <w:tblPrEx>
                <w:tblLayout w:type="fixed"/>
                <w:tblCellMar>
                  <w:top w:w="0" w:type="dxa"/>
                  <w:left w:w="0" w:type="dxa"/>
                  <w:bottom w:w="0" w:type="dxa"/>
                  <w:right w:w="0" w:type="dxa"/>
                </w:tblCellMar>
              </w:tblPrEx>
              <w:trPr>
                <w:trHeight w:val="112"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861" w:type="dxa"/>
                  <w:tcBorders>
                    <w:top w:val="single" w:color="auto" w:sz="4" w:space="0"/>
                    <w:left w:val="single" w:color="auto" w:sz="8" w:space="0"/>
                    <w:right w:val="single" w:color="auto" w:sz="8" w:space="0"/>
                  </w:tcBorders>
                </w:tcPr>
                <w:p>
                  <w:pPr>
                    <w:jc w:val="center"/>
                    <w:rPr>
                      <w:rFonts w:ascii="宋体" w:hAnsi="宋体"/>
                      <w:color w:val="000000"/>
                      <w:sz w:val="24"/>
                      <w:szCs w:val="24"/>
                    </w:rPr>
                  </w:pPr>
                  <w:r>
                    <w:rPr>
                      <w:rFonts w:hint="eastAsia" w:ascii="宋体" w:hAnsi="宋体"/>
                      <w:color w:val="000000"/>
                      <w:sz w:val="24"/>
                      <w:szCs w:val="24"/>
                    </w:rPr>
                    <w:t>地下停车位</w:t>
                  </w:r>
                </w:p>
              </w:tc>
              <w:tc>
                <w:tcPr>
                  <w:tcW w:w="1897" w:type="dxa"/>
                  <w:tcBorders>
                    <w:top w:val="single" w:color="auto" w:sz="4" w:space="0"/>
                    <w:left w:val="single" w:color="auto" w:sz="8" w:space="0"/>
                    <w:right w:val="single" w:color="auto" w:sz="4" w:space="0"/>
                  </w:tcBorders>
                </w:tcPr>
                <w:p>
                  <w:pPr>
                    <w:jc w:val="center"/>
                    <w:rPr>
                      <w:rFonts w:ascii="宋体" w:hAnsi="宋体"/>
                      <w:color w:val="FF0000"/>
                      <w:sz w:val="24"/>
                      <w:szCs w:val="24"/>
                    </w:rPr>
                  </w:pPr>
                </w:p>
              </w:tc>
              <w:tc>
                <w:tcPr>
                  <w:tcW w:w="3605" w:type="dxa"/>
                  <w:tcBorders>
                    <w:top w:val="single" w:color="auto" w:sz="4" w:space="0"/>
                    <w:left w:val="single" w:color="auto" w:sz="4" w:space="0"/>
                    <w:right w:val="single" w:color="auto" w:sz="8" w:space="0"/>
                  </w:tcBorders>
                  <w:vAlign w:val="center"/>
                </w:tcPr>
                <w:p>
                  <w:pPr>
                    <w:jc w:val="center"/>
                    <w:rPr>
                      <w:rFonts w:ascii="宋体" w:hAnsi="宋体"/>
                      <w:color w:val="000000"/>
                      <w:sz w:val="24"/>
                      <w:szCs w:val="24"/>
                    </w:rPr>
                  </w:pPr>
                  <w:r>
                    <w:rPr>
                      <w:rFonts w:hint="eastAsia" w:ascii="宋体" w:hAnsi="宋体"/>
                      <w:color w:val="000000"/>
                      <w:sz w:val="24"/>
                      <w:szCs w:val="24"/>
                    </w:rPr>
                    <w:t>240个车位</w:t>
                  </w:r>
                </w:p>
              </w:tc>
            </w:tr>
            <w:tr>
              <w:tblPrEx>
                <w:tblLayout w:type="fixed"/>
                <w:tblCellMar>
                  <w:top w:w="0" w:type="dxa"/>
                  <w:left w:w="0" w:type="dxa"/>
                  <w:bottom w:w="0" w:type="dxa"/>
                  <w:right w:w="0" w:type="dxa"/>
                </w:tblCellMar>
              </w:tblPrEx>
              <w:trPr>
                <w:trHeight w:val="16" w:hRule="atLeast"/>
              </w:trPr>
              <w:tc>
                <w:tcPr>
                  <w:tcW w:w="374" w:type="dxa"/>
                  <w:vMerge w:val="restart"/>
                  <w:tcBorders>
                    <w:top w:val="single" w:color="auto" w:sz="8" w:space="0"/>
                    <w:left w:val="single" w:color="auto" w:sz="8" w:space="0"/>
                    <w:right w:val="single" w:color="auto" w:sz="8" w:space="0"/>
                  </w:tcBorders>
                  <w:vAlign w:val="center"/>
                </w:tcPr>
                <w:p>
                  <w:pPr>
                    <w:jc w:val="center"/>
                    <w:rPr>
                      <w:rFonts w:ascii="宋体" w:hAnsi="宋体"/>
                      <w:sz w:val="24"/>
                      <w:szCs w:val="24"/>
                    </w:rPr>
                  </w:pPr>
                  <w:r>
                    <w:rPr>
                      <w:rFonts w:hint="eastAsia" w:ascii="宋体" w:hAnsi="宋体"/>
                      <w:sz w:val="24"/>
                      <w:szCs w:val="24"/>
                    </w:rPr>
                    <w:t>3</w:t>
                  </w:r>
                </w:p>
              </w:tc>
              <w:tc>
                <w:tcPr>
                  <w:tcW w:w="1085" w:type="dxa"/>
                  <w:vMerge w:val="restart"/>
                  <w:tcBorders>
                    <w:top w:val="single" w:color="auto" w:sz="8" w:space="0"/>
                    <w:left w:val="single" w:color="auto" w:sz="8" w:space="0"/>
                    <w:right w:val="single" w:color="auto" w:sz="4" w:space="0"/>
                  </w:tcBorders>
                  <w:vAlign w:val="center"/>
                </w:tcPr>
                <w:p>
                  <w:pPr>
                    <w:jc w:val="center"/>
                    <w:rPr>
                      <w:rFonts w:ascii="宋体" w:hAnsi="宋体"/>
                      <w:sz w:val="24"/>
                      <w:szCs w:val="24"/>
                    </w:rPr>
                  </w:pPr>
                  <w:r>
                    <w:rPr>
                      <w:rFonts w:hint="eastAsia" w:ascii="宋体" w:hAnsi="宋体"/>
                      <w:sz w:val="24"/>
                      <w:szCs w:val="24"/>
                    </w:rPr>
                    <w:t>公用工程</w:t>
                  </w:r>
                </w:p>
              </w:tc>
              <w:tc>
                <w:tcPr>
                  <w:tcW w:w="1861" w:type="dxa"/>
                  <w:vMerge w:val="restart"/>
                  <w:tcBorders>
                    <w:top w:val="single" w:color="auto" w:sz="4" w:space="0"/>
                    <w:left w:val="single" w:color="auto" w:sz="4" w:space="0"/>
                    <w:right w:val="single" w:color="auto" w:sz="8" w:space="0"/>
                  </w:tcBorders>
                  <w:vAlign w:val="center"/>
                </w:tcPr>
                <w:p>
                  <w:pPr>
                    <w:jc w:val="center"/>
                    <w:rPr>
                      <w:rFonts w:ascii="宋体" w:hAnsi="宋体"/>
                      <w:sz w:val="24"/>
                      <w:szCs w:val="24"/>
                    </w:rPr>
                  </w:pPr>
                  <w:r>
                    <w:rPr>
                      <w:rFonts w:ascii="宋体" w:hAnsi="宋体"/>
                      <w:sz w:val="24"/>
                      <w:szCs w:val="24"/>
                    </w:rPr>
                    <w:t>给排水</w:t>
                  </w:r>
                </w:p>
              </w:tc>
              <w:tc>
                <w:tcPr>
                  <w:tcW w:w="5502" w:type="dxa"/>
                  <w:gridSpan w:val="2"/>
                  <w:tcBorders>
                    <w:top w:val="single" w:color="auto" w:sz="8" w:space="0"/>
                    <w:left w:val="single" w:color="auto" w:sz="8" w:space="0"/>
                    <w:bottom w:val="single" w:color="auto" w:sz="8" w:space="0"/>
                    <w:right w:val="single" w:color="auto" w:sz="8" w:space="0"/>
                  </w:tcBorders>
                  <w:vAlign w:val="center"/>
                </w:tcPr>
                <w:p>
                  <w:pPr>
                    <w:rPr>
                      <w:rFonts w:ascii="宋体" w:hAnsi="宋体"/>
                      <w:color w:val="000000"/>
                      <w:sz w:val="24"/>
                      <w:szCs w:val="24"/>
                    </w:rPr>
                  </w:pPr>
                  <w:r>
                    <w:rPr>
                      <w:rFonts w:ascii="宋体" w:hAnsi="宋体"/>
                      <w:color w:val="000000"/>
                      <w:sz w:val="24"/>
                      <w:szCs w:val="24"/>
                    </w:rPr>
                    <w:t>给水</w:t>
                  </w:r>
                  <w:r>
                    <w:rPr>
                      <w:rFonts w:hint="eastAsia" w:ascii="宋体" w:hAnsi="宋体"/>
                      <w:color w:val="000000"/>
                      <w:sz w:val="24"/>
                      <w:szCs w:val="24"/>
                    </w:rPr>
                    <w:t>：市政</w:t>
                  </w:r>
                  <w:r>
                    <w:rPr>
                      <w:rFonts w:ascii="宋体" w:hAnsi="宋体"/>
                      <w:color w:val="000000"/>
                      <w:sz w:val="24"/>
                      <w:szCs w:val="24"/>
                    </w:rPr>
                    <w:t>供水管网给水</w:t>
                  </w:r>
                </w:p>
                <w:p>
                  <w:pPr>
                    <w:rPr>
                      <w:rFonts w:ascii="宋体" w:hAnsi="宋体"/>
                      <w:color w:val="000000"/>
                      <w:sz w:val="24"/>
                      <w:szCs w:val="24"/>
                    </w:rPr>
                  </w:pPr>
                  <w:r>
                    <w:rPr>
                      <w:rFonts w:ascii="宋体" w:hAnsi="宋体"/>
                      <w:color w:val="000000"/>
                      <w:sz w:val="24"/>
                      <w:szCs w:val="24"/>
                    </w:rPr>
                    <w:t>排水：雨污分流制。生活污</w:t>
                  </w:r>
                  <w:r>
                    <w:rPr>
                      <w:rFonts w:ascii="宋体" w:hAnsi="宋体"/>
                      <w:color w:val="000000" w:themeColor="text1"/>
                      <w:sz w:val="24"/>
                      <w:szCs w:val="24"/>
                    </w:rPr>
                    <w:t>水</w:t>
                  </w:r>
                  <w:r>
                    <w:rPr>
                      <w:rFonts w:hint="eastAsia" w:ascii="宋体" w:hAnsi="宋体"/>
                      <w:color w:val="000000"/>
                      <w:sz w:val="24"/>
                      <w:szCs w:val="24"/>
                    </w:rPr>
                    <w:t>经隔油化粪池预处理后</w:t>
                  </w:r>
                  <w:r>
                    <w:rPr>
                      <w:rFonts w:ascii="宋体" w:hAnsi="宋体"/>
                      <w:color w:val="000000"/>
                      <w:sz w:val="24"/>
                      <w:szCs w:val="24"/>
                    </w:rPr>
                    <w:t>排入市政污水管网，</w:t>
                  </w:r>
                  <w:r>
                    <w:rPr>
                      <w:rFonts w:hint="eastAsia" w:ascii="宋体" w:hAnsi="宋体"/>
                      <w:color w:val="000000"/>
                      <w:sz w:val="24"/>
                      <w:szCs w:val="24"/>
                    </w:rPr>
                    <w:t>最终</w:t>
                  </w:r>
                  <w:r>
                    <w:rPr>
                      <w:rFonts w:hint="eastAsia" w:ascii="宋体" w:hAnsi="宋体"/>
                      <w:color w:val="000000"/>
                      <w:kern w:val="0"/>
                      <w:sz w:val="24"/>
                      <w:szCs w:val="24"/>
                    </w:rPr>
                    <w:t>进入洪江市污水处理厂</w:t>
                  </w:r>
                  <w:r>
                    <w:rPr>
                      <w:rFonts w:ascii="宋体" w:hAnsi="宋体"/>
                      <w:color w:val="000000"/>
                      <w:sz w:val="24"/>
                      <w:szCs w:val="24"/>
                    </w:rPr>
                    <w:t>。</w:t>
                  </w:r>
                </w:p>
              </w:tc>
            </w:tr>
            <w:tr>
              <w:tblPrEx>
                <w:tblLayout w:type="fixed"/>
                <w:tblCellMar>
                  <w:top w:w="0" w:type="dxa"/>
                  <w:left w:w="0" w:type="dxa"/>
                  <w:bottom w:w="0" w:type="dxa"/>
                  <w:right w:w="0" w:type="dxa"/>
                </w:tblCellMar>
              </w:tblPrEx>
              <w:trPr>
                <w:trHeight w:val="99"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8" w:space="0"/>
                    <w:left w:val="single" w:color="auto" w:sz="4" w:space="0"/>
                    <w:right w:val="single" w:color="auto" w:sz="8" w:space="0"/>
                  </w:tcBorders>
                  <w:vAlign w:val="center"/>
                </w:tcPr>
                <w:p>
                  <w:pPr>
                    <w:jc w:val="center"/>
                    <w:rPr>
                      <w:rFonts w:ascii="宋体" w:hAnsi="宋体"/>
                      <w:sz w:val="24"/>
                      <w:szCs w:val="24"/>
                    </w:rPr>
                  </w:pPr>
                  <w:r>
                    <w:rPr>
                      <w:rFonts w:ascii="宋体" w:hAnsi="宋体"/>
                      <w:sz w:val="24"/>
                      <w:szCs w:val="24"/>
                    </w:rPr>
                    <w:t>供电</w:t>
                  </w:r>
                </w:p>
              </w:tc>
              <w:tc>
                <w:tcPr>
                  <w:tcW w:w="5502" w:type="dxa"/>
                  <w:gridSpan w:val="2"/>
                  <w:tcBorders>
                    <w:top w:val="single" w:color="auto" w:sz="8" w:space="0"/>
                    <w:left w:val="single" w:color="auto" w:sz="8" w:space="0"/>
                    <w:right w:val="single" w:color="auto" w:sz="8" w:space="0"/>
                  </w:tcBorders>
                  <w:vAlign w:val="center"/>
                </w:tcPr>
                <w:p>
                  <w:pPr>
                    <w:rPr>
                      <w:rFonts w:hAnsi="宋体"/>
                      <w:color w:val="000000"/>
                      <w:sz w:val="24"/>
                      <w:szCs w:val="24"/>
                    </w:rPr>
                  </w:pPr>
                  <w:r>
                    <w:rPr>
                      <w:rFonts w:hint="eastAsia" w:ascii="宋体" w:hAnsi="宋体"/>
                      <w:color w:val="000000"/>
                      <w:sz w:val="24"/>
                      <w:szCs w:val="24"/>
                    </w:rPr>
                    <w:t>由国网洪江市供电公司提供，安装</w:t>
                  </w:r>
                  <w:r>
                    <w:rPr>
                      <w:rFonts w:hint="eastAsia" w:ascii="宋体"/>
                      <w:color w:val="000000"/>
                      <w:sz w:val="24"/>
                      <w:szCs w:val="24"/>
                    </w:rPr>
                    <w:t>1</w:t>
                  </w:r>
                  <w:r>
                    <w:rPr>
                      <w:rFonts w:hAnsi="宋体"/>
                      <w:color w:val="000000"/>
                      <w:sz w:val="24"/>
                      <w:szCs w:val="24"/>
                    </w:rPr>
                    <w:t>台</w:t>
                  </w:r>
                  <w:r>
                    <w:rPr>
                      <w:rFonts w:hint="eastAsia" w:ascii="宋体"/>
                      <w:color w:val="000000" w:themeColor="text1"/>
                      <w:sz w:val="24"/>
                      <w:szCs w:val="24"/>
                    </w:rPr>
                    <w:t>800KW</w:t>
                  </w:r>
                  <w:r>
                    <w:rPr>
                      <w:rFonts w:hAnsi="宋体"/>
                      <w:color w:val="000000"/>
                      <w:sz w:val="24"/>
                      <w:szCs w:val="24"/>
                    </w:rPr>
                    <w:t>的柴油发电机组</w:t>
                  </w:r>
                  <w:r>
                    <w:rPr>
                      <w:rFonts w:hint="eastAsia" w:hAnsi="宋体"/>
                      <w:color w:val="000000"/>
                      <w:sz w:val="24"/>
                      <w:szCs w:val="24"/>
                    </w:rPr>
                    <w:t>作为备用电源</w:t>
                  </w:r>
                </w:p>
              </w:tc>
            </w:tr>
            <w:tr>
              <w:tblPrEx>
                <w:tblLayout w:type="fixed"/>
                <w:tblCellMar>
                  <w:top w:w="0" w:type="dxa"/>
                  <w:left w:w="0" w:type="dxa"/>
                  <w:bottom w:w="0" w:type="dxa"/>
                  <w:right w:w="0" w:type="dxa"/>
                </w:tblCellMar>
              </w:tblPrEx>
              <w:trPr>
                <w:trHeight w:val="98"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8" w:space="0"/>
                    <w:left w:val="single" w:color="auto" w:sz="4" w:space="0"/>
                    <w:right w:val="single" w:color="auto" w:sz="8" w:space="0"/>
                  </w:tcBorders>
                  <w:vAlign w:val="center"/>
                </w:tcPr>
                <w:p>
                  <w:pPr>
                    <w:jc w:val="center"/>
                    <w:rPr>
                      <w:rFonts w:ascii="宋体" w:hAnsi="宋体"/>
                      <w:color w:val="000000"/>
                      <w:sz w:val="24"/>
                      <w:szCs w:val="24"/>
                    </w:rPr>
                  </w:pPr>
                  <w:r>
                    <w:rPr>
                      <w:rFonts w:ascii="宋体" w:hAnsi="宋体"/>
                      <w:color w:val="000000"/>
                      <w:sz w:val="24"/>
                      <w:szCs w:val="24"/>
                    </w:rPr>
                    <w:t>供</w:t>
                  </w:r>
                  <w:r>
                    <w:rPr>
                      <w:rFonts w:hint="eastAsia" w:ascii="宋体" w:hAnsi="宋体"/>
                      <w:color w:val="000000"/>
                      <w:sz w:val="24"/>
                      <w:szCs w:val="24"/>
                    </w:rPr>
                    <w:t>热制冷</w:t>
                  </w:r>
                </w:p>
              </w:tc>
              <w:tc>
                <w:tcPr>
                  <w:tcW w:w="5502" w:type="dxa"/>
                  <w:gridSpan w:val="2"/>
                  <w:tcBorders>
                    <w:top w:val="single" w:color="auto" w:sz="8" w:space="0"/>
                    <w:left w:val="single" w:color="auto" w:sz="8" w:space="0"/>
                    <w:right w:val="single" w:color="auto" w:sz="8" w:space="0"/>
                  </w:tcBorders>
                  <w:vAlign w:val="center"/>
                </w:tcPr>
                <w:p>
                  <w:pPr>
                    <w:rPr>
                      <w:rFonts w:ascii="宋体" w:hAnsi="宋体"/>
                      <w:color w:val="000000"/>
                      <w:sz w:val="24"/>
                      <w:szCs w:val="24"/>
                    </w:rPr>
                  </w:pPr>
                  <w:r>
                    <w:rPr>
                      <w:rFonts w:hint="eastAsia" w:ascii="宋体" w:hAnsi="宋体"/>
                      <w:color w:val="000000"/>
                      <w:sz w:val="24"/>
                      <w:szCs w:val="24"/>
                    </w:rPr>
                    <w:t>制冷采用中央空调，热水全年由一台1t/h的燃气锅炉提供,冬季供热由2台3t/h的燃气锅炉提供，运行时间120天</w:t>
                  </w:r>
                </w:p>
              </w:tc>
            </w:tr>
            <w:tr>
              <w:tblPrEx>
                <w:tblLayout w:type="fixed"/>
                <w:tblCellMar>
                  <w:top w:w="0" w:type="dxa"/>
                  <w:left w:w="0" w:type="dxa"/>
                  <w:bottom w:w="0" w:type="dxa"/>
                  <w:right w:w="0" w:type="dxa"/>
                </w:tblCellMar>
              </w:tblPrEx>
              <w:trPr>
                <w:trHeight w:val="98" w:hRule="atLeast"/>
              </w:trPr>
              <w:tc>
                <w:tcPr>
                  <w:tcW w:w="374" w:type="dxa"/>
                  <w:vMerge w:val="continue"/>
                  <w:tcBorders>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right w:val="single" w:color="auto" w:sz="4" w:space="0"/>
                  </w:tcBorders>
                  <w:vAlign w:val="center"/>
                </w:tcPr>
                <w:p>
                  <w:pPr>
                    <w:jc w:val="center"/>
                    <w:rPr>
                      <w:rFonts w:ascii="宋体" w:hAnsi="宋体"/>
                      <w:sz w:val="24"/>
                      <w:szCs w:val="24"/>
                    </w:rPr>
                  </w:pPr>
                </w:p>
              </w:tc>
              <w:tc>
                <w:tcPr>
                  <w:tcW w:w="1861" w:type="dxa"/>
                  <w:tcBorders>
                    <w:top w:val="single" w:color="auto" w:sz="8" w:space="0"/>
                    <w:left w:val="single" w:color="auto" w:sz="4" w:space="0"/>
                    <w:right w:val="single" w:color="auto" w:sz="8" w:space="0"/>
                  </w:tcBorders>
                  <w:vAlign w:val="center"/>
                </w:tcPr>
                <w:p>
                  <w:pPr>
                    <w:jc w:val="center"/>
                    <w:rPr>
                      <w:rFonts w:ascii="宋体" w:hAnsi="宋体"/>
                      <w:color w:val="548DD4"/>
                      <w:sz w:val="24"/>
                      <w:szCs w:val="24"/>
                    </w:rPr>
                  </w:pPr>
                  <w:r>
                    <w:rPr>
                      <w:rFonts w:hint="eastAsia" w:ascii="宋体" w:hAnsi="宋体"/>
                      <w:color w:val="000000"/>
                      <w:sz w:val="24"/>
                      <w:szCs w:val="24"/>
                    </w:rPr>
                    <w:t>通风系统</w:t>
                  </w:r>
                </w:p>
              </w:tc>
              <w:tc>
                <w:tcPr>
                  <w:tcW w:w="5502" w:type="dxa"/>
                  <w:gridSpan w:val="2"/>
                  <w:tcBorders>
                    <w:top w:val="single" w:color="auto" w:sz="8" w:space="0"/>
                    <w:left w:val="single" w:color="auto" w:sz="8" w:space="0"/>
                    <w:right w:val="single" w:color="auto" w:sz="8" w:space="0"/>
                  </w:tcBorders>
                  <w:vAlign w:val="center"/>
                </w:tcPr>
                <w:p>
                  <w:pPr>
                    <w:rPr>
                      <w:rFonts w:ascii="宋体" w:hAnsi="宋体"/>
                      <w:color w:val="000000"/>
                      <w:sz w:val="24"/>
                      <w:szCs w:val="24"/>
                    </w:rPr>
                  </w:pPr>
                  <w:r>
                    <w:rPr>
                      <w:rFonts w:hint="eastAsia" w:ascii="宋体" w:hAnsi="宋体"/>
                      <w:color w:val="000000"/>
                      <w:sz w:val="24"/>
                      <w:szCs w:val="24"/>
                    </w:rPr>
                    <w:t>地下车库及地下设备间安装通风换气装置</w:t>
                  </w:r>
                </w:p>
              </w:tc>
            </w:tr>
            <w:tr>
              <w:tblPrEx>
                <w:tblLayout w:type="fixed"/>
                <w:tblCellMar>
                  <w:top w:w="0" w:type="dxa"/>
                  <w:left w:w="0" w:type="dxa"/>
                  <w:bottom w:w="0" w:type="dxa"/>
                  <w:right w:w="0" w:type="dxa"/>
                </w:tblCellMar>
              </w:tblPrEx>
              <w:trPr>
                <w:trHeight w:val="169" w:hRule="atLeast"/>
              </w:trPr>
              <w:tc>
                <w:tcPr>
                  <w:tcW w:w="374" w:type="dxa"/>
                  <w:vMerge w:val="restart"/>
                  <w:tcBorders>
                    <w:top w:val="single" w:color="auto" w:sz="4" w:space="0"/>
                    <w:left w:val="single" w:color="auto" w:sz="8" w:space="0"/>
                    <w:right w:val="single" w:color="auto" w:sz="8" w:space="0"/>
                  </w:tcBorders>
                  <w:vAlign w:val="center"/>
                </w:tcPr>
                <w:p>
                  <w:pPr>
                    <w:jc w:val="center"/>
                    <w:rPr>
                      <w:rFonts w:ascii="宋体" w:hAnsi="宋体"/>
                      <w:sz w:val="24"/>
                      <w:szCs w:val="24"/>
                    </w:rPr>
                  </w:pPr>
                  <w:r>
                    <w:rPr>
                      <w:rFonts w:hint="eastAsia" w:ascii="宋体" w:hAnsi="宋体"/>
                      <w:sz w:val="24"/>
                      <w:szCs w:val="24"/>
                    </w:rPr>
                    <w:t>4</w:t>
                  </w:r>
                </w:p>
              </w:tc>
              <w:tc>
                <w:tcPr>
                  <w:tcW w:w="1085" w:type="dxa"/>
                  <w:vMerge w:val="restart"/>
                  <w:tcBorders>
                    <w:top w:val="single" w:color="auto" w:sz="4" w:space="0"/>
                    <w:left w:val="single" w:color="auto" w:sz="8" w:space="0"/>
                    <w:right w:val="single" w:color="auto" w:sz="8" w:space="0"/>
                  </w:tcBorders>
                  <w:vAlign w:val="center"/>
                </w:tcPr>
                <w:p>
                  <w:pPr>
                    <w:jc w:val="center"/>
                    <w:rPr>
                      <w:rFonts w:ascii="宋体" w:hAnsi="宋体"/>
                      <w:sz w:val="24"/>
                      <w:szCs w:val="24"/>
                    </w:rPr>
                  </w:pPr>
                  <w:r>
                    <w:rPr>
                      <w:rFonts w:ascii="宋体" w:hAnsi="宋体"/>
                      <w:sz w:val="24"/>
                      <w:szCs w:val="24"/>
                    </w:rPr>
                    <w:t>环保工程</w:t>
                  </w:r>
                </w:p>
              </w:tc>
              <w:tc>
                <w:tcPr>
                  <w:tcW w:w="1861" w:type="dxa"/>
                  <w:tcBorders>
                    <w:top w:val="single" w:color="auto" w:sz="4" w:space="0"/>
                    <w:left w:val="single" w:color="auto" w:sz="8" w:space="0"/>
                    <w:right w:val="single" w:color="auto" w:sz="4" w:space="0"/>
                  </w:tcBorders>
                  <w:vAlign w:val="center"/>
                </w:tcPr>
                <w:p>
                  <w:pPr>
                    <w:jc w:val="center"/>
                    <w:rPr>
                      <w:rFonts w:ascii="宋体" w:hAnsi="宋体"/>
                      <w:sz w:val="24"/>
                      <w:szCs w:val="24"/>
                    </w:rPr>
                  </w:pPr>
                  <w:r>
                    <w:rPr>
                      <w:rFonts w:hint="eastAsia" w:ascii="宋体" w:hAnsi="宋体"/>
                      <w:sz w:val="24"/>
                      <w:szCs w:val="24"/>
                    </w:rPr>
                    <w:t>废水处理</w:t>
                  </w:r>
                </w:p>
              </w:tc>
              <w:tc>
                <w:tcPr>
                  <w:tcW w:w="5502" w:type="dxa"/>
                  <w:gridSpan w:val="2"/>
                  <w:tcBorders>
                    <w:top w:val="single" w:color="auto" w:sz="8" w:space="0"/>
                    <w:left w:val="single" w:color="auto" w:sz="4" w:space="0"/>
                    <w:right w:val="single" w:color="auto" w:sz="8" w:space="0"/>
                  </w:tcBorders>
                  <w:vAlign w:val="center"/>
                </w:tcPr>
                <w:p>
                  <w:pPr>
                    <w:rPr>
                      <w:rFonts w:ascii="宋体" w:hAnsi="宋体"/>
                      <w:color w:val="000000"/>
                      <w:sz w:val="24"/>
                      <w:szCs w:val="24"/>
                    </w:rPr>
                  </w:pPr>
                  <w:r>
                    <w:rPr>
                      <w:rFonts w:hint="eastAsia" w:ascii="宋体" w:hAnsi="宋体"/>
                      <w:color w:val="000000"/>
                      <w:sz w:val="24"/>
                      <w:szCs w:val="24"/>
                    </w:rPr>
                    <w:t xml:space="preserve"> 污水经隔油池、化粪池处理后排入市政污水管网</w:t>
                  </w:r>
                </w:p>
              </w:tc>
            </w:tr>
            <w:tr>
              <w:tblPrEx>
                <w:tblLayout w:type="fixed"/>
                <w:tblCellMar>
                  <w:top w:w="0" w:type="dxa"/>
                  <w:left w:w="0" w:type="dxa"/>
                  <w:bottom w:w="0" w:type="dxa"/>
                  <w:right w:w="0" w:type="dxa"/>
                </w:tblCellMar>
              </w:tblPrEx>
              <w:trPr>
                <w:trHeight w:val="49" w:hRule="atLeast"/>
              </w:trPr>
              <w:tc>
                <w:tcPr>
                  <w:tcW w:w="374" w:type="dxa"/>
                  <w:vMerge w:val="continue"/>
                  <w:tcBorders>
                    <w:top w:val="single" w:color="auto" w:sz="4" w:space="0"/>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top w:val="single" w:color="auto" w:sz="4" w:space="0"/>
                    <w:left w:val="single" w:color="auto" w:sz="8" w:space="0"/>
                    <w:right w:val="single" w:color="auto" w:sz="8" w:space="0"/>
                  </w:tcBorders>
                  <w:vAlign w:val="center"/>
                </w:tcPr>
                <w:p>
                  <w:pPr>
                    <w:jc w:val="center"/>
                    <w:rPr>
                      <w:rFonts w:ascii="宋体" w:hAnsi="宋体"/>
                      <w:sz w:val="24"/>
                      <w:szCs w:val="24"/>
                    </w:rPr>
                  </w:pPr>
                </w:p>
              </w:tc>
              <w:tc>
                <w:tcPr>
                  <w:tcW w:w="1861"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sz w:val="24"/>
                      <w:szCs w:val="24"/>
                      <w:highlight w:val="yellow"/>
                    </w:rPr>
                  </w:pPr>
                  <w:r>
                    <w:rPr>
                      <w:rFonts w:hint="eastAsia" w:ascii="宋体" w:hAnsi="宋体"/>
                      <w:sz w:val="24"/>
                      <w:szCs w:val="24"/>
                    </w:rPr>
                    <w:t>固体废物</w:t>
                  </w:r>
                </w:p>
              </w:tc>
              <w:tc>
                <w:tcPr>
                  <w:tcW w:w="5502" w:type="dxa"/>
                  <w:gridSpan w:val="2"/>
                  <w:tcBorders>
                    <w:top w:val="single" w:color="auto" w:sz="8" w:space="0"/>
                    <w:left w:val="single" w:color="auto" w:sz="4" w:space="0"/>
                    <w:bottom w:val="single" w:color="auto" w:sz="8" w:space="0"/>
                    <w:right w:val="single" w:color="auto" w:sz="8" w:space="0"/>
                  </w:tcBorders>
                  <w:vAlign w:val="center"/>
                </w:tcPr>
                <w:p>
                  <w:pPr>
                    <w:rPr>
                      <w:rFonts w:ascii="宋体" w:hAnsi="宋体"/>
                      <w:sz w:val="24"/>
                      <w:szCs w:val="24"/>
                      <w:highlight w:val="yellow"/>
                    </w:rPr>
                  </w:pPr>
                  <w:r>
                    <w:rPr>
                      <w:rFonts w:hint="eastAsia" w:ascii="宋体" w:hAnsi="宋体"/>
                      <w:sz w:val="24"/>
                      <w:szCs w:val="24"/>
                    </w:rPr>
                    <w:t xml:space="preserve"> 设置若干环保垃圾桶和1座地埋式垃圾站，生活垃圾收集到地埋式垃圾站后，交由环卫部门统一负责清运，餐厨垃圾交由有资质单位处理。</w:t>
                  </w:r>
                </w:p>
              </w:tc>
            </w:tr>
            <w:tr>
              <w:tblPrEx>
                <w:tblLayout w:type="fixed"/>
                <w:tblCellMar>
                  <w:top w:w="0" w:type="dxa"/>
                  <w:left w:w="0" w:type="dxa"/>
                  <w:bottom w:w="0" w:type="dxa"/>
                  <w:right w:w="0" w:type="dxa"/>
                </w:tblCellMar>
              </w:tblPrEx>
              <w:trPr>
                <w:trHeight w:val="85" w:hRule="atLeast"/>
              </w:trPr>
              <w:tc>
                <w:tcPr>
                  <w:tcW w:w="374" w:type="dxa"/>
                  <w:vMerge w:val="continue"/>
                  <w:tcBorders>
                    <w:top w:val="single" w:color="auto" w:sz="4" w:space="0"/>
                    <w:left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top w:val="single" w:color="auto" w:sz="4" w:space="0"/>
                    <w:left w:val="single" w:color="auto" w:sz="8" w:space="0"/>
                    <w:right w:val="single" w:color="auto" w:sz="8" w:space="0"/>
                  </w:tcBorders>
                  <w:vAlign w:val="center"/>
                </w:tcPr>
                <w:p>
                  <w:pPr>
                    <w:jc w:val="center"/>
                    <w:rPr>
                      <w:rFonts w:ascii="宋体" w:hAnsi="宋体"/>
                      <w:sz w:val="24"/>
                      <w:szCs w:val="24"/>
                    </w:rPr>
                  </w:pPr>
                </w:p>
              </w:tc>
              <w:tc>
                <w:tcPr>
                  <w:tcW w:w="1861" w:type="dxa"/>
                  <w:tcBorders>
                    <w:top w:val="single" w:color="auto" w:sz="4" w:space="0"/>
                    <w:left w:val="single" w:color="auto" w:sz="8" w:space="0"/>
                    <w:right w:val="single" w:color="auto" w:sz="4" w:space="0"/>
                  </w:tcBorders>
                  <w:vAlign w:val="center"/>
                </w:tcPr>
                <w:p>
                  <w:pPr>
                    <w:jc w:val="center"/>
                    <w:rPr>
                      <w:rFonts w:ascii="宋体" w:hAnsi="宋体"/>
                      <w:sz w:val="24"/>
                      <w:szCs w:val="24"/>
                    </w:rPr>
                  </w:pPr>
                  <w:r>
                    <w:rPr>
                      <w:rFonts w:hint="eastAsia" w:ascii="宋体" w:hAnsi="宋体"/>
                      <w:sz w:val="24"/>
                      <w:szCs w:val="24"/>
                    </w:rPr>
                    <w:t>噪声</w:t>
                  </w:r>
                </w:p>
              </w:tc>
              <w:tc>
                <w:tcPr>
                  <w:tcW w:w="5502" w:type="dxa"/>
                  <w:gridSpan w:val="2"/>
                  <w:tcBorders>
                    <w:top w:val="single" w:color="auto" w:sz="8" w:space="0"/>
                    <w:left w:val="single" w:color="auto" w:sz="4" w:space="0"/>
                    <w:right w:val="single" w:color="auto" w:sz="8" w:space="0"/>
                  </w:tcBorders>
                  <w:vAlign w:val="center"/>
                </w:tcPr>
                <w:p>
                  <w:pPr>
                    <w:rPr>
                      <w:rFonts w:ascii="宋体" w:hAnsi="宋体"/>
                      <w:color w:val="FF0000"/>
                      <w:sz w:val="24"/>
                      <w:szCs w:val="24"/>
                    </w:rPr>
                  </w:pPr>
                  <w:r>
                    <w:rPr>
                      <w:rFonts w:ascii="宋体" w:hAnsi="宋体"/>
                      <w:bCs/>
                      <w:sz w:val="24"/>
                      <w:szCs w:val="24"/>
                    </w:rPr>
                    <w:t>基础减振、隔声</w:t>
                  </w:r>
                  <w:r>
                    <w:rPr>
                      <w:rFonts w:hint="eastAsia" w:ascii="宋体" w:hAnsi="宋体"/>
                      <w:bCs/>
                      <w:sz w:val="24"/>
                      <w:szCs w:val="24"/>
                    </w:rPr>
                    <w:t>。</w:t>
                  </w:r>
                </w:p>
              </w:tc>
            </w:tr>
            <w:tr>
              <w:tblPrEx>
                <w:tblLayout w:type="fixed"/>
                <w:tblCellMar>
                  <w:top w:w="0" w:type="dxa"/>
                  <w:left w:w="0" w:type="dxa"/>
                  <w:bottom w:w="0" w:type="dxa"/>
                  <w:right w:w="0" w:type="dxa"/>
                </w:tblCellMar>
              </w:tblPrEx>
              <w:trPr>
                <w:trHeight w:val="49" w:hRule="atLeast"/>
              </w:trPr>
              <w:tc>
                <w:tcPr>
                  <w:tcW w:w="374" w:type="dxa"/>
                  <w:vMerge w:val="continue"/>
                  <w:tcBorders>
                    <w:left w:val="single" w:color="auto" w:sz="8" w:space="0"/>
                    <w:bottom w:val="single" w:color="auto" w:sz="8" w:space="0"/>
                    <w:right w:val="single" w:color="auto" w:sz="8" w:space="0"/>
                  </w:tcBorders>
                  <w:vAlign w:val="center"/>
                </w:tcPr>
                <w:p>
                  <w:pPr>
                    <w:jc w:val="center"/>
                    <w:rPr>
                      <w:rFonts w:ascii="宋体" w:hAnsi="宋体"/>
                      <w:sz w:val="24"/>
                      <w:szCs w:val="24"/>
                    </w:rPr>
                  </w:pPr>
                </w:p>
              </w:tc>
              <w:tc>
                <w:tcPr>
                  <w:tcW w:w="1085" w:type="dxa"/>
                  <w:vMerge w:val="continue"/>
                  <w:tcBorders>
                    <w:left w:val="single" w:color="auto" w:sz="8" w:space="0"/>
                    <w:bottom w:val="single" w:color="auto" w:sz="8" w:space="0"/>
                    <w:right w:val="single" w:color="auto" w:sz="8" w:space="0"/>
                  </w:tcBorders>
                  <w:vAlign w:val="center"/>
                </w:tcPr>
                <w:p>
                  <w:pPr>
                    <w:jc w:val="center"/>
                    <w:rPr>
                      <w:rFonts w:ascii="宋体" w:hAnsi="宋体"/>
                      <w:sz w:val="24"/>
                      <w:szCs w:val="24"/>
                    </w:rPr>
                  </w:pPr>
                </w:p>
              </w:tc>
              <w:tc>
                <w:tcPr>
                  <w:tcW w:w="1861" w:type="dxa"/>
                  <w:tcBorders>
                    <w:top w:val="single" w:color="auto" w:sz="4" w:space="0"/>
                    <w:left w:val="single" w:color="auto" w:sz="8" w:space="0"/>
                    <w:bottom w:val="single" w:color="auto" w:sz="8" w:space="0"/>
                    <w:right w:val="single" w:color="auto" w:sz="4" w:space="0"/>
                  </w:tcBorders>
                  <w:vAlign w:val="center"/>
                </w:tcPr>
                <w:p>
                  <w:pPr>
                    <w:jc w:val="center"/>
                    <w:rPr>
                      <w:rFonts w:ascii="宋体" w:hAnsi="宋体"/>
                      <w:color w:val="000000"/>
                      <w:sz w:val="24"/>
                      <w:szCs w:val="24"/>
                    </w:rPr>
                  </w:pPr>
                  <w:r>
                    <w:rPr>
                      <w:rFonts w:ascii="宋体" w:hAnsi="宋体"/>
                      <w:color w:val="000000"/>
                      <w:sz w:val="24"/>
                      <w:szCs w:val="24"/>
                    </w:rPr>
                    <w:t>绿化</w:t>
                  </w:r>
                </w:p>
              </w:tc>
              <w:tc>
                <w:tcPr>
                  <w:tcW w:w="5502" w:type="dxa"/>
                  <w:gridSpan w:val="2"/>
                  <w:tcBorders>
                    <w:top w:val="single" w:color="auto" w:sz="8" w:space="0"/>
                    <w:left w:val="single" w:color="auto" w:sz="4" w:space="0"/>
                    <w:bottom w:val="single" w:color="auto" w:sz="8" w:space="0"/>
                    <w:right w:val="single" w:color="auto" w:sz="8" w:space="0"/>
                  </w:tcBorders>
                  <w:vAlign w:val="center"/>
                </w:tcPr>
                <w:p>
                  <w:pPr>
                    <w:rPr>
                      <w:rFonts w:ascii="宋体" w:hAnsi="宋体"/>
                      <w:color w:val="000000"/>
                      <w:sz w:val="24"/>
                      <w:szCs w:val="24"/>
                    </w:rPr>
                  </w:pPr>
                  <w:r>
                    <w:rPr>
                      <w:rFonts w:ascii="宋体" w:hAnsi="宋体"/>
                      <w:color w:val="000000"/>
                      <w:sz w:val="24"/>
                      <w:szCs w:val="24"/>
                    </w:rPr>
                    <w:t>绿化面积14042.33</w:t>
                  </w:r>
                  <w:r>
                    <w:rPr>
                      <w:rFonts w:ascii="宋体" w:hAnsi="宋体"/>
                      <w:bCs/>
                      <w:color w:val="000000"/>
                      <w:sz w:val="24"/>
                      <w:szCs w:val="24"/>
                    </w:rPr>
                    <w:t>m</w:t>
                  </w:r>
                  <w:r>
                    <w:rPr>
                      <w:rFonts w:ascii="宋体" w:hAnsi="宋体"/>
                      <w:bCs/>
                      <w:color w:val="000000"/>
                      <w:sz w:val="24"/>
                      <w:szCs w:val="24"/>
                      <w:vertAlign w:val="superscript"/>
                    </w:rPr>
                    <w:t>2</w:t>
                  </w:r>
                  <w:r>
                    <w:rPr>
                      <w:rFonts w:ascii="宋体" w:hAnsi="宋体"/>
                      <w:color w:val="000000"/>
                      <w:sz w:val="24"/>
                      <w:szCs w:val="24"/>
                    </w:rPr>
                    <w:t>，绿</w:t>
                  </w:r>
                  <w:r>
                    <w:rPr>
                      <w:rFonts w:hint="eastAsia" w:ascii="宋体" w:hAnsi="宋体"/>
                      <w:color w:val="000000"/>
                      <w:sz w:val="24"/>
                      <w:szCs w:val="24"/>
                    </w:rPr>
                    <w:t>地</w:t>
                  </w:r>
                  <w:r>
                    <w:rPr>
                      <w:rFonts w:ascii="宋体" w:hAnsi="宋体"/>
                      <w:color w:val="000000"/>
                      <w:sz w:val="24"/>
                      <w:szCs w:val="24"/>
                    </w:rPr>
                    <w:t>率</w:t>
                  </w:r>
                  <w:r>
                    <w:rPr>
                      <w:rFonts w:hint="eastAsia" w:ascii="宋体" w:hAnsi="宋体"/>
                      <w:color w:val="000000"/>
                      <w:sz w:val="24"/>
                      <w:szCs w:val="24"/>
                    </w:rPr>
                    <w:t>35.0</w:t>
                  </w:r>
                  <w:r>
                    <w:rPr>
                      <w:rFonts w:ascii="宋体" w:hAnsi="宋体"/>
                      <w:color w:val="000000"/>
                      <w:sz w:val="24"/>
                      <w:szCs w:val="24"/>
                    </w:rPr>
                    <w:t>%</w:t>
                  </w:r>
                  <w:r>
                    <w:rPr>
                      <w:rFonts w:hint="eastAsia" w:ascii="宋体" w:hAnsi="宋体"/>
                      <w:color w:val="000000"/>
                      <w:sz w:val="24"/>
                      <w:szCs w:val="24"/>
                    </w:rPr>
                    <w:t>。</w:t>
                  </w:r>
                </w:p>
              </w:tc>
            </w:tr>
          </w:tbl>
          <w:p>
            <w:pPr>
              <w:adjustRightInd w:val="0"/>
              <w:snapToGrid w:val="0"/>
              <w:spacing w:line="360" w:lineRule="auto"/>
              <w:jc w:val="center"/>
              <w:rPr>
                <w:rFonts w:ascii="宋体" w:hAnsi="宋体" w:cs="宋体"/>
                <w:bCs/>
                <w:sz w:val="24"/>
                <w:szCs w:val="24"/>
              </w:rPr>
            </w:pPr>
            <w:bookmarkStart w:id="3" w:name="_Toc23317"/>
            <w:r>
              <w:rPr>
                <w:rFonts w:hint="eastAsia" w:ascii="宋体" w:hAnsi="宋体" w:cs="宋体"/>
                <w:bCs/>
                <w:sz w:val="24"/>
                <w:szCs w:val="24"/>
              </w:rPr>
              <w:t>表2            项目主要经济技术指标</w:t>
            </w:r>
            <w:bookmarkEnd w:id="3"/>
          </w:p>
          <w:tbl>
            <w:tblPr>
              <w:tblStyle w:val="42"/>
              <w:tblW w:w="8847" w:type="dxa"/>
              <w:jc w:val="center"/>
              <w:tblInd w:w="298" w:type="dxa"/>
              <w:tblLayout w:type="fixed"/>
              <w:tblCellMar>
                <w:top w:w="15" w:type="dxa"/>
                <w:left w:w="15" w:type="dxa"/>
                <w:bottom w:w="15" w:type="dxa"/>
                <w:right w:w="15" w:type="dxa"/>
              </w:tblCellMar>
            </w:tblPr>
            <w:tblGrid>
              <w:gridCol w:w="1465"/>
              <w:gridCol w:w="686"/>
              <w:gridCol w:w="1875"/>
              <w:gridCol w:w="1257"/>
              <w:gridCol w:w="1398"/>
              <w:gridCol w:w="2166"/>
            </w:tblGrid>
            <w:tr>
              <w:tblPrEx>
                <w:tblLayout w:type="fixed"/>
                <w:tblCellMar>
                  <w:top w:w="15" w:type="dxa"/>
                  <w:left w:w="15" w:type="dxa"/>
                  <w:bottom w:w="15" w:type="dxa"/>
                  <w:right w:w="15" w:type="dxa"/>
                </w:tblCellMar>
              </w:tblPrEx>
              <w:trPr>
                <w:trHeight w:val="75" w:hRule="atLeast"/>
                <w:jc w:val="center"/>
              </w:trPr>
              <w:tc>
                <w:tcPr>
                  <w:tcW w:w="8847"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Cs/>
                      <w:color w:val="000000"/>
                      <w:sz w:val="24"/>
                      <w:szCs w:val="24"/>
                    </w:rPr>
                  </w:pPr>
                  <w:r>
                    <w:rPr>
                      <w:rFonts w:hint="eastAsia" w:ascii="宋体" w:hAnsi="宋体" w:cs="宋体"/>
                      <w:bCs/>
                      <w:color w:val="000000"/>
                      <w:kern w:val="0"/>
                      <w:sz w:val="24"/>
                      <w:szCs w:val="24"/>
                    </w:rPr>
                    <w:t>酒店地块主要技术指标</w:t>
                  </w: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Cs/>
                      <w:color w:val="000000"/>
                      <w:sz w:val="24"/>
                      <w:szCs w:val="24"/>
                    </w:rPr>
                  </w:pPr>
                  <w:r>
                    <w:rPr>
                      <w:rFonts w:hint="eastAsia" w:ascii="宋体" w:hAnsi="宋体" w:cs="宋体"/>
                      <w:bCs/>
                      <w:color w:val="000000"/>
                      <w:kern w:val="0"/>
                      <w:sz w:val="24"/>
                      <w:szCs w:val="24"/>
                    </w:rPr>
                    <w:t>序号</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Cs/>
                      <w:color w:val="000000"/>
                      <w:sz w:val="24"/>
                      <w:szCs w:val="24"/>
                    </w:rPr>
                  </w:pPr>
                  <w:r>
                    <w:rPr>
                      <w:rFonts w:hint="eastAsia" w:ascii="宋体" w:hAnsi="宋体" w:cs="宋体"/>
                      <w:bCs/>
                      <w:color w:val="000000"/>
                      <w:kern w:val="0"/>
                      <w:sz w:val="24"/>
                      <w:szCs w:val="24"/>
                    </w:rPr>
                    <w:t>内容</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Cs/>
                      <w:color w:val="000000"/>
                      <w:sz w:val="24"/>
                      <w:szCs w:val="24"/>
                    </w:rPr>
                  </w:pPr>
                  <w:r>
                    <w:rPr>
                      <w:rFonts w:hint="eastAsia" w:ascii="宋体" w:hAnsi="宋体" w:cs="宋体"/>
                      <w:bCs/>
                      <w:color w:val="000000"/>
                      <w:kern w:val="0"/>
                      <w:sz w:val="24"/>
                      <w:szCs w:val="24"/>
                    </w:rPr>
                    <w:t>单位</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Cs/>
                      <w:color w:val="000000"/>
                      <w:sz w:val="24"/>
                      <w:szCs w:val="24"/>
                    </w:rPr>
                  </w:pPr>
                  <w:r>
                    <w:rPr>
                      <w:rFonts w:hint="eastAsia" w:ascii="宋体" w:hAnsi="宋体" w:cs="宋体"/>
                      <w:bCs/>
                      <w:color w:val="000000"/>
                      <w:kern w:val="0"/>
                      <w:sz w:val="24"/>
                      <w:szCs w:val="24"/>
                    </w:rPr>
                    <w:t>数值</w:t>
                  </w:r>
                </w:p>
              </w:tc>
              <w:tc>
                <w:tcPr>
                  <w:tcW w:w="2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Cs/>
                      <w:color w:val="000000"/>
                      <w:sz w:val="24"/>
                      <w:szCs w:val="24"/>
                    </w:rPr>
                  </w:pPr>
                  <w:r>
                    <w:rPr>
                      <w:rFonts w:hint="eastAsia" w:ascii="宋体" w:hAnsi="宋体" w:cs="宋体"/>
                      <w:bCs/>
                      <w:color w:val="000000"/>
                      <w:kern w:val="0"/>
                      <w:sz w:val="24"/>
                      <w:szCs w:val="24"/>
                    </w:rPr>
                    <w:t>备注</w:t>
                  </w: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规划用地面积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40120.94 </w:t>
                  </w:r>
                </w:p>
              </w:tc>
              <w:tc>
                <w:tcPr>
                  <w:tcW w:w="2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60.18 </w:t>
                  </w: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2</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总建筑面积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70036.00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123"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3</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计容建筑面积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60181.00 </w:t>
                  </w:r>
                </w:p>
              </w:tc>
              <w:tc>
                <w:tcPr>
                  <w:tcW w:w="2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含地下功能用房5000m</w:t>
                  </w:r>
                  <w:r>
                    <w:rPr>
                      <w:rFonts w:hint="eastAsia" w:ascii="宋体" w:hAnsi="宋体" w:cs="宋体"/>
                      <w:color w:val="000000"/>
                      <w:kern w:val="0"/>
                      <w:sz w:val="24"/>
                      <w:szCs w:val="24"/>
                      <w:vertAlign w:val="superscript"/>
                    </w:rPr>
                    <w:t>2</w:t>
                  </w: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3.1</w:t>
                  </w:r>
                </w:p>
              </w:tc>
              <w:tc>
                <w:tcPr>
                  <w:tcW w:w="6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其中</w:t>
                  </w:r>
                </w:p>
              </w:tc>
              <w:tc>
                <w:tcPr>
                  <w:tcW w:w="1875" w:type="dxa"/>
                  <w:tcBorders>
                    <w:top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演播厅面积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6946.00 </w:t>
                  </w:r>
                </w:p>
              </w:tc>
              <w:tc>
                <w:tcPr>
                  <w:tcW w:w="21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3.2</w:t>
                  </w:r>
                </w:p>
              </w:tc>
              <w:tc>
                <w:tcPr>
                  <w:tcW w:w="6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c>
                <w:tcPr>
                  <w:tcW w:w="1875" w:type="dxa"/>
                  <w:tcBorders>
                    <w:top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酒店配套面积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23888.00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119"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3.3</w:t>
                  </w:r>
                </w:p>
              </w:tc>
              <w:tc>
                <w:tcPr>
                  <w:tcW w:w="6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c>
                <w:tcPr>
                  <w:tcW w:w="1875" w:type="dxa"/>
                  <w:tcBorders>
                    <w:top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酒店客房面积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22970.00 </w:t>
                  </w:r>
                </w:p>
              </w:tc>
              <w:tc>
                <w:tcPr>
                  <w:tcW w:w="2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含独立客房面积</w:t>
                  </w: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3.4</w:t>
                  </w:r>
                </w:p>
              </w:tc>
              <w:tc>
                <w:tcPr>
                  <w:tcW w:w="6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c>
                <w:tcPr>
                  <w:tcW w:w="1875" w:type="dxa"/>
                  <w:tcBorders>
                    <w:top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配套用房面积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1377.00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119"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3.5</w:t>
                  </w:r>
                </w:p>
              </w:tc>
              <w:tc>
                <w:tcPr>
                  <w:tcW w:w="6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c>
                <w:tcPr>
                  <w:tcW w:w="1875" w:type="dxa"/>
                  <w:tcBorders>
                    <w:top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酒店地下室配套</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5000.00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4</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建筑占地面积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12036.00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5</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地下车库面积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9855.00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6</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容积率</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themeColor="text1"/>
                      <w:sz w:val="24"/>
                      <w:szCs w:val="24"/>
                    </w:rPr>
                  </w:pPr>
                  <w:r>
                    <w:rPr>
                      <w:rFonts w:hint="eastAsia" w:ascii="宋体" w:hAnsi="宋体" w:cs="宋体"/>
                      <w:color w:val="000000" w:themeColor="text1"/>
                      <w:kern w:val="0"/>
                      <w:sz w:val="24"/>
                      <w:szCs w:val="24"/>
                    </w:rPr>
                    <w:t>1.50</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7</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建筑限高</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≤100m</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8</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建筑密度</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30.00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9</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绿地率</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35.0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10</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绿化面积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14042.33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11</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道路广场面积</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m</w:t>
                  </w:r>
                  <w:r>
                    <w:rPr>
                      <w:rFonts w:hint="eastAsia" w:ascii="宋体" w:hAnsi="宋体" w:cs="宋体"/>
                      <w:color w:val="000000"/>
                      <w:kern w:val="0"/>
                      <w:sz w:val="24"/>
                      <w:szCs w:val="24"/>
                      <w:vertAlign w:val="superscript"/>
                    </w:rPr>
                    <w:t>2</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14042.61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12</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客房数</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套</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themeColor="text1"/>
                      <w:sz w:val="24"/>
                      <w:szCs w:val="24"/>
                    </w:rPr>
                  </w:pPr>
                  <w:r>
                    <w:rPr>
                      <w:rFonts w:hint="eastAsia" w:ascii="宋体" w:hAnsi="宋体" w:cs="宋体"/>
                      <w:color w:val="000000" w:themeColor="text1"/>
                      <w:kern w:val="0"/>
                      <w:sz w:val="24"/>
                      <w:szCs w:val="24"/>
                    </w:rPr>
                    <w:t xml:space="preserve">286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13</w:t>
                  </w:r>
                </w:p>
              </w:tc>
              <w:tc>
                <w:tcPr>
                  <w:tcW w:w="256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停车位</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个</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347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13.1</w:t>
                  </w:r>
                </w:p>
              </w:tc>
              <w:tc>
                <w:tcPr>
                  <w:tcW w:w="6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其中</w:t>
                  </w:r>
                </w:p>
              </w:tc>
              <w:tc>
                <w:tcPr>
                  <w:tcW w:w="18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rPr>
                    <w:t>地面停车场</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个</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107 </w:t>
                  </w:r>
                </w:p>
              </w:tc>
              <w:tc>
                <w:tcPr>
                  <w:tcW w:w="2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含6个客车位</w:t>
                  </w:r>
                </w:p>
              </w:tc>
            </w:tr>
            <w:tr>
              <w:tblPrEx>
                <w:tblLayout w:type="fixed"/>
                <w:tblCellMar>
                  <w:top w:w="15" w:type="dxa"/>
                  <w:left w:w="15" w:type="dxa"/>
                  <w:bottom w:w="15" w:type="dxa"/>
                  <w:right w:w="15" w:type="dxa"/>
                </w:tblCellMar>
              </w:tblPrEx>
              <w:trPr>
                <w:trHeight w:val="75" w:hRule="atLeast"/>
                <w:jc w:val="center"/>
              </w:trPr>
              <w:tc>
                <w:tcPr>
                  <w:tcW w:w="14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13.2</w:t>
                  </w:r>
                </w:p>
              </w:tc>
              <w:tc>
                <w:tcPr>
                  <w:tcW w:w="6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rPr>
                    <w:t>地下停车场</w:t>
                  </w:r>
                </w:p>
              </w:tc>
              <w:tc>
                <w:tcPr>
                  <w:tcW w:w="12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个</w:t>
                  </w:r>
                </w:p>
              </w:tc>
              <w:tc>
                <w:tcPr>
                  <w:tcW w:w="13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 xml:space="preserve">240 </w:t>
                  </w:r>
                </w:p>
              </w:tc>
              <w:tc>
                <w:tcPr>
                  <w:tcW w:w="21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szCs w:val="24"/>
                    </w:rPr>
                  </w:pPr>
                </w:p>
              </w:tc>
            </w:tr>
          </w:tbl>
          <w:p>
            <w:pPr>
              <w:tabs>
                <w:tab w:val="left" w:pos="6480"/>
              </w:tabs>
              <w:spacing w:line="360" w:lineRule="auto"/>
              <w:rPr>
                <w:rFonts w:ascii="宋体" w:hAnsi="宋体"/>
                <w:b/>
                <w:bCs/>
                <w:color w:val="000000"/>
                <w:sz w:val="24"/>
              </w:rPr>
            </w:pPr>
            <w:r>
              <w:rPr>
                <w:rFonts w:hint="eastAsia" w:ascii="宋体" w:hAnsi="宋体"/>
                <w:b/>
                <w:bCs/>
                <w:color w:val="000000"/>
                <w:sz w:val="24"/>
              </w:rPr>
              <w:t xml:space="preserve">    五、</w:t>
            </w:r>
            <w:r>
              <w:rPr>
                <w:rFonts w:ascii="宋体" w:hAnsi="宋体"/>
                <w:b/>
                <w:bCs/>
                <w:color w:val="000000"/>
                <w:sz w:val="24"/>
              </w:rPr>
              <w:t>公用工程</w:t>
            </w:r>
          </w:p>
          <w:p>
            <w:pPr>
              <w:tabs>
                <w:tab w:val="left" w:pos="6480"/>
              </w:tabs>
              <w:spacing w:line="360" w:lineRule="auto"/>
              <w:ind w:firstLine="480" w:firstLineChars="200"/>
              <w:rPr>
                <w:rFonts w:ascii="宋体" w:hAnsi="宋体"/>
                <w:bCs/>
                <w:sz w:val="24"/>
              </w:rPr>
            </w:pPr>
            <w:r>
              <w:rPr>
                <w:rFonts w:hint="eastAsia" w:ascii="宋体" w:hAnsi="宋体"/>
                <w:bCs/>
                <w:sz w:val="24"/>
              </w:rPr>
              <w:t>（一）</w:t>
            </w:r>
            <w:r>
              <w:rPr>
                <w:rFonts w:ascii="宋体" w:hAnsi="宋体"/>
                <w:bCs/>
                <w:sz w:val="24"/>
              </w:rPr>
              <w:t xml:space="preserve"> 给排水系统</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给水</w:t>
            </w:r>
          </w:p>
          <w:p>
            <w:pPr>
              <w:spacing w:line="360" w:lineRule="auto"/>
              <w:ind w:firstLine="480" w:firstLineChars="200"/>
              <w:rPr>
                <w:rFonts w:ascii="宋体" w:hAnsi="宋体"/>
                <w:color w:val="000000" w:themeColor="text1"/>
                <w:sz w:val="24"/>
              </w:rPr>
            </w:pPr>
            <w:r>
              <w:rPr>
                <w:rFonts w:ascii="宋体" w:hAnsi="宋体"/>
                <w:sz w:val="24"/>
              </w:rPr>
              <w:t>本项目供水由</w:t>
            </w:r>
            <w:r>
              <w:rPr>
                <w:rFonts w:hint="eastAsia" w:ascii="宋体" w:hAnsi="宋体"/>
                <w:color w:val="000000"/>
                <w:sz w:val="24"/>
              </w:rPr>
              <w:t>洪江市</w:t>
            </w:r>
            <w:r>
              <w:rPr>
                <w:rFonts w:ascii="宋体" w:hAnsi="宋体"/>
                <w:sz w:val="24"/>
              </w:rPr>
              <w:t>自来水供水管网供</w:t>
            </w:r>
            <w:r>
              <w:rPr>
                <w:rFonts w:hint="eastAsia" w:ascii="宋体" w:hAnsi="宋体"/>
                <w:sz w:val="24"/>
              </w:rPr>
              <w:t>给</w:t>
            </w:r>
            <w:r>
              <w:rPr>
                <w:rFonts w:ascii="宋体" w:hAnsi="宋体"/>
                <w:sz w:val="24"/>
              </w:rPr>
              <w:t>。</w:t>
            </w:r>
            <w:r>
              <w:rPr>
                <w:rFonts w:hint="eastAsia" w:ascii="宋体" w:hAnsi="宋体"/>
                <w:sz w:val="24"/>
              </w:rPr>
              <w:t>水质、水量均能满足项目的用水需求。本项目给水系统设计为生活、消防合并的供水系统,为保证酒店供水安全，采用双水源接入，在大楼内形成环管。</w:t>
            </w:r>
            <w:r>
              <w:rPr>
                <w:rFonts w:ascii="宋体" w:hAnsi="宋体"/>
                <w:color w:val="000000"/>
                <w:sz w:val="24"/>
              </w:rPr>
              <w:t>本项目</w:t>
            </w:r>
            <w:r>
              <w:rPr>
                <w:rFonts w:hint="eastAsia" w:ascii="宋体" w:hAnsi="宋体"/>
                <w:color w:val="000000"/>
                <w:sz w:val="24"/>
              </w:rPr>
              <w:t>用水及能源消耗量均以类比经验和建设单位提供的经营规划信息情况，按酒店房间70%的入住率，参照</w:t>
            </w:r>
            <w:r>
              <w:rPr>
                <w:rFonts w:ascii="宋体" w:hAnsi="宋体"/>
                <w:color w:val="000000"/>
                <w:sz w:val="24"/>
              </w:rPr>
              <w:t>《</w:t>
            </w:r>
            <w:r>
              <w:rPr>
                <w:rFonts w:hint="eastAsia" w:ascii="宋体" w:hAnsi="宋体"/>
                <w:color w:val="000000"/>
                <w:sz w:val="24"/>
              </w:rPr>
              <w:t>湖南省</w:t>
            </w:r>
            <w:r>
              <w:rPr>
                <w:rFonts w:ascii="宋体" w:hAnsi="宋体"/>
                <w:color w:val="000000"/>
                <w:sz w:val="24"/>
              </w:rPr>
              <w:t>行业用水定额》</w:t>
            </w:r>
            <w:r>
              <w:rPr>
                <w:rFonts w:hint="eastAsia" w:ascii="宋体" w:hAnsi="宋体"/>
                <w:color w:val="000000"/>
                <w:sz w:val="24"/>
              </w:rPr>
              <w:t>及《</w:t>
            </w:r>
            <w:r>
              <w:rPr>
                <w:rFonts w:ascii="宋体" w:hAnsi="宋体"/>
                <w:color w:val="000000"/>
                <w:sz w:val="24"/>
              </w:rPr>
              <w:t>建筑给排水设计规范》（GB50015-2003（2009版））进行估算</w:t>
            </w:r>
            <w:r>
              <w:rPr>
                <w:rFonts w:hint="eastAsia" w:ascii="宋体" w:hAnsi="宋体"/>
                <w:color w:val="000000"/>
                <w:sz w:val="24"/>
              </w:rPr>
              <w:t>，本项目</w:t>
            </w:r>
            <w:r>
              <w:rPr>
                <w:rFonts w:ascii="宋体" w:hAnsi="宋体"/>
                <w:color w:val="000000"/>
                <w:sz w:val="24"/>
              </w:rPr>
              <w:t>日最大用水量约</w:t>
            </w:r>
            <w:r>
              <w:rPr>
                <w:rFonts w:ascii="宋体" w:hAnsi="宋体"/>
                <w:color w:val="000000" w:themeColor="text1"/>
                <w:sz w:val="24"/>
              </w:rPr>
              <w:t>为</w:t>
            </w:r>
            <w:r>
              <w:rPr>
                <w:rFonts w:hint="eastAsia" w:ascii="宋体" w:hAnsi="宋体"/>
                <w:color w:val="000000" w:themeColor="text1"/>
                <w:sz w:val="24"/>
              </w:rPr>
              <w:t>414.348</w:t>
            </w:r>
            <w:r>
              <w:rPr>
                <w:rFonts w:ascii="宋体" w:hAnsi="宋体"/>
                <w:color w:val="000000" w:themeColor="text1"/>
                <w:sz w:val="24"/>
              </w:rPr>
              <w:t>m</w:t>
            </w:r>
            <w:r>
              <w:rPr>
                <w:rFonts w:ascii="宋体" w:hAnsi="宋体"/>
                <w:color w:val="000000" w:themeColor="text1"/>
                <w:sz w:val="24"/>
                <w:vertAlign w:val="superscript"/>
              </w:rPr>
              <w:t>3</w:t>
            </w:r>
            <w:r>
              <w:rPr>
                <w:rFonts w:ascii="宋体" w:hAnsi="宋体"/>
                <w:color w:val="000000" w:themeColor="text1"/>
                <w:sz w:val="24"/>
              </w:rPr>
              <w:t>，总用水量</w:t>
            </w:r>
            <w:r>
              <w:rPr>
                <w:rFonts w:hint="eastAsia" w:ascii="宋体" w:hAnsi="宋体"/>
                <w:color w:val="000000" w:themeColor="text1"/>
                <w:sz w:val="24"/>
              </w:rPr>
              <w:t>15.12</w:t>
            </w:r>
            <w:r>
              <w:rPr>
                <w:rFonts w:ascii="宋体" w:hAnsi="宋体"/>
                <w:color w:val="000000" w:themeColor="text1"/>
                <w:sz w:val="24"/>
              </w:rPr>
              <w:t>×10</w:t>
            </w:r>
            <w:r>
              <w:rPr>
                <w:rFonts w:hint="eastAsia" w:ascii="宋体" w:hAnsi="宋体"/>
                <w:color w:val="000000" w:themeColor="text1"/>
                <w:sz w:val="24"/>
                <w:vertAlign w:val="superscript"/>
              </w:rPr>
              <w:t>4</w:t>
            </w:r>
            <w:r>
              <w:rPr>
                <w:rFonts w:ascii="宋体" w:hAnsi="宋体"/>
                <w:color w:val="000000" w:themeColor="text1"/>
                <w:sz w:val="24"/>
              </w:rPr>
              <w:t>m</w:t>
            </w:r>
            <w:r>
              <w:rPr>
                <w:rFonts w:ascii="宋体" w:hAnsi="宋体"/>
                <w:color w:val="000000" w:themeColor="text1"/>
                <w:sz w:val="24"/>
                <w:vertAlign w:val="superscript"/>
              </w:rPr>
              <w:t>3</w:t>
            </w:r>
            <w:r>
              <w:rPr>
                <w:rFonts w:ascii="宋体" w:hAnsi="宋体"/>
                <w:color w:val="000000" w:themeColor="text1"/>
                <w:sz w:val="24"/>
              </w:rPr>
              <w:t>/a</w:t>
            </w:r>
            <w:r>
              <w:rPr>
                <w:rFonts w:hint="eastAsia" w:ascii="宋体" w:hAnsi="宋体"/>
                <w:color w:val="000000" w:themeColor="text1"/>
                <w:sz w:val="24"/>
              </w:rPr>
              <w:t>，</w:t>
            </w:r>
            <w:r>
              <w:rPr>
                <w:rFonts w:ascii="宋体" w:hAnsi="宋体"/>
                <w:color w:val="000000" w:themeColor="text1"/>
                <w:sz w:val="24"/>
              </w:rPr>
              <w:t>项目给</w:t>
            </w:r>
            <w:r>
              <w:rPr>
                <w:rFonts w:hint="eastAsia" w:ascii="宋体" w:hAnsi="宋体"/>
                <w:color w:val="000000" w:themeColor="text1"/>
                <w:sz w:val="24"/>
              </w:rPr>
              <w:t>排</w:t>
            </w:r>
            <w:r>
              <w:rPr>
                <w:rFonts w:ascii="宋体" w:hAnsi="宋体"/>
                <w:color w:val="000000" w:themeColor="text1"/>
                <w:sz w:val="24"/>
              </w:rPr>
              <w:t>水情况分析</w:t>
            </w:r>
            <w:r>
              <w:rPr>
                <w:rFonts w:hint="eastAsia" w:ascii="宋体" w:hAnsi="宋体"/>
                <w:color w:val="000000" w:themeColor="text1"/>
                <w:sz w:val="24"/>
              </w:rPr>
              <w:t>见表3。</w:t>
            </w:r>
          </w:p>
          <w:p>
            <w:pPr>
              <w:spacing w:line="360" w:lineRule="auto"/>
              <w:ind w:firstLine="480" w:firstLineChars="200"/>
              <w:jc w:val="center"/>
              <w:rPr>
                <w:rFonts w:ascii="宋体" w:hAnsi="宋体"/>
                <w:color w:val="000000" w:themeColor="text1"/>
                <w:sz w:val="24"/>
                <w:u w:val="none"/>
              </w:rPr>
            </w:pPr>
            <w:r>
              <w:rPr>
                <w:rFonts w:ascii="宋体" w:hAnsi="宋体"/>
                <w:color w:val="000000" w:themeColor="text1"/>
                <w:sz w:val="24"/>
                <w:u w:val="none"/>
              </w:rPr>
              <w:t>表</w:t>
            </w:r>
            <w:r>
              <w:rPr>
                <w:rFonts w:hint="eastAsia" w:ascii="宋体" w:hAnsi="宋体"/>
                <w:color w:val="000000" w:themeColor="text1"/>
                <w:sz w:val="24"/>
                <w:u w:val="none"/>
              </w:rPr>
              <w:t>3</w:t>
            </w:r>
            <w:r>
              <w:rPr>
                <w:rFonts w:ascii="宋体" w:hAnsi="宋体"/>
                <w:color w:val="000000" w:themeColor="text1"/>
                <w:sz w:val="24"/>
                <w:u w:val="none"/>
              </w:rPr>
              <w:t xml:space="preserve">  项目给</w:t>
            </w:r>
            <w:r>
              <w:rPr>
                <w:rFonts w:hint="eastAsia" w:ascii="宋体" w:hAnsi="宋体"/>
                <w:color w:val="000000" w:themeColor="text1"/>
                <w:sz w:val="24"/>
                <w:u w:val="none"/>
              </w:rPr>
              <w:t>排</w:t>
            </w:r>
            <w:r>
              <w:rPr>
                <w:rFonts w:ascii="宋体" w:hAnsi="宋体"/>
                <w:color w:val="000000" w:themeColor="text1"/>
                <w:sz w:val="24"/>
                <w:u w:val="none"/>
              </w:rPr>
              <w:t>水情况分析表</w:t>
            </w:r>
            <w:r>
              <w:rPr>
                <w:rFonts w:hint="eastAsia" w:ascii="宋体" w:hAnsi="宋体"/>
                <w:color w:val="000000" w:themeColor="text1"/>
                <w:sz w:val="24"/>
                <w:u w:val="none"/>
              </w:rPr>
              <w:t xml:space="preserve">  （单位：</w:t>
            </w:r>
            <w:r>
              <w:rPr>
                <w:rFonts w:ascii="宋体" w:hAnsi="宋体"/>
                <w:color w:val="000000" w:themeColor="text1"/>
                <w:szCs w:val="21"/>
                <w:u w:val="none"/>
              </w:rPr>
              <w:t>m</w:t>
            </w:r>
            <w:r>
              <w:rPr>
                <w:rFonts w:ascii="宋体" w:hAnsi="宋体"/>
                <w:color w:val="000000" w:themeColor="text1"/>
                <w:szCs w:val="21"/>
                <w:u w:val="none"/>
                <w:vertAlign w:val="superscript"/>
              </w:rPr>
              <w:t>3</w:t>
            </w:r>
            <w:r>
              <w:rPr>
                <w:rFonts w:ascii="宋体" w:hAnsi="宋体"/>
                <w:color w:val="000000" w:themeColor="text1"/>
                <w:kern w:val="0"/>
                <w:szCs w:val="21"/>
                <w:u w:val="none"/>
                <w:lang w:eastAsia="zh-TW"/>
              </w:rPr>
              <w:t>/d</w:t>
            </w:r>
            <w:r>
              <w:rPr>
                <w:rFonts w:hint="eastAsia" w:ascii="宋体" w:hAnsi="宋体"/>
                <w:color w:val="000000" w:themeColor="text1"/>
                <w:sz w:val="24"/>
                <w:u w:val="none"/>
              </w:rPr>
              <w:t>）</w:t>
            </w:r>
          </w:p>
          <w:tbl>
            <w:tblPr>
              <w:tblStyle w:val="42"/>
              <w:tblW w:w="8973" w:type="dxa"/>
              <w:jc w:val="center"/>
              <w:tblInd w:w="0" w:type="dxa"/>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
            <w:tblGrid>
              <w:gridCol w:w="2204"/>
              <w:gridCol w:w="2706"/>
              <w:gridCol w:w="1426"/>
              <w:gridCol w:w="1460"/>
              <w:gridCol w:w="1177"/>
            </w:tblGrid>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542"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kern w:val="0"/>
                      <w:szCs w:val="21"/>
                      <w:lang w:eastAsia="zh-TW"/>
                    </w:rPr>
                  </w:pPr>
                  <w:r>
                    <w:rPr>
                      <w:rFonts w:ascii="宋体" w:hAnsi="宋体"/>
                      <w:color w:val="000000" w:themeColor="text1"/>
                      <w:kern w:val="0"/>
                      <w:szCs w:val="21"/>
                      <w:lang w:eastAsia="zh-TW"/>
                    </w:rPr>
                    <w:t>用水项目</w:t>
                  </w:r>
                </w:p>
              </w:tc>
              <w:tc>
                <w:tcPr>
                  <w:tcW w:w="2706" w:type="dxa"/>
                  <w:vAlign w:val="center"/>
                </w:tcPr>
                <w:p>
                  <w:pPr>
                    <w:autoSpaceDE w:val="0"/>
                    <w:autoSpaceDN w:val="0"/>
                    <w:adjustRightInd w:val="0"/>
                    <w:spacing w:line="360" w:lineRule="auto"/>
                    <w:jc w:val="center"/>
                    <w:rPr>
                      <w:rFonts w:ascii="宋体" w:hAnsi="宋体"/>
                      <w:color w:val="000000" w:themeColor="text1"/>
                      <w:kern w:val="0"/>
                      <w:szCs w:val="21"/>
                      <w:lang w:eastAsia="zh-TW"/>
                    </w:rPr>
                  </w:pPr>
                  <w:r>
                    <w:rPr>
                      <w:rFonts w:ascii="宋体" w:hAnsi="宋体"/>
                      <w:color w:val="000000" w:themeColor="text1"/>
                      <w:kern w:val="0"/>
                      <w:szCs w:val="21"/>
                    </w:rPr>
                    <w:t>用水定额</w:t>
                  </w:r>
                </w:p>
              </w:tc>
              <w:tc>
                <w:tcPr>
                  <w:tcW w:w="1426" w:type="dxa"/>
                  <w:vAlign w:val="center"/>
                </w:tcPr>
                <w:p>
                  <w:pPr>
                    <w:autoSpaceDE w:val="0"/>
                    <w:autoSpaceDN w:val="0"/>
                    <w:adjustRightInd w:val="0"/>
                    <w:spacing w:line="360" w:lineRule="auto"/>
                    <w:jc w:val="center"/>
                    <w:rPr>
                      <w:rFonts w:ascii="宋体" w:hAnsi="宋体"/>
                      <w:color w:val="000000" w:themeColor="text1"/>
                      <w:kern w:val="0"/>
                      <w:szCs w:val="21"/>
                      <w:lang w:eastAsia="zh-TW"/>
                    </w:rPr>
                  </w:pPr>
                  <w:r>
                    <w:rPr>
                      <w:rFonts w:ascii="宋体" w:hAnsi="宋体"/>
                      <w:color w:val="000000" w:themeColor="text1"/>
                      <w:kern w:val="0"/>
                      <w:szCs w:val="21"/>
                    </w:rPr>
                    <w:t>用水规模</w:t>
                  </w:r>
                </w:p>
              </w:tc>
              <w:tc>
                <w:tcPr>
                  <w:tcW w:w="1460" w:type="dxa"/>
                  <w:vAlign w:val="center"/>
                </w:tcPr>
                <w:p>
                  <w:pPr>
                    <w:autoSpaceDE w:val="0"/>
                    <w:autoSpaceDN w:val="0"/>
                    <w:adjustRightInd w:val="0"/>
                    <w:spacing w:line="360" w:lineRule="auto"/>
                    <w:jc w:val="center"/>
                    <w:rPr>
                      <w:rFonts w:ascii="宋体" w:hAnsi="宋体"/>
                      <w:color w:val="000000" w:themeColor="text1"/>
                      <w:kern w:val="0"/>
                      <w:szCs w:val="21"/>
                      <w:lang w:eastAsia="zh-TW"/>
                    </w:rPr>
                  </w:pPr>
                  <w:r>
                    <w:rPr>
                      <w:rFonts w:ascii="宋体" w:hAnsi="宋体"/>
                      <w:color w:val="000000" w:themeColor="text1"/>
                      <w:kern w:val="0"/>
                      <w:szCs w:val="21"/>
                      <w:lang w:eastAsia="zh-TW"/>
                    </w:rPr>
                    <w:t>用水量</w:t>
                  </w:r>
                </w:p>
              </w:tc>
              <w:tc>
                <w:tcPr>
                  <w:tcW w:w="1177" w:type="dxa"/>
                  <w:vAlign w:val="center"/>
                </w:tcPr>
                <w:p>
                  <w:pPr>
                    <w:autoSpaceDE w:val="0"/>
                    <w:autoSpaceDN w:val="0"/>
                    <w:adjustRightInd w:val="0"/>
                    <w:spacing w:line="360" w:lineRule="auto"/>
                    <w:jc w:val="center"/>
                    <w:rPr>
                      <w:rFonts w:ascii="宋体" w:hAnsi="宋体"/>
                      <w:color w:val="000000" w:themeColor="text1"/>
                      <w:kern w:val="0"/>
                      <w:szCs w:val="21"/>
                      <w:lang w:eastAsia="zh-TW"/>
                    </w:rPr>
                  </w:pPr>
                  <w:r>
                    <w:rPr>
                      <w:rFonts w:hint="eastAsia" w:ascii="宋体" w:hAnsi="宋体"/>
                      <w:color w:val="000000" w:themeColor="text1"/>
                      <w:kern w:val="0"/>
                      <w:szCs w:val="21"/>
                    </w:rPr>
                    <w:t>废水产生量</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582"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住宿用水</w:t>
                  </w:r>
                </w:p>
              </w:tc>
              <w:tc>
                <w:tcPr>
                  <w:tcW w:w="2706"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580</w:t>
                  </w:r>
                  <w:r>
                    <w:rPr>
                      <w:rFonts w:hint="eastAsia" w:ascii="宋体" w:hAnsi="宋体"/>
                      <w:color w:val="000000" w:themeColor="text1"/>
                    </w:rPr>
                    <w:t>L/床•</w:t>
                  </w:r>
                  <w:r>
                    <w:rPr>
                      <w:rFonts w:ascii="宋体" w:hAnsi="宋体"/>
                      <w:color w:val="000000" w:themeColor="text1"/>
                      <w:kern w:val="0"/>
                      <w:szCs w:val="21"/>
                    </w:rPr>
                    <w:t>d</w:t>
                  </w:r>
                </w:p>
              </w:tc>
              <w:tc>
                <w:tcPr>
                  <w:tcW w:w="1426"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488床</w:t>
                  </w:r>
                </w:p>
              </w:tc>
              <w:tc>
                <w:tcPr>
                  <w:tcW w:w="1460"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283.04</w:t>
                  </w:r>
                </w:p>
              </w:tc>
              <w:tc>
                <w:tcPr>
                  <w:tcW w:w="1177" w:type="dxa"/>
                  <w:vAlign w:val="center"/>
                </w:tcPr>
                <w:p>
                  <w:pPr>
                    <w:autoSpaceDE w:val="0"/>
                    <w:autoSpaceDN w:val="0"/>
                    <w:adjustRightInd w:val="0"/>
                    <w:spacing w:line="360" w:lineRule="auto"/>
                    <w:ind w:firstLine="420" w:firstLineChars="200"/>
                    <w:rPr>
                      <w:rFonts w:ascii="宋体" w:hAnsi="宋体"/>
                      <w:color w:val="000000" w:themeColor="text1"/>
                      <w:kern w:val="0"/>
                      <w:szCs w:val="21"/>
                    </w:rPr>
                  </w:pPr>
                  <w:r>
                    <w:rPr>
                      <w:rFonts w:hint="eastAsia" w:ascii="宋体" w:hAnsi="宋体"/>
                      <w:color w:val="000000" w:themeColor="text1"/>
                      <w:kern w:val="0"/>
                      <w:szCs w:val="21"/>
                    </w:rPr>
                    <w:t>226.4</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563"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szCs w:val="21"/>
                    </w:rPr>
                  </w:pPr>
                  <w:r>
                    <w:rPr>
                      <w:rFonts w:hint="eastAsia" w:ascii="宋体" w:hAnsi="宋体"/>
                      <w:color w:val="000000" w:themeColor="text1"/>
                      <w:szCs w:val="21"/>
                    </w:rPr>
                    <w:t>酒店员工用水</w:t>
                  </w:r>
                </w:p>
              </w:tc>
              <w:tc>
                <w:tcPr>
                  <w:tcW w:w="2706" w:type="dxa"/>
                </w:tcPr>
                <w:p>
                  <w:pPr>
                    <w:jc w:val="center"/>
                    <w:rPr>
                      <w:rFonts w:ascii="宋体" w:hAnsi="宋体"/>
                      <w:color w:val="000000" w:themeColor="text1"/>
                    </w:rPr>
                  </w:pPr>
                  <w:r>
                    <w:rPr>
                      <w:rFonts w:hint="eastAsia" w:ascii="宋体" w:hAnsi="宋体"/>
                      <w:color w:val="000000" w:themeColor="text1"/>
                    </w:rPr>
                    <w:t>140L/人•d</w:t>
                  </w:r>
                </w:p>
              </w:tc>
              <w:tc>
                <w:tcPr>
                  <w:tcW w:w="1426" w:type="dxa"/>
                </w:tcPr>
                <w:p>
                  <w:pPr>
                    <w:jc w:val="center"/>
                    <w:rPr>
                      <w:rFonts w:ascii="宋体" w:hAnsi="宋体"/>
                      <w:color w:val="000000" w:themeColor="text1"/>
                    </w:rPr>
                  </w:pPr>
                  <w:r>
                    <w:rPr>
                      <w:rFonts w:hint="eastAsia" w:ascii="宋体" w:hAnsi="宋体"/>
                      <w:color w:val="000000" w:themeColor="text1"/>
                    </w:rPr>
                    <w:t>150人</w:t>
                  </w:r>
                </w:p>
              </w:tc>
              <w:tc>
                <w:tcPr>
                  <w:tcW w:w="1460" w:type="dxa"/>
                </w:tcPr>
                <w:p>
                  <w:pPr>
                    <w:jc w:val="center"/>
                    <w:rPr>
                      <w:rFonts w:ascii="宋体" w:hAnsi="宋体"/>
                      <w:color w:val="000000" w:themeColor="text1"/>
                    </w:rPr>
                  </w:pPr>
                  <w:r>
                    <w:rPr>
                      <w:rFonts w:hint="eastAsia" w:ascii="宋体" w:hAnsi="宋体"/>
                      <w:color w:val="000000" w:themeColor="text1"/>
                    </w:rPr>
                    <w:t>21.0</w:t>
                  </w:r>
                </w:p>
              </w:tc>
              <w:tc>
                <w:tcPr>
                  <w:tcW w:w="1177" w:type="dxa"/>
                </w:tcPr>
                <w:p>
                  <w:pPr>
                    <w:ind w:firstLine="420" w:firstLineChars="200"/>
                    <w:rPr>
                      <w:rFonts w:ascii="宋体" w:hAnsi="宋体"/>
                      <w:color w:val="000000" w:themeColor="text1"/>
                    </w:rPr>
                  </w:pPr>
                  <w:r>
                    <w:rPr>
                      <w:rFonts w:hint="eastAsia" w:ascii="宋体" w:hAnsi="宋体"/>
                      <w:color w:val="000000" w:themeColor="text1"/>
                    </w:rPr>
                    <w:t>16.8</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545"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szCs w:val="21"/>
                    </w:rPr>
                  </w:pPr>
                  <w:r>
                    <w:rPr>
                      <w:rFonts w:hint="eastAsia" w:ascii="宋体" w:hAnsi="宋体"/>
                      <w:color w:val="000000" w:themeColor="text1"/>
                      <w:szCs w:val="21"/>
                    </w:rPr>
                    <w:t>餐饮用水</w:t>
                  </w:r>
                </w:p>
              </w:tc>
              <w:tc>
                <w:tcPr>
                  <w:tcW w:w="2706" w:type="dxa"/>
                </w:tcPr>
                <w:p>
                  <w:pPr>
                    <w:jc w:val="center"/>
                    <w:rPr>
                      <w:rFonts w:ascii="宋体" w:hAnsi="宋体"/>
                      <w:color w:val="000000" w:themeColor="text1"/>
                    </w:rPr>
                  </w:pPr>
                  <w:r>
                    <w:rPr>
                      <w:rFonts w:hint="eastAsia" w:ascii="宋体" w:hAnsi="宋体"/>
                      <w:color w:val="000000" w:themeColor="text1"/>
                    </w:rPr>
                    <w:t>40L/人•次</w:t>
                  </w:r>
                </w:p>
              </w:tc>
              <w:tc>
                <w:tcPr>
                  <w:tcW w:w="1426" w:type="dxa"/>
                </w:tcPr>
                <w:p>
                  <w:pPr>
                    <w:jc w:val="center"/>
                    <w:rPr>
                      <w:rFonts w:ascii="宋体" w:hAnsi="宋体"/>
                      <w:color w:val="000000" w:themeColor="text1"/>
                    </w:rPr>
                  </w:pPr>
                  <w:r>
                    <w:rPr>
                      <w:rFonts w:hint="eastAsia" w:ascii="宋体" w:hAnsi="宋体"/>
                      <w:color w:val="000000" w:themeColor="text1"/>
                    </w:rPr>
                    <w:t>550人</w:t>
                  </w:r>
                </w:p>
              </w:tc>
              <w:tc>
                <w:tcPr>
                  <w:tcW w:w="1460" w:type="dxa"/>
                  <w:vAlign w:val="center"/>
                </w:tcPr>
                <w:p>
                  <w:pPr>
                    <w:jc w:val="center"/>
                    <w:rPr>
                      <w:rFonts w:ascii="宋体" w:hAnsi="宋体"/>
                      <w:color w:val="000000" w:themeColor="text1"/>
                    </w:rPr>
                  </w:pPr>
                  <w:r>
                    <w:rPr>
                      <w:rFonts w:hint="eastAsia" w:ascii="宋体" w:hAnsi="宋体"/>
                      <w:color w:val="000000" w:themeColor="text1"/>
                    </w:rPr>
                    <w:t>22.0</w:t>
                  </w:r>
                </w:p>
              </w:tc>
              <w:tc>
                <w:tcPr>
                  <w:tcW w:w="1177" w:type="dxa"/>
                  <w:vAlign w:val="center"/>
                </w:tcPr>
                <w:p>
                  <w:pPr>
                    <w:ind w:firstLine="420" w:firstLineChars="200"/>
                    <w:rPr>
                      <w:rFonts w:ascii="宋体" w:hAnsi="宋体"/>
                      <w:color w:val="000000" w:themeColor="text1"/>
                    </w:rPr>
                  </w:pPr>
                  <w:r>
                    <w:rPr>
                      <w:rFonts w:hint="eastAsia" w:ascii="宋体" w:hAnsi="宋体"/>
                      <w:color w:val="000000" w:themeColor="text1"/>
                    </w:rPr>
                    <w:t>17.6</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559"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szCs w:val="21"/>
                    </w:rPr>
                  </w:pPr>
                  <w:r>
                    <w:rPr>
                      <w:rFonts w:hint="eastAsia" w:ascii="宋体" w:hAnsi="宋体"/>
                      <w:color w:val="000000" w:themeColor="text1"/>
                      <w:szCs w:val="21"/>
                    </w:rPr>
                    <w:t>洗衣房用水</w:t>
                  </w:r>
                </w:p>
              </w:tc>
              <w:tc>
                <w:tcPr>
                  <w:tcW w:w="2706" w:type="dxa"/>
                  <w:vAlign w:val="center"/>
                </w:tcPr>
                <w:p>
                  <w:pPr>
                    <w:jc w:val="center"/>
                    <w:rPr>
                      <w:rFonts w:ascii="宋体" w:hAnsi="宋体"/>
                      <w:color w:val="000000" w:themeColor="text1"/>
                    </w:rPr>
                  </w:pPr>
                  <w:r>
                    <w:rPr>
                      <w:rFonts w:hint="eastAsia" w:ascii="宋体" w:hAnsi="宋体"/>
                      <w:color w:val="000000" w:themeColor="text1"/>
                    </w:rPr>
                    <w:t>60</w:t>
                  </w:r>
                  <w:r>
                    <w:rPr>
                      <w:rFonts w:ascii="宋体" w:hAnsi="宋体"/>
                      <w:color w:val="000000" w:themeColor="text1"/>
                    </w:rPr>
                    <w:t>L/</w:t>
                  </w:r>
                  <w:r>
                    <w:rPr>
                      <w:rFonts w:hint="eastAsia" w:ascii="宋体" w:hAnsi="宋体"/>
                      <w:color w:val="000000" w:themeColor="text1"/>
                    </w:rPr>
                    <w:t>kg</w:t>
                  </w:r>
                  <w:r>
                    <w:rPr>
                      <w:rFonts w:ascii="宋体" w:hAnsi="宋体"/>
                      <w:color w:val="000000" w:themeColor="text1"/>
                    </w:rPr>
                    <w:t>·d</w:t>
                  </w:r>
                </w:p>
              </w:tc>
              <w:tc>
                <w:tcPr>
                  <w:tcW w:w="1426" w:type="dxa"/>
                  <w:vAlign w:val="center"/>
                </w:tcPr>
                <w:p>
                  <w:pPr>
                    <w:jc w:val="center"/>
                    <w:rPr>
                      <w:rFonts w:ascii="宋体" w:hAnsi="宋体"/>
                      <w:color w:val="000000" w:themeColor="text1"/>
                    </w:rPr>
                  </w:pPr>
                  <w:r>
                    <w:rPr>
                      <w:rFonts w:hint="eastAsia" w:ascii="宋体" w:hAnsi="宋体"/>
                      <w:color w:val="000000" w:themeColor="text1"/>
                    </w:rPr>
                    <w:t>500kg</w:t>
                  </w:r>
                </w:p>
              </w:tc>
              <w:tc>
                <w:tcPr>
                  <w:tcW w:w="1460" w:type="dxa"/>
                  <w:vAlign w:val="center"/>
                </w:tcPr>
                <w:p>
                  <w:pPr>
                    <w:autoSpaceDE w:val="0"/>
                    <w:autoSpaceDN w:val="0"/>
                    <w:adjustRightInd w:val="0"/>
                    <w:spacing w:line="360" w:lineRule="auto"/>
                    <w:jc w:val="center"/>
                    <w:rPr>
                      <w:rFonts w:ascii="宋体" w:hAnsi="宋体"/>
                      <w:color w:val="000000" w:themeColor="text1"/>
                      <w:szCs w:val="21"/>
                    </w:rPr>
                  </w:pPr>
                  <w:r>
                    <w:rPr>
                      <w:rFonts w:hint="eastAsia" w:ascii="宋体" w:hAnsi="宋体"/>
                      <w:color w:val="000000" w:themeColor="text1"/>
                      <w:szCs w:val="21"/>
                    </w:rPr>
                    <w:t>30.0</w:t>
                  </w:r>
                </w:p>
              </w:tc>
              <w:tc>
                <w:tcPr>
                  <w:tcW w:w="1177"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27.0</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112" w:hRule="atLeast"/>
                <w:jc w:val="center"/>
              </w:trPr>
              <w:tc>
                <w:tcPr>
                  <w:tcW w:w="2204" w:type="dxa"/>
                  <w:vAlign w:val="center"/>
                </w:tcPr>
                <w:p>
                  <w:pPr>
                    <w:autoSpaceDE w:val="0"/>
                    <w:autoSpaceDN w:val="0"/>
                    <w:adjustRightInd w:val="0"/>
                    <w:jc w:val="center"/>
                    <w:rPr>
                      <w:rFonts w:ascii="宋体" w:hAnsi="宋体"/>
                      <w:color w:val="000000" w:themeColor="text1"/>
                      <w:szCs w:val="21"/>
                    </w:rPr>
                  </w:pPr>
                  <w:r>
                    <w:rPr>
                      <w:rFonts w:hint="eastAsia" w:ascii="宋体" w:hAnsi="宋体"/>
                      <w:color w:val="000000" w:themeColor="text1"/>
                      <w:szCs w:val="21"/>
                    </w:rPr>
                    <w:t>会议、休闲、娱乐室用水</w:t>
                  </w:r>
                </w:p>
              </w:tc>
              <w:tc>
                <w:tcPr>
                  <w:tcW w:w="2706" w:type="dxa"/>
                  <w:vAlign w:val="center"/>
                </w:tcPr>
                <w:p>
                  <w:pPr>
                    <w:autoSpaceDE w:val="0"/>
                    <w:autoSpaceDN w:val="0"/>
                    <w:adjustRightInd w:val="0"/>
                    <w:spacing w:line="360" w:lineRule="auto"/>
                    <w:jc w:val="center"/>
                    <w:rPr>
                      <w:rFonts w:ascii="宋体" w:hAnsi="宋体"/>
                      <w:color w:val="000000" w:themeColor="text1"/>
                      <w:szCs w:val="21"/>
                    </w:rPr>
                  </w:pPr>
                  <w:r>
                    <w:rPr>
                      <w:rFonts w:hint="eastAsia" w:ascii="宋体" w:hAnsi="宋体"/>
                      <w:color w:val="000000" w:themeColor="text1"/>
                      <w:szCs w:val="21"/>
                    </w:rPr>
                    <w:t>5</w:t>
                  </w:r>
                  <w:r>
                    <w:rPr>
                      <w:rFonts w:ascii="宋体" w:hAnsi="宋体"/>
                      <w:color w:val="000000" w:themeColor="text1"/>
                      <w:szCs w:val="21"/>
                    </w:rPr>
                    <w:t>L/人·</w:t>
                  </w:r>
                  <w:r>
                    <w:rPr>
                      <w:rFonts w:hint="eastAsia" w:ascii="宋体" w:hAnsi="宋体"/>
                      <w:color w:val="000000" w:themeColor="text1"/>
                      <w:szCs w:val="21"/>
                    </w:rPr>
                    <w:t>次</w:t>
                  </w:r>
                </w:p>
              </w:tc>
              <w:tc>
                <w:tcPr>
                  <w:tcW w:w="1426"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400</w:t>
                  </w:r>
                  <w:r>
                    <w:rPr>
                      <w:rFonts w:ascii="宋体" w:hAnsi="宋体"/>
                      <w:color w:val="000000" w:themeColor="text1"/>
                      <w:kern w:val="0"/>
                      <w:szCs w:val="21"/>
                    </w:rPr>
                    <w:t>人</w:t>
                  </w:r>
                </w:p>
              </w:tc>
              <w:tc>
                <w:tcPr>
                  <w:tcW w:w="1460" w:type="dxa"/>
                  <w:vAlign w:val="center"/>
                </w:tcPr>
                <w:p>
                  <w:pPr>
                    <w:autoSpaceDE w:val="0"/>
                    <w:autoSpaceDN w:val="0"/>
                    <w:adjustRightInd w:val="0"/>
                    <w:spacing w:line="360" w:lineRule="auto"/>
                    <w:ind w:firstLine="630" w:firstLineChars="300"/>
                    <w:rPr>
                      <w:rFonts w:ascii="宋体" w:hAnsi="宋体"/>
                      <w:color w:val="000000" w:themeColor="text1"/>
                      <w:kern w:val="0"/>
                      <w:szCs w:val="21"/>
                    </w:rPr>
                  </w:pPr>
                  <w:r>
                    <w:rPr>
                      <w:rFonts w:hint="eastAsia" w:ascii="宋体" w:hAnsi="宋体"/>
                      <w:color w:val="000000" w:themeColor="text1"/>
                      <w:kern w:val="0"/>
                      <w:szCs w:val="21"/>
                    </w:rPr>
                    <w:t>2.0</w:t>
                  </w:r>
                </w:p>
              </w:tc>
              <w:tc>
                <w:tcPr>
                  <w:tcW w:w="1177" w:type="dxa"/>
                  <w:vAlign w:val="center"/>
                </w:tcPr>
                <w:p>
                  <w:pPr>
                    <w:autoSpaceDE w:val="0"/>
                    <w:autoSpaceDN w:val="0"/>
                    <w:adjustRightInd w:val="0"/>
                    <w:spacing w:line="360" w:lineRule="auto"/>
                    <w:ind w:firstLine="630" w:firstLineChars="300"/>
                    <w:rPr>
                      <w:rFonts w:ascii="宋体" w:hAnsi="宋体"/>
                      <w:color w:val="000000" w:themeColor="text1"/>
                      <w:kern w:val="0"/>
                      <w:szCs w:val="21"/>
                    </w:rPr>
                  </w:pPr>
                  <w:r>
                    <w:rPr>
                      <w:rFonts w:hint="eastAsia" w:ascii="宋体" w:hAnsi="宋体"/>
                      <w:color w:val="000000" w:themeColor="text1"/>
                      <w:kern w:val="0"/>
                      <w:szCs w:val="21"/>
                    </w:rPr>
                    <w:t>1.6</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881"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kern w:val="0"/>
                      <w:szCs w:val="21"/>
                    </w:rPr>
                  </w:pPr>
                  <w:r>
                    <w:rPr>
                      <w:rFonts w:ascii="宋体" w:hAnsi="宋体"/>
                      <w:color w:val="000000" w:themeColor="text1"/>
                      <w:kern w:val="0"/>
                      <w:szCs w:val="21"/>
                    </w:rPr>
                    <w:t>中央空调冷却塔补充水</w:t>
                  </w:r>
                </w:p>
              </w:tc>
              <w:tc>
                <w:tcPr>
                  <w:tcW w:w="2706" w:type="dxa"/>
                  <w:vAlign w:val="center"/>
                </w:tcPr>
                <w:p>
                  <w:pPr>
                    <w:widowControl/>
                    <w:rPr>
                      <w:rFonts w:ascii="宋体" w:hAnsi="宋体"/>
                      <w:color w:val="000000" w:themeColor="text1"/>
                      <w:kern w:val="0"/>
                      <w:szCs w:val="21"/>
                    </w:rPr>
                  </w:pPr>
                  <w:r>
                    <w:rPr>
                      <w:rFonts w:ascii="宋体" w:hAnsi="宋体"/>
                      <w:color w:val="000000" w:themeColor="text1"/>
                      <w:kern w:val="0"/>
                      <w:szCs w:val="21"/>
                    </w:rPr>
                    <w:t>预计循环水量20m</w:t>
                  </w:r>
                  <w:r>
                    <w:rPr>
                      <w:rFonts w:ascii="宋体" w:hAnsi="宋体"/>
                      <w:color w:val="000000" w:themeColor="text1"/>
                      <w:kern w:val="0"/>
                      <w:szCs w:val="21"/>
                      <w:vertAlign w:val="superscript"/>
                    </w:rPr>
                    <w:t>3</w:t>
                  </w:r>
                  <w:r>
                    <w:rPr>
                      <w:rFonts w:ascii="宋体" w:hAnsi="宋体"/>
                      <w:color w:val="000000" w:themeColor="text1"/>
                      <w:kern w:val="0"/>
                      <w:szCs w:val="21"/>
                    </w:rPr>
                    <w:t>/d，补充水量占循环水量1.5%</w:t>
                  </w:r>
                </w:p>
              </w:tc>
              <w:tc>
                <w:tcPr>
                  <w:tcW w:w="1426" w:type="dxa"/>
                  <w:vAlign w:val="center"/>
                </w:tcPr>
                <w:p>
                  <w:pPr>
                    <w:autoSpaceDE w:val="0"/>
                    <w:autoSpaceDN w:val="0"/>
                    <w:adjustRightInd w:val="0"/>
                    <w:spacing w:line="360" w:lineRule="auto"/>
                    <w:jc w:val="center"/>
                    <w:rPr>
                      <w:rFonts w:ascii="宋体" w:hAnsi="宋体"/>
                      <w:color w:val="000000" w:themeColor="text1"/>
                      <w:kern w:val="0"/>
                      <w:szCs w:val="21"/>
                    </w:rPr>
                  </w:pPr>
                  <w:r>
                    <w:rPr>
                      <w:rFonts w:ascii="宋体" w:hAnsi="宋体"/>
                      <w:color w:val="000000" w:themeColor="text1"/>
                      <w:kern w:val="0"/>
                      <w:szCs w:val="21"/>
                    </w:rPr>
                    <w:t>/</w:t>
                  </w:r>
                </w:p>
              </w:tc>
              <w:tc>
                <w:tcPr>
                  <w:tcW w:w="1460" w:type="dxa"/>
                  <w:vAlign w:val="center"/>
                </w:tcPr>
                <w:p>
                  <w:pPr>
                    <w:autoSpaceDE w:val="0"/>
                    <w:autoSpaceDN w:val="0"/>
                    <w:adjustRightInd w:val="0"/>
                    <w:spacing w:line="360" w:lineRule="auto"/>
                    <w:jc w:val="center"/>
                    <w:rPr>
                      <w:rFonts w:ascii="宋体" w:hAnsi="宋体"/>
                      <w:color w:val="000000" w:themeColor="text1"/>
                      <w:kern w:val="0"/>
                      <w:szCs w:val="21"/>
                    </w:rPr>
                  </w:pPr>
                  <w:r>
                    <w:rPr>
                      <w:rFonts w:ascii="宋体" w:hAnsi="宋体"/>
                      <w:color w:val="000000" w:themeColor="text1"/>
                      <w:kern w:val="0"/>
                      <w:szCs w:val="21"/>
                    </w:rPr>
                    <w:t>0.3</w:t>
                  </w:r>
                </w:p>
              </w:tc>
              <w:tc>
                <w:tcPr>
                  <w:tcW w:w="1177" w:type="dxa"/>
                  <w:vAlign w:val="center"/>
                </w:tcPr>
                <w:p>
                  <w:pPr>
                    <w:autoSpaceDE w:val="0"/>
                    <w:autoSpaceDN w:val="0"/>
                    <w:adjustRightInd w:val="0"/>
                    <w:spacing w:line="360" w:lineRule="auto"/>
                    <w:jc w:val="center"/>
                    <w:rPr>
                      <w:rFonts w:ascii="宋体" w:hAnsi="宋体"/>
                      <w:color w:val="000000" w:themeColor="text1"/>
                      <w:kern w:val="0"/>
                      <w:szCs w:val="21"/>
                    </w:rPr>
                  </w:pPr>
                  <w:r>
                    <w:rPr>
                      <w:rFonts w:ascii="宋体" w:hAnsi="宋体"/>
                      <w:color w:val="000000" w:themeColor="text1"/>
                      <w:kern w:val="0"/>
                      <w:szCs w:val="21"/>
                    </w:rPr>
                    <w:t>/</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568"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kern w:val="0"/>
                      <w:szCs w:val="21"/>
                    </w:rPr>
                  </w:pPr>
                  <w:r>
                    <w:rPr>
                      <w:rFonts w:ascii="宋体" w:hAnsi="宋体"/>
                      <w:color w:val="000000" w:themeColor="text1"/>
                      <w:kern w:val="0"/>
                      <w:szCs w:val="21"/>
                    </w:rPr>
                    <w:t>未预见用水</w:t>
                  </w:r>
                </w:p>
              </w:tc>
              <w:tc>
                <w:tcPr>
                  <w:tcW w:w="2706" w:type="dxa"/>
                  <w:vAlign w:val="center"/>
                </w:tcPr>
                <w:p>
                  <w:pPr>
                    <w:autoSpaceDE w:val="0"/>
                    <w:autoSpaceDN w:val="0"/>
                    <w:adjustRightInd w:val="0"/>
                    <w:spacing w:line="360" w:lineRule="auto"/>
                    <w:jc w:val="center"/>
                    <w:rPr>
                      <w:rFonts w:ascii="宋体" w:hAnsi="宋体"/>
                      <w:color w:val="000000" w:themeColor="text1"/>
                      <w:kern w:val="0"/>
                      <w:szCs w:val="21"/>
                      <w:lang w:eastAsia="zh-TW"/>
                    </w:rPr>
                  </w:pPr>
                  <w:r>
                    <w:rPr>
                      <w:rFonts w:ascii="宋体" w:hAnsi="宋体"/>
                      <w:color w:val="000000" w:themeColor="text1"/>
                      <w:kern w:val="0"/>
                      <w:szCs w:val="21"/>
                    </w:rPr>
                    <w:t>按上述用水量10%</w:t>
                  </w:r>
                </w:p>
              </w:tc>
              <w:tc>
                <w:tcPr>
                  <w:tcW w:w="1426"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w:t>
                  </w:r>
                </w:p>
              </w:tc>
              <w:tc>
                <w:tcPr>
                  <w:tcW w:w="1460"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27.9</w:t>
                  </w:r>
                </w:p>
              </w:tc>
              <w:tc>
                <w:tcPr>
                  <w:tcW w:w="1177"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22.3</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421"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绿化用水</w:t>
                  </w:r>
                </w:p>
              </w:tc>
              <w:tc>
                <w:tcPr>
                  <w:tcW w:w="2706"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60L/m</w:t>
                  </w:r>
                  <w:r>
                    <w:rPr>
                      <w:rFonts w:hint="eastAsia" w:ascii="宋体" w:hAnsi="宋体"/>
                      <w:color w:val="000000" w:themeColor="text1"/>
                      <w:kern w:val="0"/>
                      <w:szCs w:val="21"/>
                      <w:vertAlign w:val="superscript"/>
                    </w:rPr>
                    <w:t>2</w:t>
                  </w:r>
                  <w:r>
                    <w:rPr>
                      <w:rFonts w:hint="eastAsia" w:ascii="宋体" w:hAnsi="宋体"/>
                      <w:color w:val="000000" w:themeColor="text1"/>
                      <w:kern w:val="0"/>
                      <w:szCs w:val="21"/>
                    </w:rPr>
                    <w:t>.月</w:t>
                  </w:r>
                </w:p>
              </w:tc>
              <w:tc>
                <w:tcPr>
                  <w:tcW w:w="1426"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color w:val="000000" w:themeColor="text1"/>
                    </w:rPr>
                    <w:t>14042.33</w:t>
                  </w:r>
                  <w:r>
                    <w:rPr>
                      <w:color w:val="000000" w:themeColor="text1"/>
                    </w:rPr>
                    <w:t xml:space="preserve"> </w:t>
                  </w:r>
                  <w:r>
                    <w:rPr>
                      <w:rFonts w:ascii="宋体" w:hAnsi="宋体"/>
                      <w:color w:val="000000" w:themeColor="text1"/>
                      <w:kern w:val="0"/>
                      <w:szCs w:val="21"/>
                    </w:rPr>
                    <w:t>m</w:t>
                  </w:r>
                  <w:r>
                    <w:rPr>
                      <w:rFonts w:ascii="宋体" w:hAnsi="宋体"/>
                      <w:color w:val="000000" w:themeColor="text1"/>
                      <w:kern w:val="0"/>
                      <w:szCs w:val="21"/>
                      <w:vertAlign w:val="superscript"/>
                    </w:rPr>
                    <w:t>2</w:t>
                  </w:r>
                </w:p>
              </w:tc>
              <w:tc>
                <w:tcPr>
                  <w:tcW w:w="1460"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28.1</w:t>
                  </w:r>
                </w:p>
              </w:tc>
              <w:tc>
                <w:tcPr>
                  <w:tcW w:w="1177"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0</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2" w:space="0"/>
                </w:tblBorders>
                <w:tblLayout w:type="fixed"/>
                <w:tblCellMar>
                  <w:top w:w="0" w:type="dxa"/>
                  <w:left w:w="0" w:type="dxa"/>
                  <w:bottom w:w="0" w:type="dxa"/>
                  <w:right w:w="0" w:type="dxa"/>
                </w:tblCellMar>
              </w:tblPrEx>
              <w:trPr>
                <w:trHeight w:val="586" w:hRule="exact"/>
                <w:jc w:val="center"/>
              </w:trPr>
              <w:tc>
                <w:tcPr>
                  <w:tcW w:w="2204" w:type="dxa"/>
                  <w:vAlign w:val="center"/>
                </w:tcPr>
                <w:p>
                  <w:pPr>
                    <w:autoSpaceDE w:val="0"/>
                    <w:autoSpaceDN w:val="0"/>
                    <w:adjustRightInd w:val="0"/>
                    <w:spacing w:line="360" w:lineRule="auto"/>
                    <w:jc w:val="center"/>
                    <w:rPr>
                      <w:rFonts w:ascii="宋体" w:hAnsi="宋体"/>
                      <w:color w:val="000000" w:themeColor="text1"/>
                      <w:kern w:val="0"/>
                      <w:szCs w:val="21"/>
                    </w:rPr>
                  </w:pPr>
                  <w:r>
                    <w:rPr>
                      <w:rFonts w:ascii="宋体" w:hAnsi="宋体"/>
                      <w:color w:val="000000" w:themeColor="text1"/>
                      <w:kern w:val="0"/>
                      <w:szCs w:val="21"/>
                    </w:rPr>
                    <w:t>合计</w:t>
                  </w:r>
                </w:p>
              </w:tc>
              <w:tc>
                <w:tcPr>
                  <w:tcW w:w="4132" w:type="dxa"/>
                  <w:gridSpan w:val="2"/>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w:t>
                  </w:r>
                </w:p>
              </w:tc>
              <w:tc>
                <w:tcPr>
                  <w:tcW w:w="1460"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414.34</w:t>
                  </w:r>
                </w:p>
              </w:tc>
              <w:tc>
                <w:tcPr>
                  <w:tcW w:w="1177" w:type="dxa"/>
                  <w:vAlign w:val="center"/>
                </w:tcPr>
                <w:p>
                  <w:pPr>
                    <w:autoSpaceDE w:val="0"/>
                    <w:autoSpaceDN w:val="0"/>
                    <w:adjustRightInd w:val="0"/>
                    <w:spacing w:line="360" w:lineRule="auto"/>
                    <w:jc w:val="center"/>
                    <w:rPr>
                      <w:rFonts w:ascii="宋体" w:hAnsi="宋体"/>
                      <w:color w:val="000000" w:themeColor="text1"/>
                      <w:kern w:val="0"/>
                      <w:szCs w:val="21"/>
                    </w:rPr>
                  </w:pPr>
                  <w:r>
                    <w:rPr>
                      <w:rFonts w:hint="eastAsia" w:ascii="宋体" w:hAnsi="宋体"/>
                      <w:color w:val="000000" w:themeColor="text1"/>
                      <w:kern w:val="0"/>
                      <w:szCs w:val="21"/>
                    </w:rPr>
                    <w:t>311.7</w:t>
                  </w:r>
                </w:p>
              </w:tc>
            </w:tr>
          </w:tbl>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r>
              <w:rPr>
                <w:rFonts w:ascii="宋体" w:hAnsi="宋体"/>
                <w:bCs/>
                <w:sz w:val="24"/>
              </w:rPr>
              <w:pict>
                <v:rect id="矩形 176" o:spid="_x0000_s1111" o:spt="1" style="position:absolute;left:0pt;margin-left:183.25pt;margin-top:4.5pt;height:29.25pt;width:62.1pt;z-index:25161728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CvQIAALEFAAAOAAAAZHJzL2Uyb0RvYy54bWysVF2O0zAQfkfiDpbfs0m6bvOjTVe7TYOQ&#10;Flhp4QBu4jQWiR1st+mCOAsSbxyC4yCuwdj92XZXSAjIg2V7xjPzzfdlLi43XYvWTGkuRYbDswAj&#10;JkpZcbHM8Lu3hRdjpA0VFW2lYBm+ZxpfTp8/uxj6lI1kI9uKKQRBhE6HPsONMX3q+7psWEf1meyZ&#10;AGMtVUcNHNXSrxQdIHrX+qMgmPiDVFWvZMm0htt8a8RTF7+uWWne1LVmBrUZhtqMW5VbF3b1pxc0&#10;XSraN7zclUH/ooqOcgFJD6FyaihaKf4kVMdLJbWszVkpO1/WNS+ZwwBowuARmruG9sxhgebo/tAm&#10;/f/Clq/XtwrxCrgLgSpBOyDp55dvP75/RWE0sf0Zep2C211/qyxC3d/I8r1GQs4aKpbsSik5NIxW&#10;UFVo/f2TB/ag4SlaDK9kBcHpykjXqk2tOhsQmoA2jpH7AyNsY1AJl1EcTyLgrQTTeRSSaOwy0HT/&#10;uFfavGCyQ3aTYQWEu+B0faONLYamexebS8iCt60jvRUnF+C4vYHU8NTabBGOw09JkMzjeUw8MprM&#10;PRLkuXdVzIg3KcJonJ/ns1kefrZ5Q5I2vKqYsGn2egrJn/G1U/ZWCQdFadnyyoazJWm1XMxahdYU&#10;9Fy4b9eQIzf/tAzXBMDyCFI4IsH1KPGKSRx5pCBjL4mC2AvC5DqZBCQheXEK6YYL9u+Q0AAyGcdA&#10;pMPzW3CB+56Co2nHDYyMlncZjg9ONLUSnIvKcWsob7f7o17Y+h96AXzvmXaCtRrdat1sFhuIYoW7&#10;kNU9SFdJkBaoEOYcbBqpPmI0wMzIsP6wooph1L4UIP8kJMQOGXcg42gEB3VsWRxbqCghVIYNRtvt&#10;zGwH06pXfNlAptD1SMgr+GVq7uT8UNXuR4O54EDtZpgdPMdn5/Uwaae/AAAA//8DAFBLAwQUAAYA&#10;CAAAACEAsl4aouAAAAAIAQAADwAAAGRycy9kb3ducmV2LnhtbEyPwU7DMBBE70j8g7VIXBB1KG3a&#10;hDgVVEIqFyTacuC2jZckIraD7Tbp37Oc4Dia0cybYjWaTpzIh9ZZBXeTBATZyunW1gr2u+fbJYgQ&#10;0WrsnCUFZwqwKi8vCsy1G+wbnbaxFlxiQ44Kmhj7XMpQNWQwTFxPlr1P5w1Glr6W2uPA5aaT0yRJ&#10;pcHW8kKDPa0bqr62R6NgeBpmm49NfD1Pb+gFs/dvv16iUtdX4+MDiEhj/AvDLz6jQ8lMB3e0OohO&#10;wX2azjmqIONL7M+yZAHioCBdzEGWhfx/oPwBAAD//wMAUEsBAi0AFAAGAAgAAAAhALaDOJL+AAAA&#10;4QEAABMAAAAAAAAAAAAAAAAAAAAAAFtDb250ZW50X1R5cGVzXS54bWxQSwECLQAUAAYACAAAACEA&#10;OP0h/9YAAACUAQAACwAAAAAAAAAAAAAAAAAvAQAAX3JlbHMvLnJlbHNQSwECLQAUAAYACAAAACEA&#10;IrpPgr0CAACxBQAADgAAAAAAAAAAAAAAAAAuAgAAZHJzL2Uyb0RvYy54bWxQSwECLQAUAAYACAAA&#10;ACEAsl4aouAAAAAIAQAADwAAAAAAAAAAAAAAAAAXBQAAZHJzL2Rvd25yZXYueG1sUEsFBgAAAAAE&#10;AAQA8wAAACQGAAAAAA==&#10;">
                  <v:path/>
                  <v:fill on="f" focussize="0,0"/>
                  <v:stroke on="f" weight="1.25pt"/>
                  <v:imagedata o:title=""/>
                  <o:lock v:ext="edit"/>
                  <v:textbox>
                    <w:txbxContent>
                      <w:p>
                        <w:r>
                          <w:rPr>
                            <w:rFonts w:hint="eastAsia"/>
                          </w:rPr>
                          <w:t>损耗56.64</w:t>
                        </w:r>
                      </w:p>
                      <w:p/>
                    </w:txbxContent>
                  </v:textbox>
                </v:rect>
              </w:pict>
            </w:r>
            <w:r>
              <w:rPr>
                <w:rFonts w:ascii="宋体" w:hAnsi="宋体"/>
                <w:bCs/>
                <w:sz w:val="24"/>
              </w:rPr>
              <w:pict>
                <v:shape id="AutoShape 205" o:spid="_x0000_s1110" o:spt="32" type="#_x0000_t32" style="position:absolute;left:0pt;flip:y;margin-left:163.55pt;margin-top:21.7pt;height:9.35pt;width:19.7pt;z-index:251694080;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nWAIAAKoEAAAOAAAAZHJzL2Uyb0RvYy54bWysVE2P2yAQvVfqf0DcE9tZ58tKslrZSS/b&#10;NtJueyeAY1QMCEicqOp/74CTbNNeqqoXDMPMmzfDGy8eT61ER26d0GqJs2GKEVdUM6H2S/zldTOY&#10;YeQ8UYxIrfgSn7nDj6v37xadKfhIN1oybhGAKFd0Zokb702RJI42vCVuqA1XcFlr2xIPR7tPmCUd&#10;oLcyGaXpJOm0ZcZqyp0Da9Vf4lXEr2tO/ee6dtwjucTAzcfVxnUX1mS1IMXeEtMIeqFB/oFFS4SC&#10;pDeoiniCDlb8AdUKarXTtR9S3Sa6rgXlsQaoJkt/q+alIYbHWqA5ztza5P4fLP103FokGLxdNsVI&#10;kRYe6engdcyNRuk4tKgzrgDPUm1tKJKe1It51vSbQ0qXDVF7Ht1fzwaisxCR3IWEgzOQaNd91Ax8&#10;CGSI/TrVtkW1FOZrCAzg0BN0ig90vj0QP3lEwTgap9kcnpHCVZbNpnlkl5AiwIRgY53/wHWLwmaJ&#10;nbdE7BtfaqVACtr2Kcjx2flA8i0gBCu9EVJGRUiFOkgxnk3HkZTTUrBwG/yiOHkpLToSkJU/9ajy&#10;0EJxvW0yTtOLuMAMEuzND1czZL6hRB53Caw+KBZ5NJyw9WXviZCwRz522VsBfZccB6ItZxhJDhMY&#10;dn1lUgWu0Dmo9bLrFfl9ns7Xs/UsH+SjyXqQp1U1eNqU+WCyyabj6qEqyyr7EcrO8qIRjHEVKr9O&#10;R5b/nfouc9rr+jYftx4n9+ixCUD2+o2ko4iCbnoF7jQ7b22oLugJBiI6X4Y3TNyv5+j19otZ/QQA&#10;AP//AwBQSwMEFAAGAAgAAAAhAGQxG73gAAAACQEAAA8AAABkcnMvZG93bnJldi54bWxMj8tOwzAQ&#10;RfdI/IM1SGwQdR4lbdM4FaqE2GRD4APceJqkjcfBdtrA12NWsBzdo3vPFLtZD+yC1vWGBMSLCBhS&#10;Y1RPrYCP95fHNTDnJSk5GEIBX+hgV97eFDJX5kpveKl9y0IJuVwK6Lwfc85d06GWbmFGpJAdjdXS&#10;h9O2XFl5DeV64EkUZVzLnsJCJ0fcd9ic60kLOHXHk9nbafP6+bCqavNdrTdYCXF/Nz9vgXmc/R8M&#10;v/pBHcrgdDATKccGAWmyigMqYJkugQUgzbInYAcBWRIDLwv+/4PyBwAA//8DAFBLAQItABQABgAI&#10;AAAAIQC2gziS/gAAAOEBAAATAAAAAAAAAAAAAAAAAAAAAABbQ29udGVudF9UeXBlc10ueG1sUEsB&#10;Ai0AFAAGAAgAAAAhADj9If/WAAAAlAEAAAsAAAAAAAAAAAAAAAAALwEAAF9yZWxzLy5yZWxzUEsB&#10;Ai0AFAAGAAgAAAAhAO3P4qdYAgAAqgQAAA4AAAAAAAAAAAAAAAAALgIAAGRycy9lMm9Eb2MueG1s&#10;UEsBAi0AFAAGAAgAAAAhAGQxG73gAAAACQEAAA8AAAAAAAAAAAAAAAAAsgQAAGRycy9kb3ducmV2&#10;LnhtbFBLBQYAAAAABAAEAPMAAAC/BQAAAAA=&#10;">
                  <v:path arrowok="t"/>
                  <v:fill on="f" focussize="0,0"/>
                  <v:stroke weight="1.25pt" color="#5A5A5A [2109]" endarrow="block"/>
                  <v:imagedata o:title=""/>
                  <o:lock v:ext="edit"/>
                </v:shape>
              </w:pict>
            </w:r>
          </w:p>
          <w:p>
            <w:r>
              <w:rPr>
                <w:rFonts w:ascii="宋体" w:hAnsi="宋体"/>
                <w:b/>
                <w:sz w:val="24"/>
              </w:rPr>
              <w:pict>
                <v:rect id="矩形 181" o:spid="_x0000_s1027" o:spt="1" style="position:absolute;left:0pt;margin-left:159.4pt;margin-top:7.7pt;height:27.25pt;width:81.25pt;z-index:25165619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Q+iiwIAAA4FAAAOAAAAZHJzL2Uyb0RvYy54bWysVFGO0zAQ/UfiDpb/u4nbtNuNNl2tmhYh&#10;LbDSwgFc22ksHDvYbtMFcRYk/jgEx0Fcg7HTlpb9QYh8JDPxePzezBtf3+wahbbCOml0gclFipHQ&#10;zHCp1wV+93Y5mGLkPNWcKqNFgR+Fwzez58+uuzYXQ1MbxYVFkES7vGsLXHvf5kniWC0a6i5MKzQs&#10;VsY21INr1wm3tIPsjUqGaTpJOmN5aw0TzsHfsl/Es5i/qgTzb6rKCY9UgQGbj28b36vwTmbXNF9b&#10;2taS7WHQf0DRUKnh0GOqknqKNlY+SdVIZo0zlb9gpklMVUkmIgdgQ9I/2DzUtBWRCxTHtccyuf+X&#10;lr3e3lskOfSOjDHStIEm/fzy7cf3r4hMSahP17ocwh7aexsYuvbOsPcOaTOvqV6LW2tNVwvKAVWM&#10;T842BMfBVrTqXhkOyenGm1iqXWWbkBCKgHaxI4/HjoidRwx+knREppcAjMHaKJukYAOkhOaH3a11&#10;/oUwDQpGgS10PGan2zvn+9BDSDhMm6VUKnZdadQVeDIap3GDM0rysBhJ2vVqriza0qCb+OzPPQtr&#10;pAf1KtkUeHoMonmoxkLzeIqnUvU2gFY6JAdygG1v9Sr5dJVeLaaLaTbIhpPFIEvLcnC7nGeDyZJc&#10;jstROZ+X5HPASbK8lpwLHaAeFEuyv1PEfnZ6rR01e0bJnTJfxucp8+QcRmwIsDp8I7sog9D5XkF+&#10;t9r1OjtoamX4I+jCmn4o4RIBozb2I0YdDGSB3YcNtQIj9VKDtq5IloUJjk42vhyCY09XVqcrVDNI&#10;VWCPUW/OfT/1m9bKdQ0nkdh1bW5Bj5WMUgla7VEBk+DA0EVO+wsiTPWpH6N+X2OzXwAAAP//AwBQ&#10;SwMEFAAGAAgAAAAhAFcjhcfdAAAACQEAAA8AAABkcnMvZG93bnJldi54bWxMj8FOwzAQRO9I/IO1&#10;SFwQddKUkoY4VYXEFSmlH+DGbhzVXkex05i/ZznBcTSjmTf1PjnLbnoKg0cB+SoDprHzasBewOnr&#10;47kEFqJEJa1HLeBbB9g393e1rJRfsNW3Y+wZlWCopAAT41hxHjqjnQwrP2ok7+InJyPJqedqkguV&#10;O8vXWbblTg5IC0aO+t3o7nqcnYCnYJMzbV+s29d0OsyLLYpPK8TjQzq8AYs6xb8w/OITOjTEdPYz&#10;qsCsgCIvCT2S8bIBRoFNmRfAzgK2ux3wpub/HzQ/AAAA//8DAFBLAQItABQABgAIAAAAIQC2gziS&#10;/gAAAOEBAAATAAAAAAAAAAAAAAAAAAAAAABbQ29udGVudF9UeXBlc10ueG1sUEsBAi0AFAAGAAgA&#10;AAAhADj9If/WAAAAlAEAAAsAAAAAAAAAAAAAAAAALwEAAF9yZWxzLy5yZWxzUEsBAi0AFAAGAAgA&#10;AAAhAEe1D6KLAgAADgUAAA4AAAAAAAAAAAAAAAAALgIAAGRycy9lMm9Eb2MueG1sUEsBAi0AFAAG&#10;AAgAAAAhAFcjhcfdAAAACQEAAA8AAAAAAAAAAAAAAAAA5QQAAGRycy9kb3ducmV2LnhtbFBLBQYA&#10;AAAABAAEAPMAAADvBQAAAAA=&#10;">
                  <v:path/>
                  <v:fill on="f" focussize="0,0"/>
                  <v:stroke weight="0.5pt"/>
                  <v:imagedata o:title=""/>
                  <o:lock v:ext="edit"/>
                  <v:textbox>
                    <w:txbxContent>
                      <w:p>
                        <w:r>
                          <w:rPr>
                            <w:rFonts w:hint="eastAsia"/>
                          </w:rPr>
                          <w:t xml:space="preserve">  住宿用水</w:t>
                        </w:r>
                      </w:p>
                    </w:txbxContent>
                  </v:textbox>
                </v:rect>
              </w:pict>
            </w:r>
            <w:r>
              <w:rPr>
                <w:rFonts w:hint="eastAsia"/>
              </w:rPr>
              <w:t xml:space="preserve">                        283.04</w:t>
            </w:r>
          </w:p>
          <w:p>
            <w:pPr>
              <w:spacing w:line="360" w:lineRule="auto"/>
              <w:rPr>
                <w:rFonts w:ascii="宋体" w:hAnsi="宋体"/>
                <w:bCs/>
                <w:sz w:val="24"/>
              </w:rPr>
            </w:pPr>
            <w:r>
              <w:rPr>
                <w:rFonts w:ascii="宋体" w:hAnsi="宋体"/>
                <w:bCs/>
                <w:sz w:val="24"/>
              </w:rPr>
              <w:pict>
                <v:shape id="自选图形 208" o:spid="_x0000_s1109" o:spt="32" type="#_x0000_t32" style="position:absolute;left:0pt;margin-left:279.2pt;margin-top:2.8pt;height:471.95pt;width:3.05pt;z-index:25168281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BauPQIAAEYEAAAOAAAAZHJzL2Uyb0RvYy54bWysU82O0zAQviPxDpbvbZI2/Ys2XaGk5bLA&#10;Srs8gGs7jUViW7a3aYWQuKF9Bm4ceQd4m5XgLRi7abULF4TIwRnbM998M/P54nLfNmjHjRVK5jgZ&#10;xhhxSRUTcpvjt7frwRwj64hkpFGS5/jALb5cPn920emMj1StGsYNAhBps07nuHZOZ1Fkac1bYodK&#10;cwmXlTItcbA124gZ0gF620SjOJ5GnTJMG0W5tXBaHi/xMuBXFafuTVVZ7lCTY+DmwmrCuvFrtLwg&#10;2dYQXQva0yD/wKIlQkLSM1RJHEF3RvwB1QpqlFWVG1LVRqqqBOWhBqgmiX+r5qYmmodaoDlWn9tk&#10;/x8sfb27NkgwmF2SYiRJC0P68enrz4/3D5+/P3z7gkbx3Hep0zYD50JeG18n3csbfaXoO4ukKmoi&#10;tzywvT1oAEh8RPQkxG+shlyb7pVi4EPunAot21em9ZDQDLQPkzmcJ8P3DlE4HM9n4wlGFG4mi8V4&#10;Np2EDCQ7BWtj3UuuWuSNHFtniNjWrlBSggaUSUIqsruyzlMj2SnAZ5ZqLZomSKGRqMvxdDyJQ4BV&#10;jWD+0rtZs90UjUE74sUUvp7FEzej7iQLYDUnbNXbjojmaEPyRno8KA7o9NZRLe8X8WI1X83TQTqa&#10;rgZpXJaDF+siHUzXyWxSjsuiKJMPnlqSZrVgjEvP7qTcJP07ZfRv6Ki5s3bPbYieood+AdnTP5AO&#10;0/UDPUpjo9jh2pymDmINzv3D8q/h8R7sx89/+QsAAP//AwBQSwMEFAAGAAgAAAAhAIoKd03fAAAA&#10;CQEAAA8AAABkcnMvZG93bnJldi54bWxMj81OwzAQhO9IvIO1SNyoQxVHbYhToQISpwoKAnHbxksS&#10;Ea+j2Pnh7TEnuM1qRjPfFrvFdmKiwbeONVyvEhDElTMt1xpeXx6uNiB8QDbYOSYN3+RhV56fFZgb&#10;N/MzTcdQi1jCPkcNTQh9LqWvGrLoV64njt6nGyyGeA61NAPOsdx2cp0kmbTYclxosKd9Q9XXcbQa&#10;LD66cd3sp8Pbcvdk5g+uDvfvWl9eLLc3IAIt4S8Mv/gRHcrIdHIjGy86DUpt0hiNIgMRfZWlCsRJ&#10;wzbdKpBlIf9/UP4AAAD//wMAUEsBAi0AFAAGAAgAAAAhALaDOJL+AAAA4QEAABMAAAAAAAAAAAAA&#10;AAAAAAAAAFtDb250ZW50X1R5cGVzXS54bWxQSwECLQAUAAYACAAAACEAOP0h/9YAAACUAQAACwAA&#10;AAAAAAAAAAAAAAAvAQAAX3JlbHMvLnJlbHNQSwECLQAUAAYACAAAACEA47AWrj0CAABGBAAADgAA&#10;AAAAAAAAAAAAAAAuAgAAZHJzL2Uyb0RvYy54bWxQSwECLQAUAAYACAAAACEAigp3Td8AAAAJAQAA&#10;DwAAAAAAAAAAAAAAAACXBAAAZHJzL2Rvd25yZXYueG1sUEsFBgAAAAAEAAQA8wAAAKMFAAAAAA==&#10;">
                  <v:path arrowok="t"/>
                  <v:fill on="f" focussize="0,0"/>
                  <v:stroke weight="0.5pt"/>
                  <v:imagedata o:title=""/>
                  <o:lock v:ext="edit"/>
                </v:shape>
              </w:pict>
            </w:r>
            <w:r>
              <w:rPr>
                <w:rFonts w:ascii="宋体" w:hAnsi="宋体"/>
                <w:bCs/>
                <w:sz w:val="24"/>
              </w:rPr>
              <w:pict>
                <v:rect id="Rectangle 150" o:spid="_x0000_s1028" o:spt="1" style="position:absolute;left:0pt;margin-left:195.95pt;margin-top:18.8pt;height:23.8pt;width:67.05pt;z-index:25165107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g2NuQIAALsFAAAOAAAAZHJzL2Uyb0RvYy54bWysVNuO0zAQfUfiHyy/Z3Np0jbRpqvdpkFI&#10;C6xY+AA3cRoLxw6223RB/Dtj9959QUAeItsznjln5nhu77YdRxuqNJMix+FNgBEVlayZWOX465fS&#10;m2KkDRE14VLQHL9Qje9mb9/cDn1GI9lKXlOFIIjQ2dDnuDWmz3xfVy3tiL6RPRVgbKTqiIGtWvm1&#10;IgNE77gfBcHYH6SqeyUrqjWcFjsjnrn4TUMr86lpNDWI5xiwGfdX7r+0f392S7KVIn3Lqj0M8hco&#10;OsIEJD2GKoghaK3Yq1Adq5TUsjE3lex82TSsoo4DsAmDKzbPLemp4wLF0f2xTPr/ha0+bp4UYjX0&#10;LhxhJEgHTfoMZSNixSkKE1eiodcZeD73T8qS1P2jrL5pJOS8BT96r5QcWkpqABbakvoXF+xGw1W0&#10;HD7IGuKTtZGuWttGdTYg1AFtXVNejk2hW4MqOJwmYTJKMKrANAqiaOwQ+SQ7XO6VNu+o7JBd5FgB&#10;eBecbB61sWBIdnCxuYQsGeeu71xcHIDj7gRSw1VrsyBcG3+mQbqYLqaxF0fjhRcHReHdl/PYG5fh&#10;JClGxXxehL9s3jDOWlbXVNg0B0mF8Z+1bC/unRiOotKSs9qGs5C0Wi3nXKENAUmX7nMlB8vJzb+E&#10;4YoAXK4ohVEcPESpV46nEy8u48RLJ8HUC8L0IR0HcRoX5SWlRybov1NCA8gkmU4S16Yz1FfkAve9&#10;JkeyjhmYGpx1II+jE8msBBeidr01hPHd+qwWFv+pFtDvQ6edYK1G7eDQmdkut+5RRDa7PVnK+gUU&#10;rCQoDOYITDxYtFL9wGiA6ZFj/X1NFMWIvxfwCtIwju24cZs4mUSwUeeW5bmFiApC5dhgtFvOzW5E&#10;rXvFVi1kCl2phLyHl9Mwp+oTqv17gwnhuO2nmR1B53vndZq5s98AAAD//wMAUEsDBBQABgAIAAAA&#10;IQATjKEL4QAAAAkBAAAPAAAAZHJzL2Rvd25yZXYueG1sTI/BTsMwDIbvSLxDZCQuaEtXWGlL0wkm&#10;IW0XJDY4cPNa01Y0SUmytXt7zAlutvzp9/cXq0n34kTOd9YoWMwjEGQqW3emUfC2f56lIHxAU2Nv&#10;DSk4k4dVeXlRYF7b0bzSaRcawSHG56igDWHIpfRVSxr93A5k+PZpncbAq2tk7XDkcN3LOIoSqbEz&#10;/KHFgdYtVV+7o1YwPo13m49NeDnHN7TF7P3brVNU6vpqenwAEWgKfzD86rM6lOx0sEdTe9EruM0W&#10;GaM83CcgGFjGCZc7KEiXMciykP8blD8AAAD//wMAUEsBAi0AFAAGAAgAAAAhALaDOJL+AAAA4QEA&#10;ABMAAAAAAAAAAAAAAAAAAAAAAFtDb250ZW50X1R5cGVzXS54bWxQSwECLQAUAAYACAAAACEAOP0h&#10;/9YAAACUAQAACwAAAAAAAAAAAAAAAAAvAQAAX3JlbHMvLnJlbHNQSwECLQAUAAYACAAAACEAsjYN&#10;jbkCAAC7BQAADgAAAAAAAAAAAAAAAAAuAgAAZHJzL2Uyb0RvYy54bWxQSwECLQAUAAYACAAAACEA&#10;E4yhC+EAAAAJAQAADwAAAAAAAAAAAAAAAAATBQAAZHJzL2Rvd25yZXYueG1sUEsFBgAAAAAEAAQA&#10;8wAAACEGAAAAAA==&#10;">
                  <v:path/>
                  <v:fill on="f" focussize="0,0"/>
                  <v:stroke on="f" weight="1.25pt"/>
                  <v:imagedata o:title=""/>
                  <o:lock v:ext="edit"/>
                  <v:textbox>
                    <w:txbxContent>
                      <w:p>
                        <w:r>
                          <w:rPr>
                            <w:rFonts w:hint="eastAsia"/>
                          </w:rPr>
                          <w:t>损耗4.2</w:t>
                        </w:r>
                      </w:p>
                    </w:txbxContent>
                  </v:textbox>
                </v:rect>
              </w:pict>
            </w:r>
            <w:r>
              <w:rPr>
                <w:rFonts w:ascii="宋体" w:hAnsi="宋体"/>
                <w:b/>
                <w:sz w:val="24"/>
              </w:rPr>
              <w:pict>
                <v:rect id="矩形 153" o:spid="_x0000_s1029" o:spt="1" style="position:absolute;left:0pt;margin-left:242pt;margin-top:1.1pt;height:22.1pt;width:40.35pt;z-index:25163059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pKlwIAAA4FAAAOAAAAZHJzL2Uyb0RvYy54bWysVF2O0zAQfkfiDpbfu/nZpG2ipqvdLkVI&#10;C6y0cADXdhoLxw6223RBnAWJNw7BcRDXYOy0pYUXhMiD47HH42/m+8azq10r0ZYbK7SqcHIRY8QV&#10;1UyodYXfvlmOphhZRxQjUite4Udu8dX86ZNZ35U81Y2WjBsEQZQt+67CjXNdGUWWNrwl9kJ3XMFm&#10;rU1LHJhmHTFDeojeyiiN43HUa8M6oym3FlZvh008D/HrmlP3uq4td0hWGLC5MJowrvwYzWekXBvS&#10;NYLuYZB/QNESoeDSY6hb4gjaGPFHqFZQo62u3QXVbaTrWlAecoBskvi3bB4a0vGQCxTHdscy2f8X&#10;lr7a3hskGHCXpBgp0gJJPz5//f7tC0ryS1+fvrMluD1098ZnaLs7Td9ZpPSiIWrNr43RfcMJA1SJ&#10;94/ODnjDwlG06l9qBsHJxulQql1tWh8QioB2gZHHIyN85xCFxTxJsyzHiMJWOo3Hk8BYRMrD4c5Y&#10;95zrFvlJhQ0QHoKT7Z11HgwpDy4BvJaCLYWUwTDr1UIatCUgjmX4An7I8dRNKu+stD82RBxWACPc&#10;4fc82kD2xwLwxjdpMVqOp5NRtszyUTGJp6M4KW6KcZwV2e3ykweYZGUjGOPqTih+EF6S/R2x+xYY&#10;JBOkh3oofj6d5CH5M/j2NMvJZbFYBFahMGdurXDQiFK0FZ7G/htawxP7TDHIm5SOCDnMo3P8ocxQ&#10;hMM/lCXIwDM/KMjtVrugs6OmVpo9gi6MBt6gNeERgUmjzQeMemjICtv3G2I4RvKFAm0VSZb5Dg5G&#10;lk9SMMzpzup0hygKoSrsMBqmCzd0/aYzYt3ATUkoldLXoMdaBK14rQ6o9iqGpgs57R8I39WndvD6&#10;9YzNfwIAAP//AwBQSwMEFAAGAAgAAAAhALsMwLDfAAAACAEAAA8AAABkcnMvZG93bnJldi54bWxM&#10;j01PhDAQhu8m/odmTLy5RYK4Qcpm/ToYT4trjLcuHYFIp6QtC/rrHU96nDyT933ecrPYQRzRh96R&#10;gstVAgKpcaanVsH+5fFiDSJETUYPjlDBFwbYVKcnpS6Mm2mHxzq2gkMoFFpBF+NYSBmaDq0OKzci&#10;Mftw3urIp2+l8XrmcDvINElyaXVP3NDpEe86bD7rySp4T/rZ7/30EOt029zuXu+f356+lTo/W7Y3&#10;ICIu8e8ZfvVZHSp2OriJTBCDgmyd8ZaoIE1BML/Ks2sQBwZ5BrIq5f8B1Q8AAAD//wMAUEsBAi0A&#10;FAAGAAgAAAAhALaDOJL+AAAA4QEAABMAAAAAAAAAAAAAAAAAAAAAAFtDb250ZW50X1R5cGVzXS54&#10;bWxQSwECLQAUAAYACAAAACEAOP0h/9YAAACUAQAACwAAAAAAAAAAAAAAAAAvAQAAX3JlbHMvLnJl&#10;bHNQSwECLQAUAAYACAAAACEAbUFaSpcCAAAOBQAADgAAAAAAAAAAAAAAAAAuAgAAZHJzL2Uyb0Rv&#10;Yy54bWxQSwECLQAUAAYACAAAACEAuwzAsN8AAAAIAQAADwAAAAAAAAAAAAAAAADxBAAAZHJzL2Rv&#10;d25yZXYueG1sUEsFBgAAAAAEAAQA8wAAAP0FAAAAAA==&#10;">
                  <v:path/>
                  <v:fill focussize="0,0"/>
                  <v:stroke on="f" weight="1.25pt" color="#739CC3"/>
                  <v:imagedata o:title=""/>
                  <o:lock v:ext="edit"/>
                  <v:textbox>
                    <w:txbxContent>
                      <w:p>
                        <w:r>
                          <w:rPr>
                            <w:rFonts w:hint="eastAsia"/>
                          </w:rPr>
                          <w:t>226.4</w:t>
                        </w:r>
                      </w:p>
                    </w:txbxContent>
                  </v:textbox>
                </v:rect>
              </w:pict>
            </w:r>
            <w:r>
              <w:rPr>
                <w:rFonts w:ascii="宋体" w:hAnsi="宋体"/>
                <w:bCs/>
                <w:sz w:val="24"/>
              </w:rPr>
              <w:pict>
                <v:shape id="自选图形 193" o:spid="_x0000_s1108" o:spt="32" type="#_x0000_t32" style="position:absolute;left:0pt;margin-left:117.3pt;margin-top:-0.2pt;height:479.5pt;width:0pt;z-index:25166745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0zMNgIAAEIEAAAOAAAAZHJzL2Uyb0RvYy54bWysU02O0zAU3iNxByv7TpI2U9qo6QglLZsB&#10;Ks1wANd2GgvHtmy3aYWQ2KE5AzuW3AFuMxLcgmenrWaGDUJk4Tz/fe977/s8u9q3Au2YsVzJIkov&#10;kggxSRTlclNE726Xg0mErMOSYqEkK6IDs9HV/PmzWadzNlSNEpQZBCDS5p0uosY5ncexJQ1rsb1Q&#10;mknYrJVpsYOp2cTU4A7QWxEPk2Qcd8pQbRRh1sJq1W9G84Bf14y4t3VtmUOiiICbC6MJ49qP8XyG&#10;843BuuHkSAP/A4sWcwlJz1AVdhhtDf8DquXEKKtqd0FUG6u65oSFGqCaNHlSzU2DNQu1QHOsPrfJ&#10;/j9Y8ma3MohT0C5NIyRxCyL9/Pzt16e7+y8/7r9/Rel05LvUaZvD4VKujK+T7OWNvlbkvUVSlQ2W&#10;GxbY3h40AKT+Rvzoip9YDbnW3WtF4QzeOhVatq9N6yGhGWgflDmclWF7h0i/SGB1nEym48ugWozz&#10;00VtrHvFVIt8UETWGcw3jSuVlKC/MmlIg3fX1nlaOD9d8FmlWnIhgg2ERB3kGEECv2OV4NRvhonZ&#10;rEth0A57I4Uv1PjkmFFbSQNYwzBdHGOHuehjSC6kx4PCgM4x6p3yYZpMF5PFJBtkw/FikCVVNXi5&#10;LLPBeJm+uKxGVVlW6UdPLc3yhlPKpGd3cm2a/Z0rju+n99vZt+c2xI/RQ7+A7OkfSAdlvZi9LdaK&#10;HlbmpDgYNRw+Pir/Eh7OIX749Oe/AQAA//8DAFBLAwQUAAYACAAAACEAhgTznt0AAAAJAQAADwAA&#10;AGRycy9kb3ducmV2LnhtbEyPzU7DMBCE70i8g7VI3FqHUKISsqlQAYlTVQoCcXPjJY6I11Hs/PD2&#10;GHGA42hGM98Um9m2YqTeN44RLpYJCOLK6YZrhJfnh8UahA+KtWodE8IXediUpyeFyrWb+InGQ6hF&#10;LGGfKwQTQpdL6StDVvml64ij9+F6q0KUfS11r6ZYbluZJkkmrWo4LhjV0dZQ9XkYLIJVj25IzXbc&#10;vc53ez29c7W7f0M8P5tvb0AEmsNfGH7wIzqUkenoBtZetAjp5SqLUYTFCkT0f/UR4fpqnYEsC/n/&#10;QfkNAAD//wMAUEsBAi0AFAAGAAgAAAAhALaDOJL+AAAA4QEAABMAAAAAAAAAAAAAAAAAAAAAAFtD&#10;b250ZW50X1R5cGVzXS54bWxQSwECLQAUAAYACAAAACEAOP0h/9YAAACUAQAACwAAAAAAAAAAAAAA&#10;AAAvAQAAX3JlbHMvLnJlbHNQSwECLQAUAAYACAAAACEATxtMzDYCAABCBAAADgAAAAAAAAAAAAAA&#10;AAAuAgAAZHJzL2Uyb0RvYy54bWxQSwECLQAUAAYACAAAACEAhgTznt0AAAAJAQAADwAAAAAAAAAA&#10;AAAAAACQBAAAZHJzL2Rvd25yZXYueG1sUEsFBgAAAAAEAAQA8wAAAJoFAAAAAA==&#10;">
                  <v:path arrowok="t"/>
                  <v:fill on="f" focussize="0,0"/>
                  <v:stroke weight="0.5pt"/>
                  <v:imagedata o:title=""/>
                  <o:lock v:ext="edit"/>
                </v:shape>
              </w:pict>
            </w:r>
            <w:r>
              <w:rPr>
                <w:rFonts w:ascii="宋体" w:hAnsi="宋体"/>
                <w:bCs/>
                <w:sz w:val="24"/>
              </w:rPr>
              <w:pict>
                <v:shape id="自选图形 155" o:spid="_x0000_s1107" o:spt="32" type="#_x0000_t32" style="position:absolute;left:0pt;margin-left:237.85pt;margin-top:3.85pt;height:0pt;width:44.5pt;z-index:25163161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w6USwIAAGMEAAAOAAAAZHJzL2Uyb0RvYy54bWysVM2O0zAQviPxDpbvbZJuW7pR0xVKWi4L&#10;VNrlAVzbaSwc27LdphVC4ob2Gbhx5B3gbVaCt2Ds/sAuF4TIwRlnxt98M/M506tdK9GWWye0KnDW&#10;TzHiimom1LrAb24XvQlGzhPFiNSKF3jPHb6aPX0y7UzOB7rRknGLAES5vDMFbrw3eZI42vCWuL42&#10;XIGz1rYlHrZ2nTBLOkBvZTJI03HSacuM1ZQ7B1+rgxPPIn5dc+pf17XjHskCAzcfVxvXVViT2ZTk&#10;a0tMI+iRBvkHFi0RCpKeoSriCdpY8QdUK6jVTte+T3Wb6LoWlMcaoJosfVTNTUMMj7VAc5w5t8n9&#10;P1j6aru0SDCYXQb9UaSFIX3/+OXHh7v7T9/uv35G2WgUutQZl0NwqZY21El36sZca/rWIaXLhqg1&#10;j2xv9wYAsnAieXAkbJyBXKvupWYQQzZex5btatsGSGgG2sXJ7M+T4TuPKHwcjUfZCPjRkysh+emc&#10;sc6/4LpFwSiw85aIdeNLrRSMX9ssZiHba+cDK5KfDoSkSi+ElFEFUqGuwOMLyBM8TkvBgjNu7HpV&#10;Sou2JOgoPrHER2FWbxSLYA0nbH60PRESbORjb7wV0C3JccjWcoaR5HB1gnWgJ1XICJUD4aN1kNK7&#10;y/RyPplPhr3hYDzvDdOq6j1flMPeeJE9G1UXVVlW2ftAPhvmjWCMq8D/JOts+HeyOV6wgyDPwj43&#10;KnmIHjsKZE/vSDqOPkz7oJuVZvulDdUFFYCSY/Dx1oWr8vs+Rv36N8x+AgAA//8DAFBLAwQUAAYA&#10;CAAAACEAlOZq/dwAAAAHAQAADwAAAGRycy9kb3ducmV2LnhtbEyOQUvDQBCF74L/YRnBi9hdS9vU&#10;mE0RQUHwYqrQ4zY7JsHd2ZDdtKm/3tGLnuY93uPNV2wm78QBh9gF0nAzUyCQ6mA7ajS8bR+v1yBi&#10;MmSNC4QaThhhU56fFSa34UiveKhSI3iEYm40tCn1uZSxbtGbOAs9EmcfYfAmsR0aaQdz5HHv5Fyp&#10;lfSmI/7Qmh4fWqw/q9FrSIq2VTfuntPT6fZLvcydMlfvWl9eTPd3IBJO6a8MP/iMDiUz7cNINgqn&#10;YZEtM65qyPhwvlwtWOx/vSwL+Z+//AYAAP//AwBQSwECLQAUAAYACAAAACEAtoM4kv4AAADhAQAA&#10;EwAAAAAAAAAAAAAAAAAAAAAAW0NvbnRlbnRfVHlwZXNdLnhtbFBLAQItABQABgAIAAAAIQA4/SH/&#10;1gAAAJQBAAALAAAAAAAAAAAAAAAAAC8BAABfcmVscy8ucmVsc1BLAQItABQABgAIAAAAIQCQ0w6U&#10;SwIAAGMEAAAOAAAAAAAAAAAAAAAAAC4CAABkcnMvZTJvRG9jLnhtbFBLAQItABQABgAIAAAAIQCU&#10;5mr93AAAAAcBAAAPAAAAAAAAAAAAAAAAAKUEAABkcnMvZG93bnJldi54bWxQSwUGAAAAAAQABADz&#10;AAAArgUAAAAA&#10;">
                  <v:path arrowok="t"/>
                  <v:fill on="f" focussize="0,0"/>
                  <v:stroke weight="0.5pt" endarrow="block"/>
                  <v:imagedata o:title=""/>
                  <o:lock v:ext="edit"/>
                </v:shape>
              </w:pict>
            </w:r>
            <w:r>
              <w:rPr>
                <w:rFonts w:ascii="宋体" w:hAnsi="宋体"/>
                <w:bCs/>
                <w:sz w:val="24"/>
              </w:rPr>
              <w:pict>
                <v:shape id="自选图形 148" o:spid="_x0000_s1106" o:spt="32" type="#_x0000_t32" style="position:absolute;left:0pt;margin-left:117.3pt;margin-top:-0.2pt;height:0pt;width:37.5pt;z-index:25162649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ukTgIAAGQEAAAOAAAAZHJzL2Uyb0RvYy54bWysVM2O0zAQviPxDpbvbZKS7bZR2xVKWi4L&#10;VNrlAVzbaSwc27LdphVC4ob2Gbhx5B3gbVaCt2Ds/rALF4TIwRnHM998M/M5k6tdK9GWWye0muKs&#10;n2LEFdVMqPUUv7ld9EYYOU8UI1IrPsV77vDV7OmTSWcKPtCNloxbBCDKFZ2Z4sZ7UySJow1vietr&#10;wxUc1tq2xMPWrhNmSQforUwGaTpMOm2ZsZpy5+BrdTjEs4hf15z613XtuEdyioGbj6uN6yqsyWxC&#10;irUlphH0SIP8A4uWCAVJz1AV8QRtrPgDqhXUaqdr36e6TXRdC8pjDVBNlv5WzU1DDI+1QHOcObfJ&#10;/T9Y+mq7tEgwmF06xkiRFob0/eOXHx/u7j99u//6GWX5KHSpM64A51ItbaiT7tSNudb0rUNKlw1R&#10;ax7Z3u4NAGQhInkUEjbOQK5V91Iz8CEbr2PLdrVtAyQ0A+3iZPbnyfCdRxQ+5pfDwQXMj56OElKc&#10;4ox1/gXXLQrGFDtviVg3vtRKwfi1zWIWsr12PrAixSkgJFV6IaSMKpAKdUB9cJmmMcJpKVg4DX7O&#10;rleltGhLgpDiE2uEk4duVm8Ui2gNJ2x+tD0REmzkY3O8FdAuyXFI13KGkeRwd4J14CdVyAilA+Oj&#10;ddDSu3E6no/mo7yXD4bzXp5WVe/5osx7w0V2eVE9q8qyyt4H8lleNIIxrgL/k66z/O90c7xhB0We&#10;lX3uVPIYPbYUyJ7ekXScfRj3QTgrzfZLG6oLMgApR+fjtQt35eE+ev36Ocx+AgAA//8DAFBLAwQU&#10;AAYACAAAACEAHxkFiNkAAAAHAQAADwAAAGRycy9kb3ducmV2LnhtbEyOwU7DMBBE70j8g7VIXFDr&#10;kEYRhDgVQQriSkGc3XhJQuN1ZDtt+HsWLvT4NKOZV24XO4oj+jA4UnC7TkAgtc4M1Cl4f2tWdyBC&#10;1GT06AgVfGOAbXV5UerCuBO94nEXO8EjFAqtoI9xKqQMbY9Wh7WbkDj7dN7qyOg7abw+8bgdZZok&#10;ubR6IH7o9YRPPbaH3WwV3Dhbf4Xm8FzPWdv4Ov94wS5V6vpqeXwAEXGJ/2X41Wd1qNhp72YyQYwK&#10;0k2Wc1XBKgPB+Sa5Z97/saxKee5f/QAAAP//AwBQSwECLQAUAAYACAAAACEAtoM4kv4AAADhAQAA&#10;EwAAAAAAAAAAAAAAAAAAAAAAW0NvbnRlbnRfVHlwZXNdLnhtbFBLAQItABQABgAIAAAAIQA4/SH/&#10;1gAAAJQBAAALAAAAAAAAAAAAAAAAAC8BAABfcmVscy8ucmVsc1BLAQItABQABgAIAAAAIQAjBfuk&#10;TgIAAGQEAAAOAAAAAAAAAAAAAAAAAC4CAABkcnMvZTJvRG9jLnhtbFBLAQItABQABgAIAAAAIQAf&#10;GQWI2QAAAAcBAAAPAAAAAAAAAAAAAAAAAKgEAABkcnMvZG93bnJldi54bWxQSwUGAAAAAAQABADz&#10;AAAArgUAAAAA&#10;">
                  <v:path arrowok="t"/>
                  <v:fill on="f" focussize="0,0"/>
                  <v:stroke weight="1p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rect id="矩形 188" o:spid="_x0000_s1030" o:spt="1" style="position:absolute;left:0pt;margin-left:121.95pt;margin-top:13.1pt;height:21.5pt;width:37.45pt;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03hxAIAALgFAAAOAAAAZHJzL2Uyb0RvYy54bWysVFGO0zAQ/UfiDpb/s0m6TptEm66WpkFI&#10;C6y0cAA3cRqLxA62u+mCOAsSfxyC4yCuwdhpu+3uDwLyEdme8cy8ec9zcbntWnTHlOZSZDg8CzBi&#10;opQVF+sMv39XeDFG2lBR0VYKluF7pvHl/Pmzi6FP2UQ2sq2YQhBE6HToM9wY06e+r8uGdVSfyZ4J&#10;MNZSddTAVq39StEBonetPwmCqT9IVfVKlkxrOM1HI567+HXNSvO2rjUzqM0w1GbcX7n/yv79+QVN&#10;14r2DS93ZdC/qKKjXEDSQ6icGoo2ij8J1fFSSS1rc1bKzpd1zUvmMACaMHiE5rahPXNYoDm6P7RJ&#10;/7+w5Zu7G4V4BdwFQJWgHZD06+v3nz++oTCObX+GXqfgdtvfKItQ99ey/KCRkIuGijW7UkoODaMV&#10;VBVaf//kgt1ouIpWw2tZQXC6MdK1alurzgaEJqCtY+T+wAjbGlTCIZlF0zDCqATTZHYeRI4xn6b7&#10;y73S5iWTHbKLDCsg3AWnd9fa2GJounexuYQseNs60ltxcgCO4wmkhqvWZotwHH5OgmQZL2Pikcl0&#10;6ZEgz72rYkG8aRHOovw8Xyzy8IvNG5K04VXFhE2z11NI/oyvnbJHJRwUpWXLKxvOlqTVerVoFbqj&#10;oOfCfa7lYHlw80/LcE0ALI8ghRMSvJgkXjGNZx4pSOQlsyD2gjB5kUwDkpC8OIV0zQX7d0hoAJlE&#10;8SxyNB1V/Qhc4L6n4GjacQMjo+VdhuODE02tBJeictwayttxfdQLW/9DL4DvPdNOsFajo9bNdrV1&#10;L4Ls1b+S1T0oWElQGAwRGHewaKT6hNEAoyPD+uOGKoZR+0rAK0hCQuyscRsSzSawUceW1bGFihJC&#10;ZdhgNC4XZpxPm17xdQOZQtcqIa/g5dTcqdq+qrGq3XuD8eCw7UaZnT/He+f1MHDnvwEAAP//AwBQ&#10;SwMEFAAGAAgAAAAhAGpgvz7gAAAACQEAAA8AAABkcnMvZG93bnJldi54bWxMj8FOwzAMhu9IvENk&#10;JC6Ipeumqi1NJ5iENC5IDDhw8xrTVjRJSbK1e3vMCW62/On391eb2QziRD70zipYLhIQZBune9sq&#10;eHt9vM1BhIhW4+AsKThTgE19eVFhqd1kX+i0j63gEBtKVNDFOJZShqYjg2HhRrJ8+3TeYOTVt1J7&#10;nDjcDDJNkkwa7C1/6HCkbUfN1/5oFEwP03r3sYvP5/SGnrB4//bbHJW6vprv70BEmuMfDL/6rA41&#10;Ox3c0eogBgXpelUwykOWgmBgtcy5y0FBVqQg60r+b1D/AAAA//8DAFBLAQItABQABgAIAAAAIQC2&#10;gziS/gAAAOEBAAATAAAAAAAAAAAAAAAAAAAAAABbQ29udGVudF9UeXBlc10ueG1sUEsBAi0AFAAG&#10;AAgAAAAhADj9If/WAAAAlAEAAAsAAAAAAAAAAAAAAAAALwEAAF9yZWxzLy5yZWxzUEsBAi0AFAAG&#10;AAgAAAAhAFKbTeHEAgAAuAUAAA4AAAAAAAAAAAAAAAAALgIAAGRycy9lMm9Eb2MueG1sUEsBAi0A&#10;FAAGAAgAAAAhAGpgvz7gAAAACQEAAA8AAAAAAAAAAAAAAAAAHgUAAGRycy9kb3ducmV2LnhtbFBL&#10;BQYAAAAABAAEAPMAAAArBgAAAAA=&#10;">
                  <v:path/>
                  <v:fill on="f" focussize="0,0"/>
                  <v:stroke on="f" weight="1.25pt"/>
                  <v:imagedata o:title=""/>
                  <o:lock v:ext="edit"/>
                  <v:textbox>
                    <w:txbxContent>
                      <w:p>
                        <w:r>
                          <w:rPr>
                            <w:rFonts w:hint="eastAsia"/>
                          </w:rPr>
                          <w:t>21.0</w:t>
                        </w:r>
                      </w:p>
                    </w:txbxContent>
                  </v:textbox>
                </v:rect>
              </w:pict>
            </w:r>
            <w:r>
              <w:rPr>
                <w:rFonts w:ascii="宋体" w:hAnsi="宋体"/>
                <w:bCs/>
                <w:sz w:val="24"/>
              </w:rPr>
              <w:pict>
                <v:rect id="矩形 163" o:spid="_x0000_s1031" o:spt="1" style="position:absolute;left:0pt;margin-left:244.2pt;margin-top:11.95pt;height:24.8pt;width:38.15pt;z-index:25163776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40JmAIAAA4FAAAOAAAAZHJzL2Uyb0RvYy54bWysVFGO0zAQ/UfiDpb/u0m6TttEm652uxQh&#10;LbDSwgFc22ksEtvYbtMFcRYk/jgEx0Fcg7HTLi38IEQ+HI89Hr+Z98YXl7uuRVthndSqwtlZipFQ&#10;THOp1hV++2Y5mmHkPFWctlqJCj8Ihy/nT59c9KYUY93olguLIIhyZW8q3HhvyiRxrBEddWfaCAWb&#10;tbYd9WDadcIt7SF61ybjNJ0kvbbcWM2Ec7B6M2zieYxf14L513XthEdthQGbj6ON4yqMyfyClmtL&#10;TSPZHgb9BxQdlQoufQx1Qz1FGyv/CNVJZrXTtT9jukt0XUsmYg6QTZb+ls19Q42IuUBxnHksk/t/&#10;Ydmr7Z1FkgN36RQjRTsg6cfnr9+/fUHZ5DzUpzeuBLd7c2dDhs7cavbOIaUXDVVrcWWt7htBOaDK&#10;gn9yciAYDo6iVf9ScwhON17HUu1q24WAUAS0i4w8PDIidh4xWCQzkqc5Rgy2zjNSTCJjCS0Ph411&#10;/rnQHQqTClsgPAan21vnAxhaHlwieN1KvpRtGw27Xi1ai7YUxLGMX8QPOR67tSo4Kx2ODRGHFcAI&#10;d4S9gDaS/bHIxiS9Hhej5WQ2HZElyUfFNJ2N0qy4BvCkIDfLTwFgRspGci7UrVTiILyM/B2x+xYY&#10;JBOlh3oofj6b5jH5E/juOMvpebFYRFahMCdunfTQiK3sKjxLwze0RiD2meKQNy09le0wT07xxzJD&#10;EQ7/WJYog8D8oCC/W+2izvKDplaaP4AurAbeoDXhEYFJo+0HjHpoyAq79xtqBUbtCwXaKjJCQgdH&#10;g+TTMRj2eGd1vEMVg1AV9hgN04Ufun5jrFw3cFMWS6X0FeixllErQasDqr2KoeliTvsHInT1sR29&#10;fj1j858AAAD//wMAUEsDBBQABgAIAAAAIQAM8Orc4gAAAAkBAAAPAAAAZHJzL2Rvd25yZXYueG1s&#10;TI/LTsMwEEX3SPyDNUjsqEOatiHEqcprUbFq2gqxc+MhiYjHke00ga/HrGA5ukf3nsnXk+7YGa1r&#10;DQm4nUXAkCqjWqoFHPYvNykw5yUp2RlCAV/oYF1cXuQyU2akHZ5LX7NQQi6TAhrv+4xzVzWopZuZ&#10;HilkH8Zq6cNpa66sHEO57ngcRUuuZUthoZE9PjZYfZaDFvAetaM92OHZl/Gmetgdn17ftt9CXF9N&#10;m3tgHif/B8OvflCHIjidzEDKsU5AkqZJQAXE8ztgAVgskxWwk4DVfAG8yPn/D4ofAAAA//8DAFBL&#10;AQItABQABgAIAAAAIQC2gziS/gAAAOEBAAATAAAAAAAAAAAAAAAAAAAAAABbQ29udGVudF9UeXBl&#10;c10ueG1sUEsBAi0AFAAGAAgAAAAhADj9If/WAAAAlAEAAAsAAAAAAAAAAAAAAAAALwEAAF9yZWxz&#10;Ly5yZWxzUEsBAi0AFAAGAAgAAAAhAAHjjQmYAgAADgUAAA4AAAAAAAAAAAAAAAAALgIAAGRycy9l&#10;Mm9Eb2MueG1sUEsBAi0AFAAGAAgAAAAhAAzw6tziAAAACQEAAA8AAAAAAAAAAAAAAAAA8gQAAGRy&#10;cy9kb3ducmV2LnhtbFBLBQYAAAAABAAEAPMAAAABBgAAAAA=&#10;">
                  <v:path/>
                  <v:fill focussize="0,0"/>
                  <v:stroke on="f" weight="1.25pt" color="#739CC3"/>
                  <v:imagedata o:title=""/>
                  <o:lock v:ext="edit"/>
                  <v:textbox>
                    <w:txbxContent>
                      <w:p>
                        <w:r>
                          <w:rPr>
                            <w:rFonts w:hint="eastAsia"/>
                          </w:rPr>
                          <w:t>16.8</w:t>
                        </w:r>
                      </w:p>
                    </w:txbxContent>
                  </v:textbox>
                </v:rect>
              </w:pict>
            </w:r>
            <w:r>
              <w:rPr>
                <w:rFonts w:ascii="宋体" w:hAnsi="宋体"/>
                <w:b/>
                <w:sz w:val="24"/>
              </w:rPr>
              <w:pict>
                <v:shape id="自选图形 152" o:spid="_x0000_s1105" o:spt="32" type="#_x0000_t32" style="position:absolute;left:0pt;flip:y;margin-left:177.9pt;margin-top:7.5pt;height:18.55pt;width:15.65pt;z-index:25162956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A7FZgIAAI0EAAAOAAAAZHJzL2Uyb0RvYy54bWysVNFu0zAUfUfiHyy/d0m6puuipRNKWl4G&#10;TNrg3bWdxsKxLdtrWiEk3ia+gTce+Qf4m0nwF1w7XcfgBSH64N7E9x6fe3xuzs63nUQbbp3QqsTZ&#10;UYoRV1QzodYlfn29HM0wcp4oRqRWvMQ77vD5/OmTs94UfKxbLRm3CECUK3pT4tZ7UySJoy3viDvS&#10;hivYbLTtiIdHu06YJT2gdzIZp+k06bVlxmrKnYO39bCJ5xG/aTj1r5rGcY9kiYGbj6uN6yqsyfyM&#10;FGtLTCvongb5BxYdEQoOPUDVxBN0Y8UfUJ2gVjvd+COqu0Q3jaA89gDdZOlv3Vy1xPDYC4jjzEEm&#10;9/9g6cvNpUWCwd2lU4wU6eCSvt9++fHh492nb3dfP6MsHweVeuMKSK7UpQ190q26MheavnVI6aol&#10;as0j2+udAYAsVCSPSsKDM3DWqn+hGeSQG6+jZNvGdqiRwrwJhQEcZEHbeEe7wx3xrUcUXmans5M8&#10;x4jC1vg4z2d5PIsUASYUG+v8c647FIISO2+JWLe+0kqBG7QdjiCbC+cDyYeCUKz0UkgZTSEV6ks8&#10;Pc7TyMlpKVjYDGnOrleVtGhDgq3ib8/iUVpgUBPXDnkMolr7kEgKq28Ui1HLCVvsY0+EhBj5qKK3&#10;AnSVHAciHWcYSQ5DFqKBuVQBCpSBXvbRYLp3p+npYraYTUaT8XQxmqR1PXq2rCaj6TI7yevjuqrq&#10;7H3oK5sUrWCMq9Da/QBkk78z2H4UB+seRuCgYfIYPYoNZO//I+lokuCLwWErzXaXNnQX/AKej8n7&#10;+QxD9etzzHr4isx/AgAA//8DAFBLAwQUAAYACAAAACEA8yZcMd4AAAAJAQAADwAAAGRycy9kb3du&#10;cmV2LnhtbEyPQUvDQBSE74L/YXmCN7tJSmqJ2RQpCF4UjT14fE2e2dDs25DdNvHf+zzpcZhh5pty&#10;t7hBXWgKvWcD6SoBRdz4tufOwOHj6W4LKkTkFgfPZOCbAuyq66sSi9bP/E6XOnZKSjgUaMDGOBZa&#10;h8aSw7DyI7F4X35yGEVOnW4nnKXcDTpLko122LMsWBxpb6k51WdnYP+2OI2vTZp9bl5m+xxPddYd&#10;jLm9WR4fQEVa4l8YfvEFHSphOvozt0ENBtZ5LuhRjFw+SWC9vU9BHQ3kWQq6KvX/B9UPAAAA//8D&#10;AFBLAQItABQABgAIAAAAIQC2gziS/gAAAOEBAAATAAAAAAAAAAAAAAAAAAAAAABbQ29udGVudF9U&#10;eXBlc10ueG1sUEsBAi0AFAAGAAgAAAAhADj9If/WAAAAlAEAAAsAAAAAAAAAAAAAAAAALwEAAF9y&#10;ZWxzLy5yZWxzUEsBAi0AFAAGAAgAAAAhAJJwDsVmAgAAjQQAAA4AAAAAAAAAAAAAAAAALgIAAGRy&#10;cy9lMm9Eb2MueG1sUEsBAi0AFAAGAAgAAAAhAPMmXDHeAAAACQEAAA8AAAAAAAAAAAAAAAAAwAQA&#10;AGRycy9kb3ducmV2LnhtbFBLBQYAAAAABAAEAPMAAADLBQAAAAA=&#10;">
                  <v:path arrowok="t"/>
                  <v:fill on="f" focussize="0,0"/>
                  <v:stroke weight="0.5pt" dashstyle="dashDot" endarrow="block"/>
                  <v:imagedata o:title=""/>
                  <o:lock v:ext="edit"/>
                </v:shape>
              </w:pict>
            </w:r>
          </w:p>
          <w:p>
            <w:pPr>
              <w:tabs>
                <w:tab w:val="left" w:pos="2395"/>
              </w:tabs>
              <w:spacing w:line="360" w:lineRule="auto"/>
              <w:ind w:firstLine="480" w:firstLineChars="200"/>
              <w:rPr>
                <w:rFonts w:ascii="宋体" w:hAnsi="宋体"/>
                <w:bCs/>
                <w:sz w:val="24"/>
              </w:rPr>
            </w:pPr>
            <w:r>
              <w:rPr>
                <w:rFonts w:ascii="宋体" w:hAnsi="宋体"/>
                <w:bCs/>
                <w:sz w:val="24"/>
              </w:rPr>
              <w:pict>
                <v:shape id="AutoShape 192" o:spid="_x0000_s1104" o:spt="32" type="#_x0000_t32" style="position:absolute;left:0pt;margin-left:279.65pt;margin-top:15.2pt;height:413.45pt;width:1.9pt;z-index:25169305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4J4JAIAAEM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WB28Qwj&#10;SXoY0tPBqZAbJcvUt2jQNgfPUu6ML5Ke5Kt+VvS7RVKVLZEND+5vZw3RiY+I7kL8xmpItB++KAY+&#10;BDKEfp1q03tI6AQ6hbGcb2PhJ4coHKZZ8gCzo3AzS2fxIpmFDCS/Bmtj3WeueuSNAltniGhaVyop&#10;QQDKJCEVOT5b56mR/BrgM0u1FV0XdNBJNBR4CUlCgFWdYP7Su1nT7MvOoCPxSgrfyOLOzaiDZAGs&#10;5YRtRtsR0V1sSN5JjwfFAZ3RukjlxzJebhabRTbJ0vlmksVVNXnaltlkvk0+zaqHqiyr5KenlmR5&#10;Kxjj0rO7yjbJ/k4W4wO6CO4m3Fsbonv00C8ge/0H0mG6fqAXaewVO+/Mdeqg1OA8vir/FN7vwX7/&#10;9te/AAAA//8DAFBLAwQUAAYACAAAACEAvJJ9z+AAAAAKAQAADwAAAGRycy9kb3ducmV2LnhtbEyP&#10;wU7DMBBE70j8g7VIXBB10uDShmyqCokDR9pKXN14SQLxOoqdJvTrMSc4ruZp5m2xnW0nzjT41jFC&#10;ukhAEFfOtFwjHA8v92sQPmg2unNMCN/kYVteXxU6N27iNzrvQy1iCftcIzQh9LmUvmrIar9wPXHM&#10;PtxgdYjnUEsz6CmW204uk2QlrW45LjS6p+eGqq/9aBHIjypNdhtbH18v09378vI59QfE25t59wQi&#10;0Bz+YPjVj+pQRqeTG9l40SEotckiipAlDyAioFZZCuKEsFaPGciykP9fKH8AAAD//wMAUEsBAi0A&#10;FAAGAAgAAAAhALaDOJL+AAAA4QEAABMAAAAAAAAAAAAAAAAAAAAAAFtDb250ZW50X1R5cGVzXS54&#10;bWxQSwECLQAUAAYACAAAACEAOP0h/9YAAACUAQAACwAAAAAAAAAAAAAAAAAvAQAAX3JlbHMvLnJl&#10;bHNQSwECLQAUAAYACAAAACEAZ6uCeCQCAABDBAAADgAAAAAAAAAAAAAAAAAuAgAAZHJzL2Uyb0Rv&#10;Yy54bWxQSwECLQAUAAYACAAAACEAvJJ9z+AAAAAKAQAADwAAAAAAAAAAAAAAAAB+BAAAZHJzL2Rv&#10;d25yZXYueG1sUEsFBgAAAAAEAAQA8wAAAIsFAAAAAA==&#10;">
                  <v:path arrowok="t"/>
                  <v:fill on="f" focussize="0,0"/>
                  <v:stroke/>
                  <v:imagedata o:title=""/>
                  <o:lock v:ext="edit"/>
                </v:shape>
              </w:pict>
            </w:r>
            <w:r>
              <w:rPr>
                <w:rFonts w:ascii="宋体" w:hAnsi="宋体"/>
                <w:bCs/>
                <w:sz w:val="24"/>
              </w:rPr>
              <w:pict>
                <v:shape id="AutoShape 191" o:spid="_x0000_s1103" o:spt="32" type="#_x0000_t32" style="position:absolute;left:0pt;flip:x;margin-left:117.3pt;margin-top:16.3pt;height:416.25pt;width:0.15pt;z-index:25169203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P9rLQIAAEwEAAAOAAAAZHJzL2Uyb0RvYy54bWysVMGO2jAQvVfqP1i+QxI2sBARVqsE2sN2&#10;i7TbDzC2Q6w6tmUbAqr67x07LC3tpaqagzOOZ968mXnO8uHUSXTk1gmtSpyNU4y4opoJtS/xl9fN&#10;aI6R80QxIrXiJT5zhx9W798te1PwiW61ZNwiAFGu6E2JW+9NkSSOtrwjbqwNV3DYaNsRD1u7T5gl&#10;PaB3Mpmk6SzptWXGasqdg6/1cIhXEb9pOPWfm8Zxj2SJgZuPq43rLqzJakmKvSWmFfRCg/wDi44I&#10;BUmvUDXxBB2s+AOqE9Rqpxs/prpLdNMIymMNUE2W/lbNS0sMj7VAc5y5tsn9P1j6fNxaJBjMLs0x&#10;UqSDIT0evI65UbbIQot64wrwrNTWhiLpSb2YJ02/OqR01RK159H99WwgOkYkNyFh4wwk2vWfNAMf&#10;Ahliv06N7VAjhfkYAgM49ASd4oDO1wHxk0cUPmaLdIoRhYPpZD67u58GcgkpAkqINdb5D1x3KBgl&#10;dt4SsW99pZUCJWg7ZCDHJ+eHwLeAEKz0RkgZBSEV6ku8mE6mkZLTUrBwGNyc3e8qadGRBEnF58Li&#10;xs3qg2IRrOWErS+2J0IONrCWKuBBbUDnYg2a+bZIF+v5ep6P8slsPcrTuh49bqp8NNtk99P6rq6q&#10;OvseqGV50QrGuArs3vSb5X+nj8tNGpR3VfC1Dcktemw0kH17R9JxzGGyg0Z2mp23NrQ2TBwkG50v&#10;1yvciV/30evnT2D1AwAA//8DAFBLAwQUAAYACAAAACEAhn904d8AAAAKAQAADwAAAGRycy9kb3du&#10;cmV2LnhtbEyPwU7DMAyG70i8Q2QkbixdN0opTSeEBOKAKjG2e9aYttA4pcna7u3xTnCybH/6/Tnf&#10;zLYTIw6+daRguYhAIFXOtFQr2H0836QgfNBkdOcIFZzQw6a4vMh1ZtxE7zhuQy04hHymFTQh9JmU&#10;vmrQar9wPRLvPt1gdeB2qKUZ9MThtpNxFCXS6pb4QqN7fGqw+t4erYIfujvt13JMv8oyJC+vbzVh&#10;OSl1fTU/PoAIOIc/GM76rA4FOx3ckYwXnYJ4tU4YVbCKuTLAg3sQBwVpcrsEWeTy/wvFLwAAAP//&#10;AwBQSwECLQAUAAYACAAAACEAtoM4kv4AAADhAQAAEwAAAAAAAAAAAAAAAAAAAAAAW0NvbnRlbnRf&#10;VHlwZXNdLnhtbFBLAQItABQABgAIAAAAIQA4/SH/1gAAAJQBAAALAAAAAAAAAAAAAAAAAC8BAABf&#10;cmVscy8ucmVsc1BLAQItABQABgAIAAAAIQDsCP9rLQIAAEwEAAAOAAAAAAAAAAAAAAAAAC4CAABk&#10;cnMvZTJvRG9jLnhtbFBLAQItABQABgAIAAAAIQCGf3Th3wAAAAoBAAAPAAAAAAAAAAAAAAAAAIcE&#10;AABkcnMvZG93bnJldi54bWxQSwUGAAAAAAQABADzAAAAkwUAAAAA&#10;">
                  <v:path arrowok="t"/>
                  <v:fill on="f" focussize="0,0"/>
                  <v:stroke/>
                  <v:imagedata o:title=""/>
                  <o:lock v:ext="edit"/>
                </v:shape>
              </w:pict>
            </w:r>
            <w:r>
              <w:rPr>
                <w:rFonts w:ascii="宋体" w:hAnsi="宋体"/>
                <w:bCs/>
                <w:sz w:val="24"/>
              </w:rPr>
              <w:pict>
                <v:shape id="自选图形 165" o:spid="_x0000_s1102" o:spt="32" type="#_x0000_t32" style="position:absolute;left:0pt;margin-left:241.6pt;margin-top:15.55pt;height:0.75pt;width:40pt;z-index:25163980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wnUgIAAGYEAAAOAAAAZHJzL2Uyb0RvYy54bWysVM2O0zAQviPxDpbv3STdtLTRpiuUtFwW&#10;qLTLA7i201g4tmV7m1YIiRvaZ+DGkXeAt1kJ3oKx+8MuXBAiB2ccz3zzzcznXFxuO4k23DqhVYmz&#10;sxQjrqhmQq1L/OZmMZhg5DxRjEiteIl33OHL2dMnF70p+FC3WjJuEYAoV/SmxK33pkgSR1veEXem&#10;DVdw2GjbEQ9bu06YJT2gdzIZpuk46bVlxmrKnYOv9f4QzyJ+03DqXzeN4x7JEgM3H1cb11VYk9kF&#10;KdaWmFbQAw3yDyw6IhQkPUHVxBN0a8UfUJ2gVjvd+DOqu0Q3jaA81gDVZOlv1Vy3xPBYCzTHmVOb&#10;3P+Dpa82S4sEg9ml5xgp0sGQvn/88uPD3f2nb/dfP6NsPApd6o0rwLlSSxvqpFt1ba40feuQ0lVL&#10;1JpHtjc7AwBZiEgehYSNM5Br1b/UDHzIrdexZdvGdgESmoG2cTK702T41iMKH0fpJE1hfhSOpqNh&#10;ZJSQ4hhqrPMvuO5QMErsvCVi3fpKKwUK0DaLicjmyvlAjBTHgJBX6YWQMgpBKtSXeHw+SmOA01Kw&#10;cBjcnF2vKmnRhgQpxSdWCScP3ay+VSyCtZyw+cH2REiwkY/t8VZAwyTHIVvHGUaSw+0J1p6eVCEj&#10;FA+ED9ZeTe+m6XQ+mU/yQT4czwd5WteD54sqH4wX2bNRfV5XVZ29D+SzvGgFY1wF/kdlZ/nfKedw&#10;x/aaPGn71KjkMXrsKJA9viPpOP0w8L10VprtljZUF4QAYo7Oh4sXbsvDffT69XuY/QQAAP//AwBQ&#10;SwMEFAAGAAgAAAAhAEPjUrHfAAAACQEAAA8AAABkcnMvZG93bnJldi54bWxMj8FKw0AQhu+C77CM&#10;4EXsblINbcymiKAgeDFV6HGaXZNgdjZkN23q0zs96XH++fjnm2Izu14c7Bg6TxqShQJhqfamo0bD&#10;x/b5dgUiRCSDvSer4WQDbMrLiwJz44/0bg9VbASXUMhRQxvjkEsZ6tY6DAs/WOLdlx8dRh7HRpoR&#10;j1zuepkqlUmHHfGFFgf71Nr6u5qchqhoW3XT7jW+nNY/6i3tFd58an19NT8+gIh2jn8wnPVZHUp2&#10;2vuJTBC9hrvVMmVUwzJJQDBwn52DPQdpBrIs5P8Pyl8AAAD//wMAUEsBAi0AFAAGAAgAAAAhALaD&#10;OJL+AAAA4QEAABMAAAAAAAAAAAAAAAAAAAAAAFtDb250ZW50X1R5cGVzXS54bWxQSwECLQAUAAYA&#10;CAAAACEAOP0h/9YAAACUAQAACwAAAAAAAAAAAAAAAAAvAQAAX3JlbHMvLnJlbHNQSwECLQAUAAYA&#10;CAAAACEAH4DMJ1ICAABmBAAADgAAAAAAAAAAAAAAAAAuAgAAZHJzL2Uyb0RvYy54bWxQSwECLQAU&#10;AAYACAAAACEAQ+NSsd8AAAAJAQAADwAAAAAAAAAAAAAAAACsBAAAZHJzL2Rvd25yZXYueG1sUEsF&#10;BgAAAAAEAAQA8wAAALgFAAAAAA==&#10;">
                  <v:path arrowok="t"/>
                  <v:fill on="f" focussize="0,0"/>
                  <v:stroke weight="0.5pt" endarrow="block"/>
                  <v:imagedata o:title=""/>
                  <o:lock v:ext="edit"/>
                </v:shape>
              </w:pict>
            </w:r>
            <w:r>
              <w:rPr>
                <w:rFonts w:ascii="宋体" w:hAnsi="宋体"/>
                <w:bCs/>
                <w:sz w:val="24"/>
              </w:rPr>
              <w:pict>
                <v:shape id="自选图形 170" o:spid="_x0000_s1101" o:spt="32" type="#_x0000_t32" style="position:absolute;left:0pt;margin-left:118.85pt;margin-top:16.3pt;height:0.7pt;width:38.45pt;z-index:25164492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5TdUwIAAGYEAAAOAAAAZHJzL2Uyb0RvYy54bWysVM1u1DAQviPxDpbv2yTbdJuNmq1Qssul&#10;QKWWB/DazsbCsS3b3ewKIXFDPAM3jrwDvE0leAvG3h9auCBEDs44Hn/zzTczubjc9BKtuXVCqwpn&#10;JylGXFHNhFpV+PXtYlRg5DxRjEiteIW33OHL2dMnF4Mp+Vh3WjJuEYAoVw6mwp33pkwSRzveE3ei&#10;DVdw2GrbEw9bu0qYJQOg9zIZp+kkGbRlxmrKnYOvze4QzyJ+23LqX7Wt4x7JCgM3H1cb12VYk9kF&#10;KVeWmE7QPQ3yDyx6IhQEPUI1xBN0Z8UfUL2gVjvd+hOq+0S3raA85gDZZOlv2dx0xPCYC4jjzFEm&#10;9/9g6cv1tUWCQe3SMUaK9FCk7x++/Hj/8f7Tt/uvn1F2HlUajCvBuVbXNuRJN+rGXGn6xiGl646o&#10;FY9sb7cGALKga/LoStg4A7GWwwvNwIfceR0l27S2D5AgBtrEymyPleEbjyh8zIviNDvDiMJRUUwj&#10;o4SUh6vGOv+c6x4Fo8LOWyJWna+1UtAB2mYxEFlfOR+IkfJwIcRVeiGkjI0gFRoqPDk9S+MFp6Vg&#10;4TC4Obta1tKiNQmtFJ+YJZw8dLP6TrEI1nHC5nvbEyHBRj7K460AwSTHIVrPGUaSw/QEa0dPqhAR&#10;kgfCe2vXTW+n6XRezIt8lI8n81GeNs3o2aLOR5NFdn7WnDZ13WTvAvksLzvBGFeB/6Gzs/zvOmc/&#10;Y7uePPb2UajkMXpUFMge3pF0rH4oeBhFVy41217bkF3YQTNH5/3ghWl5uI9ev34Ps58AAAD//wMA&#10;UEsDBBQABgAIAAAAIQC+gcC13wAAAAkBAAAPAAAAZHJzL2Rvd25yZXYueG1sTI/BSsQwEIbvgu8Q&#10;RvAibrLtsqu16SKCguDFroLH2Sa2xWRSmnS369M7nvT2D/PxzzfldvZOHOwY+0AalgsFwlITTE+t&#10;hrfd4/UNiJiQDLpAVsPJRthW52clFiYc6dUe6tQKLqFYoIYupaGQMjad9RgXYbDEu88wekw8jq00&#10;Ix653DuZKbWWHnviCx0O9qGzzVc9eQ1J0a7up4/n9HS6/VYvmVN49a715cV8fwci2Tn9wfCrz+pQ&#10;sdM+TGSicBqyfLNhVEOerUEwkC9XHPYcVgpkVcr/H1Q/AAAA//8DAFBLAQItABQABgAIAAAAIQC2&#10;gziS/gAAAOEBAAATAAAAAAAAAAAAAAAAAAAAAABbQ29udGVudF9UeXBlc10ueG1sUEsBAi0AFAAG&#10;AAgAAAAhADj9If/WAAAAlAEAAAsAAAAAAAAAAAAAAAAALwEAAF9yZWxzLy5yZWxzUEsBAi0AFAAG&#10;AAgAAAAhAPrblN1TAgAAZgQAAA4AAAAAAAAAAAAAAAAALgIAAGRycy9lMm9Eb2MueG1sUEsBAi0A&#10;FAAGAAgAAAAhAL6BwLXfAAAACQEAAA8AAAAAAAAAAAAAAAAArQQAAGRycy9kb3ducmV2LnhtbFBL&#10;BQYAAAAABAAEAPMAAAC5BQAAAAA=&#10;">
                  <v:path arrowok="t"/>
                  <v:fill on="f" focussize="0,0"/>
                  <v:stroke weight="0.5pt" endarrow="block"/>
                  <v:imagedata o:title=""/>
                  <o:lock v:ext="edit"/>
                </v:shape>
              </w:pict>
            </w:r>
            <w:r>
              <w:rPr>
                <w:rFonts w:ascii="宋体" w:hAnsi="宋体"/>
                <w:bCs/>
                <w:sz w:val="24"/>
              </w:rPr>
              <w:pict>
                <v:rect id="矩形 194" o:spid="_x0000_s1032" o:spt="1" style="position:absolute;left:0pt;margin-left:157.3pt;margin-top:2.65pt;height:25.65pt;width:83.5pt;z-index:251668480;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hwUzAIAAI4FAAAOAAAAZHJzL2Uyb0RvYy54bWysVM2O0zAQviPxDpbv3STdpNtGm652mxYh&#10;LbDSgji7iZNYOLax3aYL4lmQuPEQPA7iNRg7acnCBSF6cO3M7zfzzVxeHVqO9lQbJkWGo7MQIyoK&#10;WTJRZ/jN681kjpGxRJSES0Ez/EANvlo+fXLZqZROZSN5STUCJ8KkncpwY61Kg8AUDW2JOZOKChBW&#10;UrfEwlPXQalJB95bHkzDcBZ0UpdKy4IaA1/zXoiX3n9V0cK+qipDLeIZhtysP7U/t+4MlpckrTVR&#10;DSuGNMg/ZNESJiDoyVVOLEE7zf5w1bJCSyMre1bINpBVxQrqMQCaKPwNzX1DFPVYoDhGncpk/p/b&#10;4uX+TiNWQu/CCCNBWmjSj89fv3/7gqJF7OrTKZOC2r260w6hUbeyeGeQkKuGiJpeay27hpISsoqc&#10;fvDIwD0MmKJt90KW4JzsrPSlOlS6dQ6hCOjgO/Jw6gg9WFTAxyichXECjStAdj5NLpLEhyDp0Vpp&#10;Y59R2SJ3ybCGjnvvZH9rrMuGpEcVF0zIDePcd50L1GV4dg7uPS7JWemE/qHr7YprtCeON/43xDVj&#10;tZZZYC9nbYbnJyWSumqsRemjWMJ4f4dMuHDOARzkNtx6lnxchIv1fD2PJ/F0tp7EYZ5PrjereDLb&#10;RBdJfp6vVnn0yeUZxWnDypIKl+qRsVH8d4wYZqfn2pizHjjS0r5ltvG0c61wKdZmyLU2SEno8VCt&#10;cYFubvJk42cJMNamN+u1o74s7pMZmyxWN+v12MRbDqE4EwioleEkPlXVyTUZGhQ8LoPvMlT1+O/d&#10;eBo65vUMtoftwfN8duT0VpYPwEsA7UC5JQaXRuoPGHWwEDJs3u+Iphjx5wJwL6I4dhvEP+LkYgoP&#10;PZZsxxIiCnCVYYsBibuubL91dkqzuoFIkS+vkNcwDxXzVHWz0mc1TBEMvcc0LCi3VcZvr/VrjS5/&#10;AgAA//8DAFBLAwQUAAYACAAAACEAhew0J9wAAAAIAQAADwAAAGRycy9kb3ducmV2LnhtbEyPQU7D&#10;MBBF90jcwRokNhV10oaoSuNUqBIHaECV2E0SE7vE4xC7beD0DCtYPv2vP2/K3ewGcdFTsJ4UpMsE&#10;hKbWd5Z6Ba8vzw8bECEidTh40gq+dIBddXtTYtH5Kx30pY694BEKBSowMY6FlKE12mFY+lETZ+9+&#10;chgZp152E1553A1ylSS5dGiJLxgc9d7o9qM+OwX1IZNvNjl+2/S02jdkcPG5QKXu7+anLYio5/hX&#10;hl99VoeKnRp/pi6IQcE6zXKuKnhcg+A826TMDXOeg6xK+f+B6gcAAP//AwBQSwECLQAUAAYACAAA&#10;ACEAtoM4kv4AAADhAQAAEwAAAAAAAAAAAAAAAAAAAAAAW0NvbnRlbnRfVHlwZXNdLnhtbFBLAQIt&#10;ABQABgAIAAAAIQA4/SH/1gAAAJQBAAALAAAAAAAAAAAAAAAAAC8BAABfcmVscy8ucmVsc1BLAQIt&#10;ABQABgAIAAAAIQDMFhwUzAIAAI4FAAAOAAAAAAAAAAAAAAAAAC4CAABkcnMvZTJvRG9jLnhtbFBL&#10;AQItABQABgAIAAAAIQCF7DQn3AAAAAgBAAAPAAAAAAAAAAAAAAAAACYFAABkcnMvZG93bnJldi54&#10;bWxQSwUGAAAAAAQABADzAAAALwYAAAAA&#10;">
                  <v:path/>
                  <v:fill type="gradient" on="f" color2="#9CBEE0" focus="100%" focussize="0f,0f">
                    <o:fill type="gradientUnscaled" v:ext="backwardCompatible"/>
                  </v:fill>
                  <v:stroke weight="0.5pt"/>
                  <v:imagedata o:title=""/>
                  <o:lock v:ext="edit"/>
                  <v:textbox>
                    <w:txbxContent>
                      <w:p>
                        <w:r>
                          <w:rPr>
                            <w:rFonts w:hint="eastAsia"/>
                          </w:rPr>
                          <w:t>酒店员工用水</w:t>
                        </w:r>
                      </w:p>
                    </w:txbxContent>
                  </v:textbox>
                </v:rect>
              </w:pict>
            </w:r>
            <w:r>
              <w:rPr>
                <w:rFonts w:ascii="宋体" w:hAnsi="宋体"/>
                <w:bCs/>
                <w:sz w:val="24"/>
              </w:rPr>
              <w:tab/>
            </w:r>
          </w:p>
          <w:p>
            <w:pPr>
              <w:tabs>
                <w:tab w:val="left" w:pos="6480"/>
              </w:tabs>
              <w:spacing w:line="360" w:lineRule="auto"/>
              <w:ind w:firstLine="480" w:firstLineChars="200"/>
              <w:rPr>
                <w:rFonts w:ascii="宋体" w:hAnsi="宋体"/>
                <w:bCs/>
                <w:sz w:val="24"/>
              </w:rPr>
            </w:pPr>
            <w:r>
              <w:rPr>
                <w:rFonts w:ascii="宋体" w:hAnsi="宋体"/>
                <w:bCs/>
                <w:sz w:val="24"/>
              </w:rPr>
              <w:pict>
                <v:rect id="矩形 162" o:spid="_x0000_s1033" o:spt="1" style="position:absolute;left:0pt;margin-left:169.65pt;margin-top:4.9pt;height:21.5pt;width:53.75pt;z-index:25163673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T97lgIAAA4FAAAOAAAAZHJzL2Uyb0RvYy54bWysVF2O0zAQfkfiDpbfu/lp2jTRpqvdLkVI&#10;C6y0cADXdhoLxw6223RBnAWJNw7BcRDXYOy0uy3wgBB5cDz2+PM3M9/4/GLXSrTlxgqtKpycxRhx&#10;RTUTal3ht2+WoxlG1hHFiNSKV/ieW3wxf/rkvO9KnupGS8YNAhBly76rcONcV0aRpQ1viT3THVew&#10;WWvTEgemWUfMkB7QWxmlcTyNem1YZzTl1sLq9bCJ5wG/rjl1r+vacodkhYGbC6MJ48qP0fyclGtD&#10;ukbQPQ3yDyxaIhRc+gB1TRxBGyN+g2oFNdrq2p1R3Ua6rgXlIQaIJol/ieauIR0PsUBybPeQJvv/&#10;YOmr7a1BgkHtYsiPIi0U6cfnr9+/fUHJNPX56Ttbgttdd2t8hLa70fSdRUovGqLW/NIY3TecMGCV&#10;eP/o5IA3LBxFq/6lZgBONk6HVO1q03pASALahYrcP1SE7xyisDidpdN0ghGFrTQfx5NQsYiUh8Od&#10;se451y3ykwobKHgAJ9sb6zwZUh5cAnktBVsKKYNh1quFNGhLQBzL8AX+EOOxm1TeWWl/bEAcVoAj&#10;3OH3PNtQ7I9FkmbxVVqMltNZPsqW2WRU5PFsFCfFVTGNsyK7Xn7yBJOsbARjXN0IxQ/CS7K/K+y+&#10;BQbJBOmhHpI/meWTEPwJfXscZT4uFovxn6JshYNGlKKt8Cz2n3cipS/sM8XC3BEhh3l0yj+kGZJw&#10;+Ie0BBn4yg8KcrvVLugs98BeFSvN7kEXRkPdQHrwiMCk0eYDRj00ZIXt+w0xHCP5QoG2iiTLfAcH&#10;I5vkKRjmeGd1vEMUBagKO4yG6cINXb/pjFg3cFMSUqX0JeixFkErj6z2KoamCzHtHwjf1cd28Hp8&#10;xuY/AQAA//8DAFBLAwQUAAYACAAAACEACi82KeAAAAAIAQAADwAAAGRycy9kb3ducmV2LnhtbEyP&#10;zU7DMBCE70i8g7VI3KhDUqo2ZFOVvwPqqaFVxc1NTBIRryPbaQJPz3KC245mNPtNtp5MJ87a+dYS&#10;wu0sAqGptFVLNcL+7eVmCcIHRZXqLGmEL+1hnV9eZCqt7Eg7fS5CLbiEfKoQmhD6VEpfNtooP7O9&#10;JvY+rDMqsHS1rJwaudx0Mo6ihTSqJf7QqF4/Nrr8LAaD8B61o9u74TkU8aZ82B2etsfXb8Trq2lz&#10;DyLoKfyF4Ref0SFnppMdqPKiQ0iSVcJRhBUvYH8+X/BxQriLlyDzTP4fkP8AAAD//wMAUEsBAi0A&#10;FAAGAAgAAAAhALaDOJL+AAAA4QEAABMAAAAAAAAAAAAAAAAAAAAAAFtDb250ZW50X1R5cGVzXS54&#10;bWxQSwECLQAUAAYACAAAACEAOP0h/9YAAACUAQAACwAAAAAAAAAAAAAAAAAvAQAAX3JlbHMvLnJl&#10;bHNQSwECLQAUAAYACAAAACEAqek/e5YCAAAOBQAADgAAAAAAAAAAAAAAAAAuAgAAZHJzL2Uyb0Rv&#10;Yy54bWxQSwECLQAUAAYACAAAACEACi82KeAAAAAIAQAADwAAAAAAAAAAAAAAAADwBAAAZHJzL2Rv&#10;d25yZXYueG1sUEsFBgAAAAAEAAQA8wAAAP0FAAAAAA==&#10;">
                  <v:path/>
                  <v:fill focussize="0,0"/>
                  <v:stroke on="f" weight="1.25pt" color="#739CC3"/>
                  <v:imagedata o:title=""/>
                  <o:lock v:ext="edit"/>
                  <v:textbox>
                    <w:txbxContent>
                      <w:p>
                        <w:r>
                          <w:rPr>
                            <w:rFonts w:hint="eastAsia"/>
                          </w:rPr>
                          <w:t>损耗4.4</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rect id="矩形 142" o:spid="_x0000_s1034" o:spt="1" style="position:absolute;left:0pt;margin-left:159.55pt;margin-top:18.8pt;height:20.45pt;width:83.5pt;z-index:2516213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u1eNAIAAE4EAAAOAAAAZHJzL2Uyb0RvYy54bWysVF2O0zAQfkfiDpbfaZLSdtuo6WrVpQhp&#10;gZUWDuA4TmLh2GbsNi2XQdo3DsFxENdg7HS75Uc8IPJgeTzjzzPfN5Pl5b5TZCfASaMLmo1SSoTm&#10;ppK6Kej7d5tnc0qcZ7piymhR0INw9HL19Mmyt7kYm9aoSgBBEO3y3ha09d7mSeJ4KzrmRsYKjc7a&#10;QMc8mtAkFbAe0TuVjNN0lvQGKguGC+fw9Hpw0lXEr2vB/du6dsITVVDMzccV4lqGNVktWd4As63k&#10;xzTYP2TRManx0RPUNfOMbEH+BtVJDsaZ2o+46RJT15KLWANWk6W/VHPXMitiLUiOsyea3P+D5W92&#10;t0BkVdDFghLNOtTo++cv377ek2wyDvT01uUYdWdvIRTo7I3hHxzRZt0y3YgrANO3glWYVBbik58u&#10;BMPhVVL2r02F4GzrTWRqX0MXAJEDso+CHE6CiL0nHA+zdJZOpqgbR994urjIpvEJlj/ctuD8S2E6&#10;EjYFBRQ8orPdjfMhG5Y/hMTsjZLVRioVDWjKtQKyY9gcm/gd0d15mNKkL+jsOebxd4g0fn+C6KTH&#10;LleyK+j8FMTyQNsLXcUe9EyqYY8pK33kMVA3SOD35T7qNA8PBFpLUx2QWDBDU+MQ4qY18ImSHhu6&#10;oO7jloGgRL3SKM4im0zCBERjMr0YowHnnvLcwzRHqIJ6Sobt2g9Ts7UgmxZfyiIb2lyhoLWMXD9m&#10;dUwfmzZKcBywMBXndox6/A2sfgAAAP//AwBQSwMEFAAGAAgAAAAhAA+cTwzeAAAACQEAAA8AAABk&#10;cnMvZG93bnJldi54bWxMj01PwzAMhu+T+A+RkbhtaRl0pTSdxgQnTgykXdPGawuNUyXZVvbrMSe4&#10;+ePR68flerKDOKEPvSMF6SIBgdQ401Or4OP9ZZ6DCFGT0YMjVPCNAdbV1azUhXFnesPTLraCQygU&#10;WkEX41hIGZoOrQ4LNyLx7uC81ZFb30rj9ZnD7SBvkySTVvfEFzo94rbD5mt3tArc59Pzvt/st+Or&#10;l0t7uchYNwelbq6nzSOIiFP8g+FXn9WhYqfaHckEMShYpg8po1ysMhAM3OUZD2oFq/weZFXK/x9U&#10;PwAAAP//AwBQSwECLQAUAAYACAAAACEAtoM4kv4AAADhAQAAEwAAAAAAAAAAAAAAAAAAAAAAW0Nv&#10;bnRlbnRfVHlwZXNdLnhtbFBLAQItABQABgAIAAAAIQA4/SH/1gAAAJQBAAALAAAAAAAAAAAAAAAA&#10;AC8BAABfcmVscy8ucmVsc1BLAQItABQABgAIAAAAIQBMeu1eNAIAAE4EAAAOAAAAAAAAAAAAAAAA&#10;AC4CAABkcnMvZTJvRG9jLnhtbFBLAQItABQABgAIAAAAIQAPnE8M3gAAAAkBAAAPAAAAAAAAAAAA&#10;AAAAAI4EAABkcnMvZG93bnJldi54bWxQSwUGAAAAAAQABADzAAAAmQUAAAAA&#10;">
                  <v:path/>
                  <v:fill focussize="0,0"/>
                  <v:stroke weight="0.5pt"/>
                  <v:imagedata o:title=""/>
                  <o:lock v:ext="edit"/>
                  <v:textbox>
                    <w:txbxContent>
                      <w:p>
                        <w:r>
                          <w:rPr>
                            <w:rFonts w:hint="eastAsia"/>
                          </w:rPr>
                          <w:t>餐饮用水</w:t>
                        </w:r>
                      </w:p>
                    </w:txbxContent>
                  </v:textbox>
                </v:rect>
              </w:pict>
            </w:r>
            <w:r>
              <w:rPr>
                <w:rFonts w:ascii="宋体" w:hAnsi="宋体"/>
                <w:bCs/>
                <w:sz w:val="24"/>
              </w:rPr>
              <w:pict>
                <v:rect id="矩形 161" o:spid="_x0000_s1035" o:spt="1" style="position:absolute;left:0pt;margin-left:117.45pt;margin-top:9.25pt;height:22.2pt;width:39.85pt;z-index:2516357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1NNlgIAAA0FAAAOAAAAZHJzL2Uyb0RvYy54bWysVF2O0zAQfkfiDpbfu0m66U+iTVe7LUVI&#10;C6y0cADXdhoLxza223RZcRYk3jgEx0Fcg7HTLi3wgBB5cDye8eSb+b7JxeWulWjLrRNaVTg7SzHi&#10;imom1LrCb98sB1OMnCeKEakVr/A9d/hy9vTJRWdKPtSNloxbBEmUKztT4cZ7UyaJow1viTvThitw&#10;1tq2xINp1wmzpIPsrUyGaTpOOm2ZsZpy5+B00TvxLOava07967p23CNZYcDm42rjugprMrsg5doS&#10;0wi6h0H+AUVLhIKPPqZaEE/QxorfUrWCWu107c+obhNd14LyWANUk6W/VHPXEMNjLdAcZx7b5P5f&#10;Wvpqe2uRYBUugClFWuDo+6cv375+Rtk4C+3pjCsh6s7c2lCgMzeavnNI6XlD1JpfWau7hhMGoGJ8&#10;cnIhGA6uolX3UjNITjZex07tatuGhNADtIuE3D8SwnceUTgcpeO0GGFEwTWcZkUeCUtIebhsrPPP&#10;uW5R2FTYAt8xOdneOA/gIfQQEsFrKdhSSBkNu17NpUVbAtpYxifUC1fccZhUIVjpcK139yeAEb4R&#10;fAFt5PqhyIZ5ej0sBsvxdDLIl/loUEzS6SDNiutinOZFvlh+DACzvGwEY1zdCMUPusvyv+N1PwG9&#10;YqLyUAfNH00no1j8CXx3XOXkvJjPz/9UZSs8zKEUbYWnaXj6yQjEPlMM6ialJ0L2++QUf+wZNOHw&#10;jm2JMgjM9wryu9Wul9lBUyvN7kEXVgNvMJnwD4FNo+0HjDqYxwq79xtiOUbyhQJtFVkO7CMfjXw0&#10;GYJhjz2rYw9RFFJV2GPUb+e+H/qNsWLdwJey2Cqlr0CPtYhaCVrtUUElwYCZizXt/w9hqI/tGPXz&#10;Lzb7AQAA//8DAFBLAwQUAAYACAAAACEA4Nzvw+EAAAAJAQAADwAAAGRycy9kb3ducmV2LnhtbEyP&#10;y07DMBBF90j8gzVI7KjTtERtiFOV1wKxaiiqunOTIYmIx5HtNIGvZ1jBcnSP7j2TbSbTiTM631pS&#10;MJ9FIJBKW7VUK9i/Pd+sQPigqdKdJVTwhR42+eVFptPKjrTDcxFqwSXkU62gCaFPpfRlg0b7me2R&#10;OPuwzujAp6tl5fTI5aaTcRQl0uiWeKHRPT40WH4Wg1FwjNrR7d3wFIp4W97v3h9fDy/fSl1fTds7&#10;EAGn8AfDrz6rQ85OJztQ5UWnIF4s14xysLoFwcBivkxAnBQk8Rpknsn/H+Q/AAAA//8DAFBLAQIt&#10;ABQABgAIAAAAIQC2gziS/gAAAOEBAAATAAAAAAAAAAAAAAAAAAAAAABbQ29udGVudF9UeXBlc10u&#10;eG1sUEsBAi0AFAAGAAgAAAAhADj9If/WAAAAlAEAAAsAAAAAAAAAAAAAAAAALwEAAF9yZWxzLy5y&#10;ZWxzUEsBAi0AFAAGAAgAAAAhAIKjU02WAgAADQUAAA4AAAAAAAAAAAAAAAAALgIAAGRycy9lMm9E&#10;b2MueG1sUEsBAi0AFAAGAAgAAAAhAODc78PhAAAACQEAAA8AAAAAAAAAAAAAAAAA8AQAAGRycy9k&#10;b3ducmV2LnhtbFBLBQYAAAAABAAEAPMAAAD+BQAAAAA=&#10;">
                  <v:path/>
                  <v:fill focussize="0,0"/>
                  <v:stroke on="f" weight="1.25pt" color="#739CC3"/>
                  <v:imagedata o:title=""/>
                  <o:lock v:ext="edit"/>
                  <v:textbox>
                    <w:txbxContent>
                      <w:p>
                        <w:r>
                          <w:rPr>
                            <w:rFonts w:hint="eastAsia"/>
                          </w:rPr>
                          <w:t>22.0</w:t>
                        </w:r>
                      </w:p>
                    </w:txbxContent>
                  </v:textbox>
                </v:rect>
              </w:pict>
            </w:r>
            <w:r>
              <w:rPr>
                <w:rFonts w:ascii="宋体" w:hAnsi="宋体"/>
                <w:bCs/>
                <w:sz w:val="24"/>
              </w:rPr>
              <w:pict>
                <v:shape id="自选图形 192" o:spid="_x0000_s1100" o:spt="32" type="#_x0000_t32" style="position:absolute;left:0pt;flip:y;margin-left:175.05pt;margin-top:3pt;height:15.8pt;width:16.4pt;z-index:25166643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GBPZQIAAIwEAAAOAAAAZHJzL2Uyb0RvYy54bWysVMGO0zAQvSPxD5bvbZJut9tGm65Q0nJZ&#10;YKVduLu201g4tmW7TSuExA3xDdw48g/wNyvBXzB2ut1duCBEDs44nhm/N/Mm5xe7VqItt05oVeBs&#10;mGLEFdVMqHWBX98sB1OMnCeKEakVL/CeO3wxf/rkvDM5H+lGS8YtgiTK5Z0pcOO9yZPE0Ya3xA21&#10;4QoOa21b4mFr1wmzpIPsrUxGaTpJOm2ZsZpy5+Br1R/iecxf15z6V3XtuEeywIDNx9XGdRXWZH5O&#10;8rUlphH0AIP8A4qWCAWXHlNVxBO0seKPVK2gVjtd+yHVbaLrWlAeOQCbLP2NzXVDDI9coDjOHMvk&#10;/l9a+nJ7ZZFgBZ6dYaRICz368fHrzw+fbj9/v/32BWWzUShSZ1wOvqW6soEm3alrc6npW4eULhui&#10;1jyCvdkbSJCFiORRSNg4A1etuheagQ/ZeB0rtqtti2opzJsQGJJDVdAutmh/bBHfeUTh4yidjqbQ&#10;SApHof+T2MKE5CFNCDbW+edctygYBXbeErFufKmVAjFo219BtpfOB5D3ASFY6aWQMmpCKtQVeHJy&#10;mkZMTkvBwmFwc3a9KqVFWxJUFZ/IGE4eugUEFXFN78fAqrTvFWf1RrF4T8MJWxxsT4QEG/lYRW8F&#10;1FVyHIC0nGEkOcxYsHrkUgUwUBngcrB6zb2bpbPFdDEdD8ajyWIwTqtq8GxZjgeTZXZ2Wp1UZVll&#10;7wOvbJw3gjGuArU7/Wfjv9PXYRJ75R4n4FjD5HH2WGwAe/eOoKNIgi56ha0021/ZwC7oBSQfnQ/j&#10;GWbq4T563f9E5r8AAAD//wMAUEsDBBQABgAIAAAAIQC4uQV03QAAAAgBAAAPAAAAZHJzL2Rvd25y&#10;ZXYueG1sTI9BS8NAEIXvgv9hGcGb3STFWGM2RQqCF0VjDx6n2TEJzc6G7LaJ/97xpLd5vMeb75Xb&#10;xQ3qTFPoPRtIVwko4sbbnlsD+4+nmw2oEJEtDp7JwDcF2FaXFyUW1s/8Tuc6tkpKOBRooItxLLQO&#10;TUcOw8qPxOJ9+clhFDm12k44S7kbdJYkuXbYs3zocKRdR82xPjkDu7fFaXxt0uwzf5m753iss3Zv&#10;zPXV8vgAKtIS/8Lwiy/oUAnTwZ/YBjUYWN8mqUQN5DJJ/PUmuwd1kOMuB12V+v+A6gcAAP//AwBQ&#10;SwECLQAUAAYACAAAACEAtoM4kv4AAADhAQAAEwAAAAAAAAAAAAAAAAAAAAAAW0NvbnRlbnRfVHlw&#10;ZXNdLnhtbFBLAQItABQABgAIAAAAIQA4/SH/1gAAAJQBAAALAAAAAAAAAAAAAAAAAC8BAABfcmVs&#10;cy8ucmVsc1BLAQItABQABgAIAAAAIQA22GBPZQIAAIwEAAAOAAAAAAAAAAAAAAAAAC4CAABkcnMv&#10;ZTJvRG9jLnhtbFBLAQItABQABgAIAAAAIQC4uQV03QAAAAgBAAAPAAAAAAAAAAAAAAAAAL8EAABk&#10;cnMvZG93bnJldi54bWxQSwUGAAAAAAQABADzAAAAyQUAAAAA&#10;">
                  <v:path arrowok="t"/>
                  <v:fill on="f" focussize="0,0"/>
                  <v:stroke weight="0.5pt" dashstyle="dashDot" endarrow="block"/>
                  <v:imagedata o:title=""/>
                  <o:lock v:ext="edit"/>
                </v:shape>
              </w:pict>
            </w:r>
            <w:r>
              <w:rPr>
                <w:rFonts w:ascii="宋体" w:hAnsi="宋体"/>
                <w:bCs/>
                <w:sz w:val="24"/>
              </w:rPr>
              <w:pict>
                <v:rect id="矩形 174" o:spid="_x0000_s1036" o:spt="1" style="position:absolute;left:0pt;margin-left:246.2pt;margin-top:5.6pt;height:23.5pt;width:37.3pt;z-index:25164902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PoYlgIAAA4FAAAOAAAAZHJzL2Uyb0RvYy54bWysVNFu0zAUfUfiHyy/d0k6t2mipdPWUYQ0&#10;YNLgA1zbaSwS29hu04H4FiTe+Ag+B/EbXDvt1gEPCJEHx9e+vj73nnN9dr7rWrQV1kmtKpydpBgJ&#10;xTSXal3ht2+WoxlGzlPFaauVqPCdcPh8/vTJWW9KMdaNbrmwCIIoV/amwo33pkwSxxrRUXeijVCw&#10;WWvbUQ+mXSfc0h6id20yTtNp0mvLjdVMOAerV8Mmnsf4dS2Yf13XTnjUVhiw+TjaOK7CmMzPaLm2&#10;1DSS7WHQf0DRUang0vtQV9RTtLHyt1CdZFY7XfsTprtE17VkIuYA2WTpL9ncNtSImAsUx5n7Mrn/&#10;F5a92t5YJHmFiylGinbA0Y/PX79/+4KynITy9MaV4HVrbmxI0Jlrzd45pPSioWotLqzVfSMoB1BZ&#10;8E8eHQiGg6No1b/UHILTjdexUrvadiEg1ADtIiF394SInUcMFkl+mmdAG4OtcTEjk0hYQsvDYWOd&#10;fy50h8Kkwhb4jsHp9tr5AIaWB5cIXreSL2XbRsOuV4vWoi0FbSzjF/FDjsdurQrOSodjQ8RhBTDC&#10;HWEvoI1cfyyyMUkvx8VoOZ3lI7Ikk1GRp7NRmhWXxTQlBblafgoAM1I2knOhrqUSB91l5O943XfA&#10;oJioPNRD8SezfBKTfwTfHWeZnxaLxemfsuykhz5sZVfhWRq+4ETLQOwzxePcU9kO8+Qx/lhmKMLh&#10;H8sSZRCYHxTkd6tdlBnQCdGCLFaa34EwrAbigGN4RGDSaPsBox4assLu/YZagVH7QoG4ioyQ0MHR&#10;IJN8DIY93lkd71DFIFSFPUbDdOGHrt8YK9cN3JTFWil9AYKsZRTLA6q9jKHpYlL7ByJ09bEdvR6e&#10;sflPAAAA//8DAFBLAwQUAAYACAAAACEAxt4i7OAAAAAJAQAADwAAAGRycy9kb3ducmV2LnhtbEyP&#10;zU7DMBCE70i8g7VI3KjTqJQ2xKnK3wFxaiiquLnxkkTE68h2msDTs5zgtqP5NDuTbybbiRP60DpS&#10;MJ8lIJAqZ1qqFexfn65WIELUZHTnCBV8YYBNcX6W68y4kXZ4KmMtOIRCphU0MfaZlKFq0Oowcz0S&#10;ex/OWx1Z+loar0cOt51Mk2QprW6JPzS6x/sGq89ysArek3b0ez88xjLdVne7t4eXw/O3UpcX0/YW&#10;RMQp/sHwW5+rQ8Gdjm4gE0SnYLFOF4yyMU9BMHC9vOFxRz5WKcgil/8XFD8AAAD//wMAUEsBAi0A&#10;FAAGAAgAAAAhALaDOJL+AAAA4QEAABMAAAAAAAAAAAAAAAAAAAAAAFtDb250ZW50X1R5cGVzXS54&#10;bWxQSwECLQAUAAYACAAAACEAOP0h/9YAAACUAQAACwAAAAAAAAAAAAAAAAAvAQAAX3JlbHMvLnJl&#10;bHNQSwECLQAUAAYACAAAACEAS6D6GJYCAAAOBQAADgAAAAAAAAAAAAAAAAAuAgAAZHJzL2Uyb0Rv&#10;Yy54bWxQSwECLQAUAAYACAAAACEAxt4i7OAAAAAJAQAADwAAAAAAAAAAAAAAAADwBAAAZHJzL2Rv&#10;d25yZXYueG1sUEsFBgAAAAAEAAQA8wAAAP0FAAAAAA==&#10;">
                  <v:path/>
                  <v:fill focussize="0,0"/>
                  <v:stroke on="f" weight="1.25pt" color="#739CC3"/>
                  <v:imagedata o:title=""/>
                  <o:lock v:ext="edit"/>
                  <v:textbox>
                    <w:txbxContent>
                      <w:p>
                        <w:r>
                          <w:rPr>
                            <w:rFonts w:hint="eastAsia"/>
                          </w:rPr>
                          <w:t>17.6</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rect id="矩形 149" o:spid="_x0000_s1037" o:spt="1" style="position:absolute;left:0pt;margin-left:62.3pt;margin-top:0.6pt;height:46.2pt;width:48.5pt;z-index:25162752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4MTkgIAAA0FAAAOAAAAZHJzL2Uyb0RvYy54bWysVF2O0zAQfkfiDpbfu0m66U+iTVe7LUVI&#10;C6y0cAA3dhqLxDa223RBnAWJNw7BcRDXYDxpu13gASHy4Hjs8fib+b7xxeWubchWWCe1KmhyFlMi&#10;VKm5VOuCvn2zHEwpcZ4pzhqtREHvhaOXs6dPLjqTi6GudcOFJRBEubwzBa29N3kUubIWLXNn2ggF&#10;m5W2LfNg2nXELesgettEwzgeR5223FhdCudgddFv0hnGrypR+tdV5YQnTUEBm8fR4rgKYzS7YPna&#10;MlPLcg+D/QOKlkkFlx5DLZhnZGPlb6FaWVrtdOXPSt1GuqpkKTAHyCaJf8nmrmZGYC5QHGeOZXL/&#10;L2z5antrieQFHZ9TolgLHP34/PX7ty8kSbNQns64HLzuzK0NCTpzo8t3jig9r5laiytrdVcLxgFU&#10;EvyjRweC4eAoWXUvNYfgbOM1VmpX2TYEhBqQHRJyfyRE7DwpYXGcjLIR0FbC1mg6nqRIWMTyw2Fj&#10;nX8udEvCpKAW+MbgbHvjfADD8oMLgteN5EvZNGjY9WreWLJloI0lfogfcjx1a1RwVjoc6yP2K4AR&#10;7gh7AS1y/TFLhml8PcwGy/F0MkiX6WiQTeLpIE6y62wcp1m6WH4KAJM0ryXnQt1IJQ66S9K/43Xf&#10;Ab1iUHmkK+h5Mhlh7o/Qu9MkY/z+lGQrPbRhI9uCTo9OLA+8PlMc0ma5Z7Lp59Fj+FhlqMHhj1VB&#10;FQTiewH53WqHKktQI0EVK83vQRdWA29AMbwhMKm1/UBJB/1YUPd+w6ygpHmhQFtZkgL7xKORjiZD&#10;MOzpzup0h6kSQhXUU9JP575v+o2xcl3DTQnWSukr0GMlUSsPqPYqhp7DpPbvQ2jqUxu9Hl6x2U8A&#10;AAD//wMAUEsDBBQABgAIAAAAIQCs9g4Z3AAAAAgBAAAPAAAAZHJzL2Rvd25yZXYueG1sTI/BTsMw&#10;EETvSPyDtUjcqNO0CjTEqSoqJE4IGqRe3XgTR8TrKHba8PdsT3DbpxnNzhTb2fXijGPoPClYLhIQ&#10;SLU3HbUKvqrXhycQIWoyuveECn4wwLa8vSl0bvyFPvF8iK3gEAq5VmBjHHIpQ23R6bDwAxJrjR+d&#10;joxjK82oLxzuepkmSSad7og/WD3gi8X6+zA5Bft1VT3Oq93+/S2z00dTHSffkFL3d/PuGUTEOf6Z&#10;4Vqfq0PJnU5+IhNEz5yuM7ZeDxCsp+mS+aRgs8pAloX8P6D8BQAA//8DAFBLAQItABQABgAIAAAA&#10;IQC2gziS/gAAAOEBAAATAAAAAAAAAAAAAAAAAAAAAABbQ29udGVudF9UeXBlc10ueG1sUEsBAi0A&#10;FAAGAAgAAAAhADj9If/WAAAAlAEAAAsAAAAAAAAAAAAAAAAALwEAAF9yZWxzLy5yZWxzUEsBAi0A&#10;FAAGAAgAAAAhAGR3gxOSAgAADQUAAA4AAAAAAAAAAAAAAAAALgIAAGRycy9lMm9Eb2MueG1sUEsB&#10;Ai0AFAAGAAgAAAAhAKz2DhncAAAACAEAAA8AAAAAAAAAAAAAAAAA7AQAAGRycy9kb3ducmV2Lnht&#10;bFBLBQYAAAAABAAEAPMAAAD1BQAAAAA=&#10;">
                  <v:path/>
                  <v:fill focussize="0,0"/>
                  <v:stroke on="f" weight="0.25pt"/>
                  <v:imagedata o:title=""/>
                  <o:lock v:ext="edit"/>
                  <v:textbox>
                    <w:txbxContent>
                      <w:p>
                        <w:r>
                          <w:rPr>
                            <w:rFonts w:hint="eastAsia"/>
                          </w:rPr>
                          <w:t>新鲜水</w:t>
                        </w:r>
                      </w:p>
                      <w:p>
                        <w:r>
                          <w:rPr>
                            <w:rFonts w:hint="eastAsia" w:ascii="宋体" w:hAnsi="宋体"/>
                            <w:color w:val="000000"/>
                            <w:kern w:val="0"/>
                            <w:szCs w:val="21"/>
                          </w:rPr>
                          <w:t>414.34</w:t>
                        </w:r>
                      </w:p>
                    </w:txbxContent>
                  </v:textbox>
                </v:rect>
              </w:pict>
            </w:r>
            <w:r>
              <w:rPr>
                <w:rFonts w:ascii="宋体" w:hAnsi="宋体"/>
                <w:bCs/>
                <w:sz w:val="24"/>
              </w:rPr>
              <w:pict>
                <v:rect id="矩形 173" o:spid="_x0000_s1038" o:spt="1" style="position:absolute;left:0pt;margin-left:166.05pt;margin-top:18.9pt;height:25.65pt;width:66.3pt;z-index:251648000;mso-width-relative:page;mso-height-relative:page;" fillcolor="#00000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IlDxgIAALgFAAAOAAAAZHJzL2Uyb0RvYy54bWysVF2O0zAQfkfiDpbfs/lp0jTRpqvdpEVI&#10;C6y0cAA3cRqLxA6223RBnAWJNw7BcRDXYOy03XZ5QUAeItsz/mbmm89zebXrWrSlUjHBM+xfeBhR&#10;XoqK8XWG371dOjOMlCa8Iq3gNMMPVOGr+fNnl0Of0kA0oq2oRADCVTr0GW607lPXVWVDO6IuRE85&#10;GGshO6JhK9duJckA6F3rBp43dQchq16KkioFp8VoxHOLX9e01G/qWlGN2gxDbtr+pf2vzN+dX5J0&#10;LUnfsHKfBvmLLDrCOAQ9QhVEE7SR7DeojpVSKFHri1J0rqhrVlJbA1Tje0+quW9IT20tQI7qjzSp&#10;/wdbvt7eScSqDE8DjDjpoEc/v3z78f0r8uOJoWfoVQpe9/2dNAWq/laU7xXiIm8IX9NrKcXQUFJB&#10;Ur7xd88umI2Cq2g1vBIVgJONFpapXS07AwgcoJ1tyMOxIXSnUQmHs9CwglEJpkkQxVFkI5D0cLmX&#10;Sr+gokNmkWEJ/bbgZHurtEmGpAcXE4uLJWtb2/OWnx2A43gCoeGqsZkkbAs/JV6ymC1moRMG04UT&#10;ekXhXC/z0Jku/TgqJkWeF/5nE9cP04ZVFeUmzEFOfvhn7doLexTCUVBKtKwycCYlJdervJVoS4yc&#10;7bcn5MTNPU/DkgC1PCnJD0LvJkic5XQWO+EyjJwk9maO5yc3ydQLk7BYnpd0yzj995LQADKJZnFk&#10;23SS9ZPi4kmS51Z/0Jkzt45pmBgt60AeRwZIaiS44JXtrSasHdcnXJj8H7kA1EOnrWCNRket691q&#10;Zx+EHxzkvxLVA0hYCpAYqBHGHSwaIT9iNMDoyLD6sCGSYtS+5PAMEj8MzayxmzCKA9jIU8vq1EJ4&#10;CVAZ1hiNy1yP82nTS7ZuIJJvueLiGp5OzayszbMas9o/OBgPtrj9KDPz53RvvR4H7vwXAAAA//8D&#10;AFBLAwQUAAYACAAAACEAeGC0/OAAAAAJAQAADwAAAGRycy9kb3ducmV2LnhtbEyPwU6DQBCG7ya+&#10;w2ZMvBi70DYUkaVpMCZePNh66HHLjkBkZwm7UOrTO57sbSbz55vvz7ez7cSEg28dKYgXEQikypmW&#10;agWfh9fHFIQPmozuHKGCC3rYFrc3uc6MO9MHTvtQC4aQz7SCJoQ+k9JXDVrtF65H4tuXG6wOvA61&#10;NIM+M9x2chlFibS6Jf7Q6B7LBqvv/WgVrA7H8m0sk+mBftL3djce6fLilLq/m3fPIALO4T8Mf/qs&#10;DgU7ndxIxouOGatlzFEeNlyBA+tkvQFxUpA+xSCLXF43KH4BAAD//wMAUEsBAi0AFAAGAAgAAAAh&#10;ALaDOJL+AAAA4QEAABMAAAAAAAAAAAAAAAAAAAAAAFtDb250ZW50X1R5cGVzXS54bWxQSwECLQAU&#10;AAYACAAAACEAOP0h/9YAAACUAQAACwAAAAAAAAAAAAAAAAAvAQAAX3JlbHMvLnJlbHNQSwECLQAU&#10;AAYACAAAACEAJASJQ8YCAAC4BQAADgAAAAAAAAAAAAAAAAAuAgAAZHJzL2Uyb0RvYy54bWxQSwEC&#10;LQAUAAYACAAAACEAeGC0/OAAAAAJAQAADwAAAAAAAAAAAAAAAAAgBQAAZHJzL2Rvd25yZXYueG1s&#10;UEsFBgAAAAAEAAQA8wAAAC0GAAAAAA==&#10;">
                  <v:path/>
                  <v:fill on="f" focussize="0,0"/>
                  <v:stroke on="f" weight="1.25pt" color="#739CC3"/>
                  <v:imagedata o:title=""/>
                  <o:lock v:ext="edit"/>
                  <v:textbox>
                    <w:txbxContent>
                      <w:p>
                        <w:r>
                          <w:rPr>
                            <w:rFonts w:hint="eastAsia"/>
                          </w:rPr>
                          <w:t>损耗6.0</w:t>
                        </w:r>
                      </w:p>
                    </w:txbxContent>
                  </v:textbox>
                </v:rect>
              </w:pict>
            </w:r>
            <w:r>
              <w:rPr>
                <w:rFonts w:ascii="宋体" w:hAnsi="宋体"/>
                <w:bCs/>
                <w:sz w:val="24"/>
              </w:rPr>
              <w:pict>
                <v:rect id="矩形 140" o:spid="_x0000_s1039" o:spt="1" style="position:absolute;left:0pt;margin-left:4pt;margin-top:15.1pt;height:36.35pt;width:49.9pt;z-index:251620352;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7zHzAIAAI0FAAAOAAAAZHJzL2Uyb0RvYy54bWysVN1u0zAUvkfiHSzfd0naNGujpdOWtAhp&#10;wKSBuHYTJ7Fw7GC7TTfEsyBxx0PwOIjX4NhJuwxuEKIXqe3j8/N95/O5uDw0HO2p0kyKBAdnPkZU&#10;5LJgokrwu7ebyQIjbYgoCJeCJvieany5ev7somtjOpW15AVVCIIIHXdtgmtj2tjzdF7Thugz2VIB&#10;xlKqhhjYqsorFOkgesO9qe9HXidV0SqZU63hNOuNeOXilyXNzZuy1NQgnmCozbivct+t/XqrCxJX&#10;irQ1y4cyyD9U0RAmIOkpVEYMQTvF/gjVsFxJLUtzlsvGk2XJcuowAJrA/w3NXU1a6rAAObo90aT/&#10;X9j89f5WIVYkOAowEqSBHv388u3H968oCB09XatjuHXX3ioLULc3Mv+gkZBpTURFr5SSXU1JAUUF&#10;lk7viYPdaHBF2+6VLCA42RnpmDqUqrEBgQN0cA25PzWEHgzK4TCazc5n0LYcTGEUROHcZSDx0blV&#10;2rygskF2kWAF/XbByf5GG1sMiY9XbC4hN4xz13MuUGcTzH3noCVnhTU6jKraplyhPbGqcb8h75Nr&#10;DTOgXc6aBC9Ol0hsyViLwmUxhPF+DZVwYYMDNqhtWPUa+bT0l+vFehFOwmm0noR+lk2uNmk4iTbB&#10;+TybZWmaBZ9tnUEY16woqLClHvUahH+nh+Hl9EobK9YBR0qa98zUTnS2E7bESg+1Vhq1Elo8sDUm&#10;6Po6m2+cVABjpXu3/nbQ02KP9NhlmV6v12MX5zmk4kwgUFaC5+GJVWtXZGiQ95QG12Vg9fjvwjgV&#10;WuHZSaBjc9genMqDme2kPdrK4h50CagtKjvDYFFL9YBRB/MgwfrjjiiKEX8pAPgyCOE9IOM24fx8&#10;Chs1tmzHFiJyCJVggwGKXaamHzq7VrGqhkyB41fIK3gPJXNafaxqeEXw5h2oYT7ZoTLeu1uPU3T1&#10;CwAA//8DAFBLAwQUAAYACAAAACEAxUPn69wAAAAIAQAADwAAAGRycy9kb3ducmV2LnhtbEyPwU7D&#10;MAyG70i8Q2QkLhNLVhBspemEJvEAKwiJm9t4TaFxSpNthacnPcHN1m/9/r5iO7lenGgMnWcNq6UC&#10;Qdx403Gr4fXl+WYNIkRkg71n0vBNAbbl5UWBufFn3tOpiq1IJRxy1GBjHHIpQ2PJYVj6gThlBz86&#10;jGkdW2lGPKdy18tMqXvpsOP0weJAO0vNZ3V0Gqr9nXzv1NtPt/rIdjVbXHwtUOvrq+npEUSkKf4d&#10;w4yf0KFMTLU/sgmi17BOJlHDrcpAzLF6SCb1PGQbkGUh/wuUvwAAAP//AwBQSwECLQAUAAYACAAA&#10;ACEAtoM4kv4AAADhAQAAEwAAAAAAAAAAAAAAAAAAAAAAW0NvbnRlbnRfVHlwZXNdLnhtbFBLAQIt&#10;ABQABgAIAAAAIQA4/SH/1gAAAJQBAAALAAAAAAAAAAAAAAAAAC8BAABfcmVscy8ucmVsc1BLAQIt&#10;ABQABgAIAAAAIQCbx7zHzAIAAI0FAAAOAAAAAAAAAAAAAAAAAC4CAABkcnMvZTJvRG9jLnhtbFBL&#10;AQItABQABgAIAAAAIQDFQ+fr3AAAAAgBAAAPAAAAAAAAAAAAAAAAACYFAABkcnMvZG93bnJldi54&#10;bWxQSwUGAAAAAAQABADzAAAALwYAAAAA&#10;">
                  <v:path/>
                  <v:fill type="gradient" on="f" color2="#9CBEE0" focus="100%" focussize="0f,0f">
                    <o:fill type="gradientUnscaled" v:ext="backwardCompatible"/>
                  </v:fill>
                  <v:stroke weight="0.5pt"/>
                  <v:imagedata o:title=""/>
                  <o:lock v:ext="edit"/>
                  <v:textbox>
                    <w:txbxContent>
                      <w:p>
                        <w:r>
                          <w:rPr>
                            <w:rFonts w:hint="eastAsia"/>
                          </w:rPr>
                          <w:t>市政给水管网</w:t>
                        </w:r>
                      </w:p>
                    </w:txbxContent>
                  </v:textbox>
                </v:rect>
              </w:pict>
            </w:r>
            <w:r>
              <w:rPr>
                <w:rFonts w:ascii="宋体" w:hAnsi="宋体"/>
                <w:bCs/>
                <w:sz w:val="24"/>
              </w:rPr>
              <w:pict>
                <v:rect id="矩形 212" o:spid="_x0000_s1040" o:spt="1" style="position:absolute;left:0pt;margin-left:362.5pt;margin-top:11.55pt;height:24.9pt;width:41.35pt;z-index:251686912;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Y+6AgMAADgGAAAOAAAAZHJzL2Uyb0RvYy54bWysVMuO0zAU3SPxD5b3mTzqtE00GTRNWoQ0&#10;PCRArN3ESSwSO9ieSQfEtyCx4yP4HMRvcO20pYUNArKIbN/3Offey0e7vkN3TGkuRYbDiwAjJkpZ&#10;cdFk+PWrjbfESBsqKtpJwTJ8zzR+dPXwweU4pCySrewqphA4ETodhwy3xgyp7+uyZT3VF3JgAoS1&#10;VD01cFWNXyk6gve+86MgmPujVNWgZMm0htdiEuIr57+uWWme17VmBnUZhtyM+yv339q/f3VJ00bR&#10;oeXlPg36F1n0lAsIenRVUEPRreK/uep5qaSWtbkoZe/LuuYlczVANWHwSzUvWzowVwuAo4cjTPr/&#10;uS2f3b1QiFcZngM8gvbA0fdPX759/YyiMLLwjINOQevl8ELZAvVwI8u3GgmZt1Q07FopObaMVpBU&#10;aPX9MwN70WCKtuNTWYFzemukQ2pXq946BAzQzhFyfySE7Qwq4TGO4pDEGJUgmoXzaOYI82l6MB6U&#10;No+Z7JE9ZFgB3845vbvRxiZD04OKjSXkhned47wTZw+gOL1AaDC1MpuEo/BDEiTr5XpJPBLN1x4J&#10;isK73uTEm2/CRVzMijwvwo82bkjSllcVEzbMoZ1C8md07Rt7aoTThqqcNyXNG25a1xMWKJtio/e5&#10;NhoNEhiYnrVqtnmn0B2Frl+tinhzwK3Rk9mkHQb2c57OTJJ8tV6fmgA6x1AdFwiIB3LIZD7BDDPk&#10;8rSYn8HgSAAsf4E0jEiwihJvM18uPLIhsZcsgqUXhMkqmQckIcXmHNIbLti/Q4pGaNN4uYinqmXH&#10;91lDZ5+itpgleT5z/QySU7WeG9hYHe8zvDwCQFM7AmtRud4ylHfT+QQLm/9PLADRQ6e5gbEzMs2a&#10;2W13biBDchi/razuYYSgAyzDdt3CoZXqPUYjrK4M63e3VDGMuicCmiAJCbG7zl1IvIjgok4l21MJ&#10;FSW4yrDBQKs95mbaj7eD4k0LkUKHlZDXMLo1d2Nlx3rKCkqyF1hPrrj9KrX77/TutH4u/KsfAAAA&#10;//8DAFBLAwQUAAYACAAAACEAagxEQt4AAAAJAQAADwAAAGRycy9kb3ducmV2LnhtbEyPzU7DMBCE&#10;70i8g7WVuFE7QZAS4lQICfFzqETpAzjxNokar0O8bdK3xz3BcTSjmW+K9ex6ccIxdJ40JEsFAqn2&#10;tqNGw+779XYFIrAha3pPqOGMAdbl9VVhcusn+sLTlhsRSyjkRkPLPORShrpFZ8LSD0jR2/vRGY5y&#10;bKQdzRTLXS9TpR6kMx3FhdYM+NJifdgenYbpY7ffvNVYJZ+Do59G4ZnfUeubxfz8BIJx5r8wXPAj&#10;OpSRqfJHskH0GrL0Pn5hDeldAiIGVirLQFQX5xFkWcj/D8pfAAAA//8DAFBLAQItABQABgAIAAAA&#10;IQC2gziS/gAAAOEBAAATAAAAAAAAAAAAAAAAAAAAAABbQ29udGVudF9UeXBlc10ueG1sUEsBAi0A&#10;FAAGAAgAAAAhADj9If/WAAAAlAEAAAsAAAAAAAAAAAAAAAAALwEAAF9yZWxzLy5yZWxzUEsBAi0A&#10;FAAGAAgAAAAhADS5j7oCAwAAOAYAAA4AAAAAAAAAAAAAAAAALgIAAGRycy9lMm9Eb2MueG1sUEsB&#10;Ai0AFAAGAAgAAAAhAGoMRELeAAAACQEAAA8AAAAAAAAAAAAAAAAAXAUAAGRycy9kb3ducmV2Lnht&#10;bFBLBQYAAAAABAAEAPMAAABnBgAAAAA=&#10;">
                  <v:path/>
                  <v:fill type="gradient" on="f" color2="#9CBEE0" focus="100%" focussize="0f,0f">
                    <o:fill type="gradientUnscaled" v:ext="backwardCompatible"/>
                  </v:fill>
                  <v:stroke on="f" weight="1.25pt" color="#739CC3"/>
                  <v:imagedata o:title=""/>
                  <o:lock v:ext="edit"/>
                  <v:textbox>
                    <w:txbxContent>
                      <w:p>
                        <w:r>
                          <w:rPr>
                            <w:rFonts w:hint="eastAsia"/>
                          </w:rPr>
                          <w:t>311.7</w:t>
                        </w:r>
                      </w:p>
                    </w:txbxContent>
                  </v:textbox>
                </v:rect>
              </w:pict>
            </w:r>
            <w:r>
              <w:rPr>
                <w:rFonts w:ascii="宋体" w:hAnsi="宋体"/>
                <w:bCs/>
                <w:sz w:val="24"/>
              </w:rPr>
              <w:pict>
                <v:rect id="矩形 204" o:spid="_x0000_s1041" o:spt="1" style="position:absolute;left:0pt;margin-left:403.85pt;margin-top:18.7pt;height:39.95pt;width:47.3pt;z-index:251678720;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6FywIAAI0FAAAOAAAAZHJzL2Uyb0RvYy54bWysVN1u0zAUvkfiHSzfd0m6pD/R0mlLWoQ0&#10;YNJAXLuJk1g4drDdphviWZC44yF4HMRrcOykXQY3CNEL187x+fm+8/lcXB4ajvZUaSZFgoMzHyMq&#10;clkwUSX43dvNZIGRNkQUhEtBE3xPNb5cPX920bUxncpa8oIqBEGEjrs2wbUxbex5Oq9pQ/SZbKkA&#10;YylVQwwcVeUVinQQveHe1PdnXidV0SqZU63ha9Yb8crFL0uamzdlqalBPMFQm3GrcuvWrt7qgsSV&#10;Im3N8qEM8g9VNIQJSHoKlRFD0E6xP0I1LFdSy9Kc5bLxZFmynDoMgCbwf0NzV5OWOixAjm5PNOn/&#10;FzZ/vb9ViBUJjpYYCdJAj35++fbj+1c09UNLT9fqGG7dtbfKAtTtjcw/aCRkWhNR0SulZFdTUkBR&#10;gb3vPXGwBw2uaNu9kgUEJzsjHVOHUjU2IHCADq4h96eG0INBOXyc+f48gLblYIr8+fkschlIfHRu&#10;lTYvqGyQ3SRYQb9dcLK/0cYWQ+LjFZtLyA3j3PWcC9RBgvPIdw5aclZYo8Ooqm3KFdoTqxr3G/I+&#10;udYwA9rlrEnw4nSJxJaMtShcFkMY7/dQCRc2OGCD2oZdr5FPS3+5XqwX4SScztaT0M+yydUmDSez&#10;TTCPsvMsTbPgs60zCOOaFQUVttSjXoPw7/QwvJxeaWPFOuBISfOemdqJznbClljpodZKo1ZCiwe2&#10;xgRdX2fRxr0kwFjp3q2/HfS02E967LJMr9frsYvzHFJxJhAoCzoenli1dkWGBnlPaXBdBlaP/y6M&#10;U6EVXi9gc9genMoDpyCryq0s7kGXgNqisjMMNrVUDxh1MA8SrD/uiKIY8ZcCgC+DMLQDxB3CaD6F&#10;gxpbtmMLETmESrDBAMVuU9MPnV2rWFVDpsDxK+QVvIeSOa0+VjW8InjzDtQwn+xQGZ/drccpuvoF&#10;AAD//wMAUEsDBBQABgAIAAAAIQB9bDQB3wAAAAoBAAAPAAAAZHJzL2Rvd25yZXYueG1sTI9BTsMw&#10;EEX3SNzBGiQ2FbWTVKSEOBWqxAEaEBK7SWxiQzwOsdsGTo9ZwXL0n/5/U+8WN7KTnoP1JCFbC2Ca&#10;eq8sDRKenx5vtsBCRFI4etISvnSAXXN5UWOl/JkO+tTGgaUSChVKMDFOFeehN9phWPtJU8re/Oww&#10;pnMeuJrxnMrdyHMhbrlDS2nB4KT3Rvcf7dFJaA8b/mrFy7fN3vN9RwZXnyuU8vpqebgHFvUS/2D4&#10;1U/q0CSnzh9JBTZK2IqyTKiEotwAS8CdyAtgXSKzsgDe1Pz/C80PAAAA//8DAFBLAQItABQABgAI&#10;AAAAIQC2gziS/gAAAOEBAAATAAAAAAAAAAAAAAAAAAAAAABbQ29udGVudF9UeXBlc10ueG1sUEsB&#10;Ai0AFAAGAAgAAAAhADj9If/WAAAAlAEAAAsAAAAAAAAAAAAAAAAALwEAAF9yZWxzLy5yZWxzUEsB&#10;Ai0AFAAGAAgAAAAhAGAfvoXLAgAAjQUAAA4AAAAAAAAAAAAAAAAALgIAAGRycy9lMm9Eb2MueG1s&#10;UEsBAi0AFAAGAAgAAAAhAH1sNAHfAAAACgEAAA8AAAAAAAAAAAAAAAAAJQUAAGRycy9kb3ducmV2&#10;LnhtbFBLBQYAAAAABAAEAPMAAAAxBgAAAAA=&#10;">
                  <v:path/>
                  <v:fill type="gradient" on="f" color2="#9CBEE0" focus="100%" focussize="0f,0f">
                    <o:fill type="gradientUnscaled" v:ext="backwardCompatible"/>
                  </v:fill>
                  <v:stroke weight="0.5pt"/>
                  <v:imagedata o:title=""/>
                  <o:lock v:ext="edit"/>
                  <v:textbox>
                    <w:txbxContent>
                      <w:p>
                        <w:r>
                          <w:rPr>
                            <w:rFonts w:hint="eastAsia"/>
                          </w:rPr>
                          <w:t>市政污水管网</w:t>
                        </w:r>
                      </w:p>
                    </w:txbxContent>
                  </v:textbox>
                </v:rect>
              </w:pict>
            </w:r>
            <w:r>
              <w:rPr>
                <w:rFonts w:ascii="宋体" w:hAnsi="宋体"/>
                <w:bCs/>
                <w:sz w:val="24"/>
              </w:rPr>
              <w:pict>
                <v:rect id="矩形 207" o:spid="_x0000_s1042" o:spt="1" style="position:absolute;left:0pt;margin-left:318.1pt;margin-top:18.7pt;height:42.8pt;width:47.3pt;z-index:251681792;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wOpywIAAI0FAAAOAAAAZHJzL2Uyb0RvYy54bWysVMuO0zAU3SPxD5b3nSSdpI+o6WgmaRHS&#10;ACMNiLWbOImFYwfbbTogvgWJHR/B5yB+g2snLRnYIEQXrp378D3nHt/V1bHh6ECVZlIkOLjwMaIi&#10;lwUTVYLfvN5OFhhpQ0RBuBQ0wQ9U46v10yerro3pVNaSF1QhSCJ03LUJro1pY8/TeU0boi9kSwUY&#10;S6kaYuCoKq9QpIPsDfemvj/zOqmKVsmcag1fs96I1y5/WdLcvCpLTQ3iCYbajFuVW3d29dYrEleK&#10;tDXLhzLIP1TRECbg0nOqjBiC9or9kaphuZJaluYil40ny5Ll1GEANIH/G5r7mrTUYQFydHumSf+/&#10;tPnLw51CrEhwBJ0SpIEe/fj89fu3L2jqzy09Xatj8Lpv75QFqNtbmb/TSMi0JqKi10rJrqakgKIC&#10;6+89CrAHDaFo172QBSQneyMdU8dSNTYhcICOriEP54bQo0E5fJz5/jyAtuVgisLLaOYa5pH4FNwq&#10;bZ5R2SC7SbCCfrvk5HCrjS2GxCcXe5eQW8a56zkXqIMLLiPfBWjJWWGNDqOqdilX6ECsatzPIQP0&#10;Y7eGGdAuZ02CF2cnElsyNqJwtxjCeL+HSriwyQEb1Dbseo18XPrLzWKzCCfhdLaZhH6WTa63aTiZ&#10;bYN5lF1maZoFn2ydQRjXrCiosKWe9BqEf6eH4eX0Shsr1gFHSpq3zNROdLYTtsRKD7VWGrUSWjyw&#10;NSbo5iaLtqfGVLoP672Dnhb7SY9DlunNZjMOAXbOV3EmECjLdvzMqrUrMjTIe0yD6zKwevp3FTsV&#10;WuH1AjbH3dGpPJidNL2TxQPoElBbVHaGwaaW6gNGHcyDBOv3e6IoRvy5AODLIAztAHGHMJpP4aDG&#10;lt3YQkQOqRJsMECx29T0Q2ffKlbVcFPg+BXyGt5DyZxW7VvpqxpeEbx5B2qYT3aojM/O69cUXf8E&#10;AAD//wMAUEsDBBQABgAIAAAAIQB1wGR03wAAAAoBAAAPAAAAZHJzL2Rvd25yZXYueG1sTI9BTsMw&#10;EEX3SNzBGiQ2FbWbVClK41SoEgdoQJXYTWKTpMTjELtt4PQMK1iO5un/94vd7AZxsVPoPWlYLRUI&#10;S403PbUaXl+eHx5BhIhkcPBkNXzZALvy9qbA3PgrHeyliq3gEAo5auhiHHMpQ9NZh2HpR0v8e/eT&#10;w8jn1Eoz4ZXD3SATpTLpsCdu6HC0+842H9XZaagOa/nWq+N3vzol+5o6XHwuUOv7u/lpCyLaOf7B&#10;8KvP6lCyU+3PZIIYNGRpljCqId2sQTCwSRVvqZlMUgWyLOT/CeUPAAAA//8DAFBLAQItABQABgAI&#10;AAAAIQC2gziS/gAAAOEBAAATAAAAAAAAAAAAAAAAAAAAAABbQ29udGVudF9UeXBlc10ueG1sUEsB&#10;Ai0AFAAGAAgAAAAhADj9If/WAAAAlAEAAAsAAAAAAAAAAAAAAAAALwEAAF9yZWxzLy5yZWxzUEsB&#10;Ai0AFAAGAAgAAAAhAEMfA6nLAgAAjQUAAA4AAAAAAAAAAAAAAAAALgIAAGRycy9lMm9Eb2MueG1s&#10;UEsBAi0AFAAGAAgAAAAhAHXAZHTfAAAACgEAAA8AAAAAAAAAAAAAAAAAJQUAAGRycy9kb3ducmV2&#10;LnhtbFBLBQYAAAAABAAEAPMAAAAxBgAAAAA=&#10;">
                  <v:path/>
                  <v:fill type="gradient" on="f" color2="#9CBEE0" focus="100%" focussize="0f,0f">
                    <o:fill type="gradientUnscaled" v:ext="backwardCompatible"/>
                  </v:fill>
                  <v:stroke weight="0.5pt"/>
                  <v:imagedata o:title=""/>
                  <o:lock v:ext="edit"/>
                  <v:textbox>
                    <w:txbxContent>
                      <w:p>
                        <w:r>
                          <w:rPr>
                            <w:rFonts w:hint="eastAsia"/>
                          </w:rPr>
                          <w:t>隔油池</w:t>
                        </w:r>
                      </w:p>
                      <w:p>
                        <w:r>
                          <w:rPr>
                            <w:rFonts w:hint="eastAsia"/>
                          </w:rPr>
                          <w:t>化粪池</w:t>
                        </w:r>
                      </w:p>
                    </w:txbxContent>
                  </v:textbox>
                </v:rect>
              </w:pict>
            </w:r>
            <w:r>
              <w:rPr>
                <w:rFonts w:ascii="宋体" w:hAnsi="宋体"/>
                <w:bCs/>
                <w:sz w:val="24"/>
              </w:rPr>
              <w:pict>
                <v:rect id="矩形 184" o:spid="_x0000_s1043" o:spt="1" style="position:absolute;left:0pt;margin-left:278.35pt;margin-top:8.05pt;height:21.4pt;width:39.75pt;z-index:251658240;mso-width-relative:page;mso-height-relative:page;" fillcolor="#BBD5F0"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qQtzwIAAI4FAAAOAAAAZHJzL2Uyb0RvYy54bWysVMGO0zAQvSPxD5bv3SQl2abRpqvdpEVI&#10;C6y0IM5u4iQWjh1st+ku4luQuPERfA7iNxg7acnCBSFycGyPZ/zezPNcXB5ajvZUaSZFioMzHyMq&#10;ClkyUaf47ZvNLMZIGyJKwqWgKb6nGl+unj656LuEzmUjeUkVgiBCJ32X4saYLvE8XTS0JfpMdlSA&#10;sZKqJQaWqvZKRXqI3nJv7vvnXi9V2SlZUK1hNx+MeOXiVxUtzOuq0tQgnmLAZtyo3Li1o7e6IEmt&#10;SNewYoRB/gFFS5iAS0+hcmII2in2R6iWFUpqWZmzQraerCpWUMcB2AT+b2zuGtJRxwWSo7tTmvT/&#10;C1u82t8qxMoURwuMBGmhRj8+f/3+7QsK4tCmp+90AqfuultlCeruRhbvNRIya4io6ZVSsm8oKQFU&#10;YM97jxzsQoMr2vYvZQnByc5Il6lDpVobEHKADq4g96eC0INBBWxGfhjPI4wKMM0XwSJ2BfNIcnTu&#10;lDbPqWyRnaRYQb1dcLK/0caCIcnxiL1LyA3j3NWcC9QD4iheRM5DS85Ka3UkVb3NuEJ7ArLZuM9R&#10;A/rTYy0zIF7O2hTHvv0GOdlsrEXprjGE8WEOULiwwYEcgBtng0g+Lv3lOl7H4Sycn69noZ/ns6tN&#10;Fs7ON8Eiyp/lWZYHnyzOIEwaVpZUWKhHwQbh3wlifDqD1KaSdcSRkuYdM41TnS2FhVjrEWutUSeh&#10;xsO2nibo+jqPNsfK1HpwG04HQ1rs1iOXZXa9Xk9dIDunqzgTCKQF5Q9PWbV2RcYCeY/T4MoMWT3+&#10;HWInQ6u8QcHmsD04mQeLo6i3srwHYQJry8o2MZg0Uj1g1ENDSLH+sCOKYsRfCCC+DMLQdhC3CKPF&#10;HBZqatlOLUQUECrFBgMVO83M0HV2nWJ1AzcFLr9CXsGDqJgTq30sA6rxGcGjd6TGBmW7ynTtTv1q&#10;o6ufAAAA//8DAFBLAwQUAAYACAAAACEA+pghvt8AAAAJAQAADwAAAGRycy9kb3ducmV2LnhtbEyP&#10;wU7DMBBE70j8g7VI3KiTQt0mjVMhULjApQUh9ebGJo6I11HsNIGvZznBcfVGM2+L3ew6djZDaD1K&#10;SBcJMIO11y02Et5eq5sNsBAVatV5NBK+TIBdeXlRqFz7CffmfIgNoxIMuZJgY+xzzkNtjVNh4XuD&#10;xD784FSkc2i4HtRE5a7jyyQR3KkWacGq3jxYU38eRifBP1fv38piur6bxscnvc+O1Usm5fXVfL8F&#10;Fs0c/8Lwq0/qUJLTyY+oA+skrFZiTVECIgVGAXErlsBORDYZ8LLg/z8ofwAAAP//AwBQSwECLQAU&#10;AAYACAAAACEAtoM4kv4AAADhAQAAEwAAAAAAAAAAAAAAAAAAAAAAW0NvbnRlbnRfVHlwZXNdLnht&#10;bFBLAQItABQABgAIAAAAIQA4/SH/1gAAAJQBAAALAAAAAAAAAAAAAAAAAC8BAABfcmVscy8ucmVs&#10;c1BLAQItABQABgAIAAAAIQBRsqQtzwIAAI4FAAAOAAAAAAAAAAAAAAAAAC4CAABkcnMvZTJvRG9j&#10;LnhtbFBLAQItABQABgAIAAAAIQD6mCG+3wAAAAkBAAAPAAAAAAAAAAAAAAAAACkFAABkcnMvZG93&#10;bnJldi54bWxQSwUGAAAAAAQABADzAAAANQYAAAAA&#10;">
                  <v:path/>
                  <v:fill type="gradient" on="f" color2="#9CBEE0" focus="100%" focussize="0f,0f">
                    <o:fill type="gradientUnscaled" v:ext="backwardCompatible"/>
                  </v:fill>
                  <v:stroke weight="1.25pt" color="#FFFFFF"/>
                  <v:imagedata o:title=""/>
                  <o:lock v:ext="edit"/>
                  <v:textbox>
                    <w:txbxContent>
                      <w:p>
                        <w:r>
                          <w:rPr>
                            <w:rFonts w:hint="eastAsia"/>
                          </w:rPr>
                          <w:t>311.7</w:t>
                        </w:r>
                      </w:p>
                    </w:txbxContent>
                  </v:textbox>
                </v:rect>
              </w:pict>
            </w:r>
            <w:r>
              <w:rPr>
                <w:rFonts w:ascii="宋体" w:hAnsi="宋体"/>
                <w:bCs/>
                <w:sz w:val="24"/>
              </w:rPr>
              <w:pict>
                <v:shape id="自选图形 190" o:spid="_x0000_s1099" o:spt="32" type="#_x0000_t32" style="position:absolute;left:0pt;margin-left:244.2pt;margin-top:5.7pt;height:0.05pt;width:38.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Tb1TQIAAGQEAAAOAAAAZHJzL2Uyb0RvYy54bWysVM2O0zAQviPxDpbv3SS7aWmjpiuUtFwW&#10;WGmXB3BtJ7FwbMv2Nq0QEjfEM3DjyDvA26wEb8HY/YGFC0Lk4Izj8TfffDOT+eW2l2jDrRNalTg7&#10;SzHiimomVFviV7er0RQj54liRGrFS7zjDl8uHj+aD6bg57rTknGLAES5YjAl7rw3RZI42vGeuDNt&#10;uILDRtueeNjaNmGWDIDey+Q8TSfJoC0zVlPuHHyt94d4EfGbhlP/smkc90iWGLj5uNq4rsOaLOak&#10;aC0xnaAHGuQfWPREKAh6gqqJJ+jOij+gekGtdrrxZ1T3iW4aQXnMAbLJ0t+yuemI4TEXEMeZk0zu&#10;/8HSF5triwQr8XiCkSI91Ojb+8/f3324//j1/ssnlM2iSINxBfhW6tqGNOlW3ZgrTV87pHTVEdXy&#10;SPZ2ZwAgC7ImD66EjTMQaj081wx8yJ3XUbFtY/sACVqgbSzM7lQYvvWIwsd8mo/TMUYUjiYX4whP&#10;iuNNY51/xnWPglFi5y0RbecrrRTUX9ssxiGbK+cDL1IcL4SwSq+ElLENpEJDxE/jBaelYOEwuDnb&#10;ritp0YaERorPgcUDN6vvFItgHSdsebA9ERJs5KM63grQS3IcovWcYSQ5zE6w9vSkChEhdyB8sPa9&#10;9GaWzpbT5TQf5eeT5ShP63r0dFXlo8kqezKuL+qqqrO3gXyWF51gjKvA/9jXWf53fXOYsH1Hnjr7&#10;JFTyED0qCmSP70g6Fj/UOwyiK9aa7a5tyC7soJWj82Hswqz8uo9eP38Oix8AAAD//wMAUEsDBBQA&#10;BgAIAAAAIQDzZTDg3wAAAAkBAAAPAAAAZHJzL2Rvd25yZXYueG1sTI9BS8NAEIXvgv9hGcGL2N2W&#10;tMaYTRFBQfDS1EKP0+yaBLOzIbtpU3+905Oehpn3ePO9fD25ThztEFpPGuYzBcJS5U1LtYbP7et9&#10;CiJEJIOdJ6vhbAOsi+urHDPjT7SxxzLWgkMoZKihibHPpAxVYx2Gme8tsfblB4eR16GWZsATh7tO&#10;LpRaSYct8YcGe/vS2Oq7HJ2GqGhbtuP+Pb6dH3/Ux6JTeLfT+vZmen4CEe0U/8xwwWd0KJjp4Ecy&#10;QXQakjRN2MrCnCcblqvkAcThcliCLHL5v0HxCwAA//8DAFBLAQItABQABgAIAAAAIQC2gziS/gAA&#10;AOEBAAATAAAAAAAAAAAAAAAAAAAAAABbQ29udGVudF9UeXBlc10ueG1sUEsBAi0AFAAGAAgAAAAh&#10;ADj9If/WAAAAlAEAAAsAAAAAAAAAAAAAAAAALwEAAF9yZWxzLy5yZWxzUEsBAi0AFAAGAAgAAAAh&#10;ACEtNvVNAgAAZAQAAA4AAAAAAAAAAAAAAAAALgIAAGRycy9lMm9Eb2MueG1sUEsBAi0AFAAGAAgA&#10;AAAhAPNlMODfAAAACQEAAA8AAAAAAAAAAAAAAAAApwQAAGRycy9kb3ducmV2LnhtbFBLBQYAAAAA&#10;BAAEAPMAAACzBQAAAAA=&#10;">
                  <v:path arrowok="t"/>
                  <v:fill on="f" focussize="0,0"/>
                  <v:stroke weight="0.5pt" endarrow="block"/>
                  <v:imagedata o:title=""/>
                  <o:lock v:ext="edit"/>
                </v:shape>
              </w:pict>
            </w:r>
            <w:r>
              <w:rPr>
                <w:rFonts w:ascii="宋体" w:hAnsi="宋体"/>
                <w:bCs/>
                <w:sz w:val="24"/>
              </w:rPr>
              <w:pict>
                <v:shape id="自选图形 164" o:spid="_x0000_s1098" o:spt="32" type="#_x0000_t32" style="position:absolute;left:0pt;margin-left:117.45pt;margin-top:8.05pt;height:0pt;width:43.4pt;z-index:2516387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g1TgIAAGIEAAAOAAAAZHJzL2Uyb0RvYy54bWysVM2O0zAQviPxDpbvbZLdtHSjTVcoabks&#10;UGmXB3Btp7FwbMt2m1YIiRvaZ+DGkXeAt1kJ3oKx+8MuXBAiB2ccz3zzzcznXF5tO4k23DqhVYmz&#10;YYoRV1QzoVYlfnM7H0wwcp4oRqRWvMQ77vDV9OmTy94U/Ey3WjJuEYAoV/SmxK33pkgSR1veETfU&#10;his4bLTtiIetXSXMkh7QO5mcpek46bVlxmrKnYOv9f4QTyN+03DqXzeN4x7JEgM3H1cb12VYk+kl&#10;KVaWmFbQAw3yDyw6IhQkPUHVxBO0tuIPqE5Qq51u/JDqLtFNIyiPNUA1WfpbNTctMTzWAs1x5tQm&#10;9/9g6avNwiLBSjwaYaRIBzP6/vHLjw9395++3X/9jLJxHprUG1eAb6UWNpRJt+rGXGv61iGlq5ao&#10;FY9kb3cGALIQkTwKCRtnINWyf6kZ+JC117Fj28Z2ARJ6gbZxMLvTYPjWIwofR6Msm8D46PEoIcUx&#10;zljnX3DdoWCU2HlLxKr1lVYKpq9tFrOQzbXzgRUpjgEhqdJzIWUUgVSoL/H4fJTGAKelYOEwuDm7&#10;WlbSog0JMopPLBFOHrpZvVYsgrWcsNnB9kRIsJGPvfFWQLckxyFbxxlGksPNCdaenlQhI1QOhA/W&#10;XknvLtKL2WQ2yQf52Xg2yNO6HjyfV/lgPM+ejerzuqrq7H0gn+VFKxjjKvA/qjrL/041h/u11+NJ&#10;16dGJY/RY0eB7PEdScfRh2nvdbPUbLewobqgAhBydD5cunBTHu6j169fw/QnAAAA//8DAFBLAwQU&#10;AAYACAAAACEAiK1GO94AAAAJAQAADwAAAGRycy9kb3ducmV2LnhtbEyPwUrEMBCG74LvEEbwIm7S&#10;rqxubbqIoCB4savgcbYZ22IyKU262/XpjXjQ48z/8c835WZ2VuxpDL1nDdlCgSBuvOm51fC6fbi8&#10;AREiskHrmTQcKcCmOj0psTD+wC+0r2MrUgmHAjV0MQ6FlKHpyGFY+IE4ZR9+dBjTOLbSjHhI5c7K&#10;XKmVdNhzutDhQPcdNZ/15DRExdu6n96f4uNx/aWec6vw4k3r87P57hZEpDn+wfCjn9ShSk47P7EJ&#10;wmrIl1frhKZglYFIwDLPrkHsfheyKuX/D6pvAAAA//8DAFBLAQItABQABgAIAAAAIQC2gziS/gAA&#10;AOEBAAATAAAAAAAAAAAAAAAAAAAAAABbQ29udGVudF9UeXBlc10ueG1sUEsBAi0AFAAGAAgAAAAh&#10;ADj9If/WAAAAlAEAAAsAAAAAAAAAAAAAAAAALwEAAF9yZWxzLy5yZWxzUEsBAi0AFAAGAAgAAAAh&#10;AN/F6DVOAgAAYgQAAA4AAAAAAAAAAAAAAAAALgIAAGRycy9lMm9Eb2MueG1sUEsBAi0AFAAGAAgA&#10;AAAhAIitRjveAAAACQEAAA8AAAAAAAAAAAAAAAAAqAQAAGRycy9kb3ducmV2LnhtbFBLBQYAAAAA&#10;BAAEAPMAAACzBQAAAAA=&#10;">
                  <v:path arrowok="t"/>
                  <v:fill on="f" focussize="0,0"/>
                  <v:stroke weight="0.5p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rect id="矩形 177" o:spid="_x0000_s1044" o:spt="1" style="position:absolute;left:0pt;margin-left:242pt;margin-top:20.2pt;height:24.95pt;width:52.15pt;z-index:251652096;mso-width-relative:page;mso-height-relative:page;" fillcolor="#BBD5F0"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hfVzgIAAI4FAAAOAAAAZHJzL2Uyb0RvYy54bWysVMuO0zAU3SPxD5b3nSSdpE2jSUczSYuQ&#10;eIw0INZu4iQWjh1st+mA+BYkdnwEn4P4Da6dtNPCBiG6SG3fh8+59/heXe9bjnZUaSZFioMLHyMq&#10;ClkyUaf47Zv1JMZIGyJKwqWgKX6gGl8vnz656ruETmUjeUkVgiRCJ32X4saYLvE8XTS0JfpCdlSA&#10;sZKqJQa2qvZKRXrI3nJv6vszr5eq7JQsqNZwmg9GvHT5q4oW5nVVaWoQTzFgM+6r3Hdjv97yiiS1&#10;Il3DihEG+QcULWECLj2myokhaKvYH6laViipZWUuCtl6sqpYQR0HYBP4v7G5b0hHHRcoju6OZdL/&#10;L23xanenECtTHIUYCdJCj35++fbj+1cUzOe2PH2nE/C67+6UJai7F7J4r5GQWUNETW+Ukn1DSQmg&#10;AuvvnQXYjYZQtOlfyhKSk62RrlL7SrU2IdQA7V1DHo4NoXuDCjiczaaXfoRRAabLYBbPIncDSQ7B&#10;ndLmGZUtsosUK+i3S052L7SxYEhycLF3CblmnLuec4F6QBzF88hFaMlZaa2OpKo3GVdoR0A2a/cb&#10;Lz5za5kB8XLWpjj27c86kcRWYyVKtzaE8WENULiwZiAH4MbVIJJPC3+xildxOAmns9Uk9PN8crPO&#10;wslsHcyj/DLPsjz4bHEGYdKwsqTCQj0INgj/ThDj0xmkdipZRxwpad4x0zjV2VZYiLUesdYadRJ6&#10;PBzr0wLd3ubR2nEHjrUewgbvYCiLPToLWWS3q9VpiIscr+JMIJCWleSxqtauyNgg77wMrs1Q1cO/&#10;S+NkaJU3KNjsN3sn8yC2TbKy3MjyAYQJrC0rO8Rg0Uj1EaMeBkKK9YctURQj/lwA8UUQhnaCuE0Y&#10;zaewUaeWzamFiAJSpdhgoGKXmRmmzrZTrG7gpsDVV8gbeBAVc2J9RDU+I3j0jtQ4oOxUOd07r8cx&#10;uvwFAAD//wMAUEsDBBQABgAIAAAAIQC9Cxi/3wAAAAkBAAAPAAAAZHJzL2Rvd25yZXYueG1sTI9B&#10;T4QwEIXvJv6HZky8ue26qICUjdHgRS+7GhNvs3QEIp0SWhb011tPenuT9/Lme8V2sb040ug7xxrW&#10;KwWCuHam40bD60t1kYLwAdlg75g0fJGHbXl6UmBu3Mw7Ou5DI2IJ+xw1tCEMuZS+bsmiX7mBOHof&#10;brQY4jk20ow4x3Lby0ulrqXFjuOHFge6b6n+3E9Wg3uq3r6x5fVNMk8Pj2aXvVfPmdbnZ8vdLYhA&#10;S/gLwy9+RIcyMh3cxMaLXkOSJnFLiEIlIGLgKk03IA4aMrUBWRby/4LyBwAA//8DAFBLAQItABQA&#10;BgAIAAAAIQC2gziS/gAAAOEBAAATAAAAAAAAAAAAAAAAAAAAAABbQ29udGVudF9UeXBlc10ueG1s&#10;UEsBAi0AFAAGAAgAAAAhADj9If/WAAAAlAEAAAsAAAAAAAAAAAAAAAAALwEAAF9yZWxzLy5yZWxz&#10;UEsBAi0AFAAGAAgAAAAhAFU+F9XOAgAAjgUAAA4AAAAAAAAAAAAAAAAALgIAAGRycy9lMm9Eb2Mu&#10;eG1sUEsBAi0AFAAGAAgAAAAhAL0LGL/fAAAACQEAAA8AAAAAAAAAAAAAAAAAKAUAAGRycy9kb3du&#10;cmV2LnhtbFBLBQYAAAAABAAEAPMAAAA0BgAAAAA=&#10;">
                  <v:path/>
                  <v:fill type="gradient" on="f" color2="#9CBEE0" focus="100%" focussize="0f,0f">
                    <o:fill type="gradientUnscaled" v:ext="backwardCompatible"/>
                  </v:fill>
                  <v:stroke weight="1.25pt" color="#FFFFFF"/>
                  <v:imagedata o:title=""/>
                  <o:lock v:ext="edit"/>
                  <v:textbox>
                    <w:txbxContent>
                      <w:p>
                        <w:r>
                          <w:rPr>
                            <w:rFonts w:hint="eastAsia"/>
                          </w:rPr>
                          <w:t>27.0</w:t>
                        </w:r>
                      </w:p>
                    </w:txbxContent>
                  </v:textbox>
                </v:rect>
              </w:pict>
            </w:r>
            <w:r>
              <w:rPr>
                <w:rFonts w:ascii="宋体" w:hAnsi="宋体"/>
                <w:bCs/>
                <w:sz w:val="24"/>
              </w:rPr>
              <w:pict>
                <v:shape id="自选图形 211" o:spid="_x0000_s1097" o:spt="32" type="#_x0000_t32" style="position:absolute;left:0pt;margin-left:365.4pt;margin-top:10.15pt;height:0pt;width:38.45pt;z-index:2516858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0hTAIAAGIEAAAOAAAAZHJzL2Uyb0RvYy54bWysVM2O0zAQviPxDpbv3SRtWrpR0xVKWi4L&#10;rLTLA7i201g4tmV7m1YIiRviGbhx5B3gbVaCt2Ds/kDhghA5OON45puZbz5ndrXtJNpw64RWJc4u&#10;Uoy4opoJtS7xq7vlYIqR80QxIrXiJd5xh6/mjx/NelPwoW61ZNwiAFGu6E2JW+9NkSSOtrwj7kIb&#10;ruCw0bYjHrZ2nTBLekDvZDJM00nSa8uM1ZQ7B1/r/SGeR/ym4dS/bBrHPZIlhtp8XG1cV2FN5jNS&#10;rC0xraCHMsg/VNERoSDpCaomnqB7K/6A6gS12unGX1DdJbppBOWxB+gmS3/r5rYlhsdegBxnTjS5&#10;/wdLX2xuLBKsxOMRRop0MKNv7z9/f/fh4ePXhy+f0DDLAkm9cQX4VurGhjbpVt2aa01fO6R01RK1&#10;5rHYu50BgBiRnIWEjTOQatU/1wx8yL3XkbFtY7sACVygbRzM7jQYvvWIwsd8Oh1lY4zo8SghxTHO&#10;WOefcd2hYJTYeUvEuvWVVgqmr20Ws5DNtfPQBwQeA0JSpZdCyigCqVBf4slonMYAp6Vg4TC4Obte&#10;VdKiDQkyik8gBcDO3Ky+VyyCtZywxcH2REiwkY/ceCuALclxyNZxhpHkcHOCtUeUKmSEzqHgg7VX&#10;0pvL9HIxXUzzQT6cLAZ5WteDp8sqH0yW2ZNxPaqrqs7ehuKzvGgFY1yF+o+qzvK/U83hfu31eNL1&#10;iajkHD2SAMUe37HoOPow7b1uVprtbmzoLqgAhBydD5cu3JRf99Hr569h/gMAAP//AwBQSwMEFAAG&#10;AAgAAAAhAL1RHtneAAAACQEAAA8AAABkcnMvZG93bnJldi54bWxMj0FLxDAQhe+C/yGM4EV2E7tg&#10;19p0EUFB8GJXYY+zTWyLyaQ0092uv96IBz3Om8d73ys3s3fiYMfYB9JwvVQgLDXB9NRqeNs+LtYg&#10;IiMZdIGshpONsKnOz0osTDjSqz3U3IoUQrFADR3zUEgZm856jMswWEq/jzB65HSOrTQjHlO4dzJT&#10;6kZ67Ck1dDjYh842n/XkNbCibd1Pu2d+Ot1+qZfMKbx61/ryYr6/A8F25j8z/OAndKgS0z5MZKJw&#10;GvKVSuisIVMrEMmwVnkOYv8ryKqU/xdU3wAAAP//AwBQSwECLQAUAAYACAAAACEAtoM4kv4AAADh&#10;AQAAEwAAAAAAAAAAAAAAAAAAAAAAW0NvbnRlbnRfVHlwZXNdLnhtbFBLAQItABQABgAIAAAAIQA4&#10;/SH/1gAAAJQBAAALAAAAAAAAAAAAAAAAAC8BAABfcmVscy8ucmVsc1BLAQItABQABgAIAAAAIQDA&#10;Ah0hTAIAAGIEAAAOAAAAAAAAAAAAAAAAAC4CAABkcnMvZTJvRG9jLnhtbFBLAQItABQABgAIAAAA&#10;IQC9UR7Z3gAAAAkBAAAPAAAAAAAAAAAAAAAAAKYEAABkcnMvZG93bnJldi54bWxQSwUGAAAAAAQA&#10;BADzAAAAsQUAAAAA&#10;">
                  <v:path arrowok="t"/>
                  <v:fill on="f" focussize="0,0"/>
                  <v:stroke weight="0.5pt" endarrow="block"/>
                  <v:imagedata o:title=""/>
                  <o:lock v:ext="edit"/>
                </v:shape>
              </w:pict>
            </w:r>
            <w:r>
              <w:rPr>
                <w:rFonts w:ascii="宋体" w:hAnsi="宋体"/>
                <w:bCs/>
                <w:sz w:val="24"/>
              </w:rPr>
              <w:pict>
                <v:shape id="自选图形 209" o:spid="_x0000_s1096" o:spt="32" type="#_x0000_t32" style="position:absolute;left:0pt;margin-left:281.6pt;margin-top:10.15pt;height:0pt;width:36.5pt;z-index:25168384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kTQIAAGIEAAAOAAAAZHJzL2Uyb0RvYy54bWysVM2O0zAQviPxDpbv3STdtOxGTVcoabks&#10;UGmXB3Btp7FwbMt2m1YIiRvaZ+DGkXeAt1kJ3oKx+8MuXBAiB2ccz3zzzcznTK62nUQbbp3QqsTZ&#10;WYoRV1QzoVYlfnM7H1xg5DxRjEiteIl33OGr6dMnk94UfKhbLRm3CECUK3pT4tZ7UySJoy3viDvT&#10;his4bLTtiIetXSXMkh7QO5kM03Sc9NoyYzXlzsHXen+IpxG/aTj1r5vGcY9kiYGbj6uN6zKsyXRC&#10;ipUlphX0QIP8A4uOCAVJT1A18QStrfgDqhPUaqcbf0Z1l+imEZTHGqCaLP2tmpuWGB5rgeY4c2qT&#10;+3+w9NVmYZFgJR4NMVKkgxl9//jlx4e7+0/f7r9+RsP0MjSpN64A30otbCiTbtWNudb0rUNKVy1R&#10;Kx7J3u4MAGQhInkUEjbOQKpl/1Iz8CFrr2PHto3tAiT0Am3jYHanwfCtRxQ+5uPz0QjGR49HCSmO&#10;ccY6/4LrDgWjxM5bIlatr7RSMH1ts5iFbK6dD6xIcQwISZWeCymjCKRCfYkhURoDnJaChcPg5uxq&#10;WUmLNiTIKD6xRDh56Gb1WrEI1nLCZgfbEyHBRj72xlsB3ZIch2wdZxhJDjcnWHt6UoWMUDkQPlh7&#10;Jb27TC9nF7OLfJAPx7NBntb14Pm8ygfjefZsVJ/XVVVn7wP5LC9awRhXgf9R1Vn+d6o53K+9Hk+6&#10;PjUqeYweOwpkj+9IOo4+THuvm6Vmu4UN1QUVgJCj8+HShZvycB+9fv0apj8BAAD//wMAUEsDBBQA&#10;BgAIAAAAIQCtzZ2r3QAAAAkBAAAPAAAAZHJzL2Rvd25yZXYueG1sTI/BSsQwEIbvgu8QRvAibmKL&#10;RWvTRQQFwYtdBY+zzdgWk0lp0t2uT2/Ew3qcfz7++aZaL86KHU1h8KzhaqVAELfeDNxpeNs8Xt6A&#10;CBHZoPVMGg4UYF2fnlRYGr/nV9o1sROphEOJGvoYx1LK0PbkMKz8SJx2n35yGNM4ddJMuE/lzspM&#10;qUI6HDhd6HGkh57ar2Z2GqLiTTPMH8/x6XD7rV4yq/DiXevzs+X+DkSkJR5h+NVP6lAnp62f2QRh&#10;NVwXeZZQDZnKQSSgyIsUbP8CWVfy/wf1DwAAAP//AwBQSwECLQAUAAYACAAAACEAtoM4kv4AAADh&#10;AQAAEwAAAAAAAAAAAAAAAAAAAAAAW0NvbnRlbnRfVHlwZXNdLnhtbFBLAQItABQABgAIAAAAIQA4&#10;/SH/1gAAAJQBAAALAAAAAAAAAAAAAAAAAC8BAABfcmVscy8ucmVsc1BLAQItABQABgAIAAAAIQDC&#10;hR/kTQIAAGIEAAAOAAAAAAAAAAAAAAAAAC4CAABkcnMvZTJvRG9jLnhtbFBLAQItABQABgAIAAAA&#10;IQCtzZ2r3QAAAAkBAAAPAAAAAAAAAAAAAAAAAKcEAABkcnMvZG93bnJldi54bWxQSwUGAAAAAAQA&#10;BADzAAAAsQUAAAAA&#10;">
                  <v:path arrowok="t"/>
                  <v:fill on="f" focussize="0,0"/>
                  <v:stroke weight="0.5pt" endarrow="block"/>
                  <v:imagedata o:title=""/>
                  <o:lock v:ext="edit"/>
                </v:shape>
              </w:pict>
            </w:r>
            <w:r>
              <w:rPr>
                <w:rFonts w:ascii="宋体" w:hAnsi="宋体"/>
                <w:bCs/>
                <w:sz w:val="24"/>
              </w:rPr>
              <w:pict>
                <v:shape id="自选图形 150" o:spid="_x0000_s1095" o:spt="32" type="#_x0000_t32" style="position:absolute;left:0pt;margin-left:62.3pt;margin-top:10.9pt;height:0pt;width:56.55pt;z-index:25162854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IbhSwIAAGIEAAAOAAAAZHJzL2Uyb0RvYy54bWysVM2O0zAQviPxDpbvbZJu2+1GTVcoabks&#10;UGmXB3Btp7FwbMt2m1YIiRviGbhx5B3gbVaCt2Ds/sAuF4TIwZnJjGe++WYm0+tdK9GWWye0KnDW&#10;TzHiimom1LrAr+8WvQlGzhPFiNSKF3jPHb6ePX0y7UzOB7rRknGLIIhyeWcK3Hhv8iRxtOEtcX1t&#10;uAJjrW1LPKh2nTBLOojeymSQpuOk05YZqyl3Dr5WByOexfh1zal/VdeOeyQLDNh8PG08V+FMZlOS&#10;ry0xjaBHGOQfULREKEh6DlURT9DGij9CtYJa7XTt+1S3ia5rQXmsAarJ0kfV3DbE8FgLkOPMmSb3&#10;/8LSl9ulRYIVeJRhpEgLPfr+4cuP9x/vP327//oZZaNIUmdcDr6lWtpQJt2pW3Oj6RuHlC4botY8&#10;gr3bGwiQBVqTB1eC4gykWnUvNAMfsvE6MrarbRtCAhdoFxuzPzeG7zyi8PEym2STEUb0ZEpIfrpn&#10;rPPPuW5REArsvCVi3fhSKwXd1zaLWcj2xvmAiuSnCyGp0gshZRwCqVBX4PEF1BssTkvBgjEqdr0q&#10;pUVbEsYoPrHER25WbxSLwRpO2PwoeyIkyMhHbrwVwJbkOGRrOcNIcticIB3gSRUyQuUA+CgdJunt&#10;VXo1n8wnw95wMJ73hmlV9Z4tymFvvMguR9VFVZZV9i6Az4Z5IxjjKuA/TXU2/LupOe7XYR7Pc30m&#10;KnkYPTIKYE/vCDq2PnQ7rKHLV5rtlzZUFzQY5Oh8XLqwKb/r0evXr2H2EwAA//8DAFBLAwQUAAYA&#10;CAAAACEAB8YkId4AAAAJAQAADwAAAGRycy9kb3ducmV2LnhtbEyPQUvDQBCF74L/YRnBi9jdrtJq&#10;zKaIoCB4aWqhx212TILZ2ZDdtKm/3hEPenxvPt68l68m34kDDrENZGA+UyCQquBaqg28b56v70DE&#10;ZMnZLhAaOGGEVXF+ltvMhSOt8VCmWnAIxcwaaFLqMylj1aC3cRZ6JL59hMHbxHKopRvskcN9J7VS&#10;C+ltS/yhsT0+NVh9lqM3kBRtynbcvaaX0/2XetOdsldbYy4vpscHEAmn9AfDT32uDgV32oeRXBQd&#10;a327YNSAnvMEBvTNcgli/2vIIpf/FxTfAAAA//8DAFBLAQItABQABgAIAAAAIQC2gziS/gAAAOEB&#10;AAATAAAAAAAAAAAAAAAAAAAAAABbQ29udGVudF9UeXBlc10ueG1sUEsBAi0AFAAGAAgAAAAhADj9&#10;If/WAAAAlAEAAAsAAAAAAAAAAAAAAAAALwEAAF9yZWxzLy5yZWxzUEsBAi0AFAAGAAgAAAAhACe0&#10;huFLAgAAYgQAAA4AAAAAAAAAAAAAAAAALgIAAGRycy9lMm9Eb2MueG1sUEsBAi0AFAAGAAgAAAAh&#10;AAfGJCHeAAAACQEAAA8AAAAAAAAAAAAAAAAApQQAAGRycy9kb3ducmV2LnhtbFBLBQYAAAAABAAE&#10;APMAAACwBQAAAAA=&#10;">
                  <v:path arrowok="t"/>
                  <v:fill on="f" focussize="0,0"/>
                  <v:stroke weight="0.5pt" endarrow="block"/>
                  <v:imagedata o:title=""/>
                  <o:lock v:ext="edit"/>
                </v:shape>
              </w:pict>
            </w:r>
            <w:r>
              <w:rPr>
                <w:rFonts w:ascii="宋体" w:hAnsi="宋体"/>
                <w:bCs/>
                <w:sz w:val="24"/>
              </w:rPr>
              <w:pict>
                <v:shape id="自选图形 157" o:spid="_x0000_s1094" o:spt="32" type="#_x0000_t32" style="position:absolute;left:0pt;flip:y;margin-left:180.05pt;margin-top:10.9pt;height:17.9pt;width:16.4pt;z-index:25163264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aX+YwIAAIwEAAAOAAAAZHJzL2Uyb0RvYy54bWysVMtuEzEU3SPxD5b36TySpumokwrNJGwK&#10;VGph79iejIXHtmw3kwghsUN8AzuW/AP8TSX4C649aUrLBiFm4bme+/C5x+fO2fm2k2jDrRNalTg7&#10;SjHiimom1LrEr6+XoxlGzhPFiNSKl3jHHT6fP31y1puC57rVknGLoIhyRW9K3HpviiRxtOUdcUfa&#10;cAXORtuOeNjadcIs6aF6J5M8TadJry0zVlPuHHytByeex/pNw6l/1TSOeyRLDNh8XG1cV2FN5mek&#10;WFtiWkH3MMg/oOiIUHDooVRNPEE3VvxRqhPUaqcbf0R1l+imEZTHHqCbLH3UzVVLDI+9ADnOHGhy&#10;/68sfbm5tEiwEh8DPYp0cEc/Pn79+eHT7efvt9++oOz4JJDUG1dAbKUubWiTbtWVudD0rUNKVy1R&#10;ax7BXu8MFMhCRvIgJWycgaNW/QvNIIbceB0Z2za2Q40U5k1IDMWBFbSNV7Q7XBHfekThY57O8hkg&#10;peDK85PxOF5hQopQJiQb6/xzrjsUjBI7b4lYt77SSoEYtB2OIJsL5wPI+4SQrPRSSBk1IRXqSzwd&#10;Ay3B47QULDjjxq5XlbRoQ4Kq4hM7fhQWENTEtUMcA6vWflCc1TeKxXNaTthib3siJNjIRxa9FcCr&#10;5DgA6TjDSHKYsWANyKUKYIAZ6GVvDZp7d5qeLmaL2WQ0yaeL0SSt69GzZTUZTZfZyXE9rquqzt6H&#10;vrJJ0QrGuAqt3ek/m/ydvvaTOCj3MAEHDpOH1SPZAPbuHUFHkQRdDApbaba7tKG7oBeQfAzej2eY&#10;qd/3Mer+JzL/BQAA//8DAFBLAwQUAAYACAAAACEAr04Lxd4AAAAJAQAADwAAAGRycy9kb3ducmV2&#10;LnhtbEyPwU7DMBBE70j8g7VI3KgTVwQasqlQJSQuIAg9cNzGJo4a21HsNuHvWU5wXO3TzJtqu7hB&#10;nM0U++AR8lUGwvg26N53CPuPp5t7EDGR1zQEbxC+TYRtfXlRUanD7N/NuUmd4BAfS0KwKY2llLG1&#10;xlFchdF4/n2FyVHic+qknmjmcDdIlWWFdNR7brA0mp017bE5OYTd2+Ikvba5+ixeZvucjo3q9ojX&#10;V8vjA4hklvQHw68+q0PNTodw8jqKAWFdZDmjCCrnCQysN2oD4oBwe1eArCv5f0H9AwAA//8DAFBL&#10;AQItABQABgAIAAAAIQC2gziS/gAAAOEBAAATAAAAAAAAAAAAAAAAAAAAAABbQ29udGVudF9UeXBl&#10;c10ueG1sUEsBAi0AFAAGAAgAAAAhADj9If/WAAAAlAEAAAsAAAAAAAAAAAAAAAAALwEAAF9yZWxz&#10;Ly5yZWxzUEsBAi0AFAAGAAgAAAAhAJ19pf5jAgAAjAQAAA4AAAAAAAAAAAAAAAAALgIAAGRycy9l&#10;Mm9Eb2MueG1sUEsBAi0AFAAGAAgAAAAhAK9OC8XeAAAACQEAAA8AAAAAAAAAAAAAAAAAvQQAAGRy&#10;cy9kb3ducmV2LnhtbFBLBQYAAAAABAAEAPMAAADIBQAAAAA=&#10;">
                  <v:path arrowok="t"/>
                  <v:fill on="f" focussize="0,0"/>
                  <v:stroke weight="0.5pt" dashstyle="dashDot" endarrow="block"/>
                  <v:imagedata o:title=""/>
                  <o:lock v:ext="edit"/>
                </v:shape>
              </w:pict>
            </w:r>
            <w:r>
              <w:rPr>
                <w:rFonts w:ascii="宋体" w:hAnsi="宋体"/>
                <w:bCs/>
                <w:sz w:val="24"/>
              </w:rPr>
              <w:pict>
                <v:rect id="矩形 172" o:spid="_x0000_s1045" o:spt="1" style="position:absolute;left:0pt;margin-left:118.45pt;margin-top:13.05pt;height:22.2pt;width:35.65pt;z-index:251646976;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VjNQIAAE8EAAAOAAAAZHJzL2Uyb0RvYy54bWysVFGO0zAQ/UfiDpb/aZqqoW3UdLXqUoS0&#10;wEoLB3AcJ7FwbDN2myyXQeKPQ3AcxDUYO23pwg9C5MPyZMYvb94bZ301dIocBDhpdEHTyZQSobmp&#10;pG4K+v7d7tmSEueZrpgyWhT0QTh6tXn6ZN3bXMxMa1QlgCCIdnlvC9p6b/MkcbwVHXMTY4XGZG2g&#10;Yx5DaJIKWI/onUpm0+nzpDdQWTBcOIdvb8Yk3UT8uhbcv61rJzxRBUVuPq4Q1zKsyWbN8gaYbSU/&#10;0mD/wKJjUuNHz1A3zDOyB/kHVCc5GGdqP+GmS0xdSy5iD9hNOv2tm/uWWRF7QXGcPcvk/h8sf3O4&#10;AyKrgs4XlGjWoUc/Pn/9/u0LSRezIE9vXY5V9/YOQoPO3hr+wRFtti3TjbgGMH0rWIWk0lCfPDoQ&#10;AodHSdm/NhWCs703Uamhhi4AogZkiIY8nA0RgyccX86z2SLLKOGYmi3T1TwalrD8dNiC8y+F6UjY&#10;FBTQ7wjODrfOBzIsP5VE8kbJaieVigE05VYBOTCcjV18In/s8bJMadJja9lykUXoR0n3dxid9Djl&#10;SnYFXU7DM85dkO2FruIMeibVuEfOSh91DNKNFvihHKJP6erkSmmqB1QWzDjVeAtx0xr4REmPE11Q&#10;93HPQFCiXml0Z5XOUT/iYzDPFjMM4DJTXmaY5ghVUE/JuN368drsLcimxS+lUQ5trtHRWka1g9sj&#10;qyN/nNpowvGGhWtxGceqX/+BzU8AAAD//wMAUEsDBBQABgAIAAAAIQAEaveW3wAAAAkBAAAPAAAA&#10;ZHJzL2Rvd25yZXYueG1sTI+xTsMwEIZ3JN7BOiQ2aieloQ1xqgpEBtSFwtLNsY8kIj5HsZuEt8dM&#10;sN3pPv33/cV+sT2bcPSdIwnJSgBD0s501Ej4eH+52wLzQZFRvSOU8I0e9uX1VaFy42Z6w+kUGhZD&#10;yOdKQhvCkHPudYtW+ZUbkOLt041WhbiODTejmmO47XkqRMat6ih+aNWATy3qr9PFSni1fKqOY6UP&#10;iTO6rsRmvn8+S3l7sxwegQVcwh8Mv/pRHcroVLsLGc96Cek620U0DlkCLAJrsU2B1RIexAZ4WfD/&#10;DcofAAAA//8DAFBLAQItABQABgAIAAAAIQC2gziS/gAAAOEBAAATAAAAAAAAAAAAAAAAAAAAAABb&#10;Q29udGVudF9UeXBlc10ueG1sUEsBAi0AFAAGAAgAAAAhADj9If/WAAAAlAEAAAsAAAAAAAAAAAAA&#10;AAAALwEAAF9yZWxzLy5yZWxzUEsBAi0AFAAGAAgAAAAhAFErZWM1AgAATwQAAA4AAAAAAAAAAAAA&#10;AAAALgIAAGRycy9lMm9Eb2MueG1sUEsBAi0AFAAGAAgAAAAhAARq95bfAAAACQEAAA8AAAAAAAAA&#10;AAAAAAAAjwQAAGRycy9kb3ducmV2LnhtbFBLBQYAAAAABAAEAPMAAACbBQAAAAA=&#10;">
                  <v:path/>
                  <v:fill focussize="0,0"/>
                  <v:stroke weight="1.25pt" color="#FFFFFF"/>
                  <v:imagedata o:title=""/>
                  <o:lock v:ext="edit"/>
                  <v:textbox>
                    <w:txbxContent>
                      <w:p>
                        <w:r>
                          <w:rPr>
                            <w:rFonts w:hint="eastAsia"/>
                          </w:rPr>
                          <w:t>30.0</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shape id="自选图形 191" o:spid="_x0000_s1093" o:spt="32" type="#_x0000_t32" style="position:absolute;left:0pt;margin-left:117.45pt;margin-top:21.45pt;height:0.05pt;width:44.55pt;z-index:25166540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8+DTAIAAGQEAAAOAAAAZHJzL2Uyb0RvYy54bWysVM2O0zAQviPxDpbv3STdtNuNNl2hpOWy&#10;QKVdHsC1ncbCsS3b27RCSNzQPgM3jrwDvM1K8BaM3R8oXBAiB2ccz3zzzcznXF1vOonW3DqhVYmz&#10;sxQjrqhmQq1K/PpuPphg5DxRjEiteIm33OHr6dMnV70p+FC3WjJuEYAoV/SmxK33pkgSR1veEXem&#10;DVdw2GjbEQ9bu0qYJT2gdzIZpuk46bVlxmrKnYOv9e4QTyN+03DqXzWN4x7JEgM3H1cb12VYk+kV&#10;KVaWmFbQPQ3yDyw6IhQkPULVxBN0b8UfUJ2gVjvd+DOqu0Q3jaA81gDVZOlv1dy2xPBYCzTHmWOb&#10;3P+DpS/XC4sEK3E+xkiRDmb07cPn7+8fHj9+ffzyCWWXWWhSb1wBvpVa2FAm3ahbc6PpG4eUrlqi&#10;VjySvdsaAIgRyUlI2DgDqZb9C83Ah9x7HTu2aWwXIKEXaBMHsz0Ohm88ovBxNB5dTEYYUTgan48C&#10;oYQUh0hjnX/OdYeCUWLnLRGr1ldaKZi/tlnMQ9Y3zu8CDwEhrdJzIWWUgVSoj/hpDHBaChYOg5uz&#10;q2UlLVqTIKT47FmcuFl9r1gEazlhs73tiZBgIx+7462AfkmOQ7aOM4wkh7sTrB09qUJGqB0I762d&#10;lt5eppezyWySD/LheDbI07oePJtX+WA8zy5G9XldVXX2LpDP8qIVjHEV+B90neV/p5v9Ddsp8qjs&#10;Y6OSU/Q4CiB7eEfScfhh3jvlLDXbLmyoLugApByd99cu3JVf99Hr589h+gMAAP//AwBQSwMEFAAG&#10;AAgAAAAhAD3ScVfeAAAACQEAAA8AAABkcnMvZG93bnJldi54bWxMj0FLxDAQhe+C/yGM4EXcxLSI&#10;W5suIigIXuwqeJxtY1tMJqVJd7v+eseTexpm3uPN98rN4p3Y2ykOgQzcrBQIS01oB+oMvG+fru9A&#10;xITUogtkDRxthE11flZi0YYDvdl9nTrBIRQLNNCnNBZSxqa3HuMqjJZY+wqTx8Tr1Ml2wgOHeye1&#10;UrfS40D8ocfRPva2+a5nbyAp2tbD/PmSno/rH/WqncKrD2MuL5aHexDJLunfDH/4jA4VM+3CTG0U&#10;zoDO8jVbDeSaJxsynXO5HR8yBbIq5WmD6hcAAP//AwBQSwECLQAUAAYACAAAACEAtoM4kv4AAADh&#10;AQAAEwAAAAAAAAAAAAAAAAAAAAAAW0NvbnRlbnRfVHlwZXNdLnhtbFBLAQItABQABgAIAAAAIQA4&#10;/SH/1gAAAJQBAAALAAAAAAAAAAAAAAAAAC8BAABfcmVscy8ucmVsc1BLAQItABQABgAIAAAAIQAL&#10;L8+DTAIAAGQEAAAOAAAAAAAAAAAAAAAAAC4CAABkcnMvZTJvRG9jLnhtbFBLAQItABQABgAIAAAA&#10;IQA90nFX3gAAAAkBAAAPAAAAAAAAAAAAAAAAAKYEAABkcnMvZG93bnJldi54bWxQSwUGAAAAAAQA&#10;BADzAAAAsQUAAAAA&#10;">
                  <v:path arrowok="t"/>
                  <v:fill on="f" focussize="0,0"/>
                  <v:stroke weight="0.5pt" endarrow="block"/>
                  <v:imagedata o:title=""/>
                  <o:lock v:ext="edit"/>
                </v:shape>
              </w:pict>
            </w:r>
            <w:r>
              <w:rPr>
                <w:rFonts w:ascii="宋体" w:hAnsi="宋体"/>
                <w:bCs/>
                <w:sz w:val="24"/>
              </w:rPr>
              <w:pict>
                <v:rect id="矩形 185" o:spid="_x0000_s1046" o:spt="1" style="position:absolute;left:0pt;margin-left:46.65pt;margin-top:0.1pt;height:20.55pt;width:50.6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4kuwQIAALgFAAAOAAAAZHJzL2Uyb0RvYy54bWysVF2O0zAQfkfiDpbfs0mK2ybRpqvdpkFI&#10;C6y0cAA3cRqLxA6223RBnAWJNw7BcRDXYOz0d/cFAXmIbM/4m29mPs/l1bZt0IYpzaVIcXgRYMRE&#10;IUsuVil+/y73Ioy0oaKkjRQsxQ9M46vZ82eXfZewkaxlUzKFAETopO9SXBvTJb6vi5q1VF/Ijgkw&#10;VlK11MBWrfxS0R7Q28YfBcHE76UqOyULpjWcZoMRzxx+VbHCvK0qzQxqUgzcjPsr91/avz+7pMlK&#10;0a7mxY4G/QsWLeUCgh6gMmooWiv+BKrlhZJaVuaikK0vq4oXzOUA2YTBo2zua9oxlwsUR3eHMun/&#10;B1u82dwpxMsUkzFGgrbQo19fv//88Q2F0diWp+90Al733Z2yCeruVhYfNBJyXlOxYtdKyb5mtARS&#10;ofX3zy7YjYaraNm/liWA07WRrlLbSrUWEGqAtq4hD4eGsK1BBRxOyGgygrYVYBpNgnhg5NNkf7lT&#10;2rxkskV2kWIF/XbgdHOrjSVDk72LjSVkzpvG9bwRZwfgOJxAaLhqbZaEa+HnOIgX0SIiHtBZeCTI&#10;Mu86nxNvkofTcfYim8+z8IuNG5Kk5mXJhA2zl1NI/qxdO2EPQjgISsuGlxbOUtJqtZw3Cm0oyDl3&#10;nys5WI5u/jkNVwTI5VFK4YgEN6PYyyfR1CM5GXvxNIi8IIxv4klAYpLl5yndcsH+PSXUg0zG0XTs&#10;2nTC+lFygfueJkeTlhuYGA1vUxwdnGhiJbgQpeutobwZ1ie1sPyPtYB+7zvtBGs1OmjdbJdb9yBA&#10;eIBmBbyU5QNIWEmQGKgRxh0saqk+YdTD6Eix/rimimHUvBLwDOKQEDtr3IaMp1bB6tSyPLVQUQBU&#10;ig1Gw3Juhvm07hRf1RApdLUS8hqeTsWdrI+sdg8OxoNLbjfK7Pw53Tuv48Cd/QYAAP//AwBQSwME&#10;FAAGAAgAAAAhAM/GvN3dAAAABgEAAA8AAABkcnMvZG93bnJldi54bWxMjsFOwzAQRO9I/IO1SFxQ&#10;6zQJqAlxKqiEVC6VKOXAbRsvSUS8DrHbpH+Pe4LjaEZvXrGaTCdONLjWsoLFPAJBXFndcq1g//4y&#10;W4JwHlljZ5kUnMnBqry+KjDXduQ3Ou18LQKEXY4KGu/7XEpXNWTQzW1PHLovOxj0IQ611AOOAW46&#10;GUfRgzTYcnhosKd1Q9X37mgUjM9juvnc+O05vqNXzD5+hvUSlbq9mZ4eQXia/N8YLvpBHcrgdLBH&#10;1k50CrIkCUsFMYhLm6X3IA4K0kUCsizkf/3yFwAA//8DAFBLAQItABQABgAIAAAAIQC2gziS/gAA&#10;AOEBAAATAAAAAAAAAAAAAAAAAAAAAABbQ29udGVudF9UeXBlc10ueG1sUEsBAi0AFAAGAAgAAAAh&#10;ADj9If/WAAAAlAEAAAsAAAAAAAAAAAAAAAAALwEAAF9yZWxzLy5yZWxzUEsBAi0AFAAGAAgAAAAh&#10;AE2jiS7BAgAAuAUAAA4AAAAAAAAAAAAAAAAALgIAAGRycy9lMm9Eb2MueG1sUEsBAi0AFAAGAAgA&#10;AAAhAM/GvN3dAAAABgEAAA8AAAAAAAAAAAAAAAAAGwUAAGRycy9kb3ducmV2LnhtbFBLBQYAAAAA&#10;BAAEAPMAAAAlBgAAAAA=&#10;">
                  <v:path/>
                  <v:fill on="f" focussize="0,0"/>
                  <v:stroke on="f" weight="1.25pt"/>
                  <v:imagedata o:title=""/>
                  <o:lock v:ext="edit"/>
                  <v:textbox>
                    <w:txbxContent>
                      <w:p/>
                    </w:txbxContent>
                  </v:textbox>
                </v:rect>
              </w:pict>
            </w:r>
            <w:r>
              <w:rPr>
                <w:rFonts w:ascii="宋体" w:hAnsi="宋体"/>
                <w:bCs/>
                <w:sz w:val="24"/>
              </w:rPr>
              <w:pict>
                <v:rect id="矩形 143" o:spid="_x0000_s1047" o:spt="1" style="position:absolute;left:0pt;margin-left:162.6pt;margin-top:9.6pt;height:25.7pt;width:80.9pt;z-index:251622400;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or+zQIAAI4FAAAOAAAAZHJzL2Uyb0RvYy54bWysVN1u0zAUvkfiHSzfd/lp2rXR0mlLWoQ0&#10;YNJAXLuJk1g4drDdphviWZC44yF4HMRrcOykXQY3CNEL18758fm+8/lcXB4ajvZUaSZFgoMzHyMq&#10;clkwUSX43dvNZIGRNkQUhEtBE3xPNb5cPX920bUxDWUteUEVgiRCx12b4NqYNvY8nde0IfpMtlSA&#10;sZSqIQaOqvIKRTrI3nAv9P2510lVtErmVGv4mvVGvHL5y5Lm5k1ZamoQTzDUZtyq3Lq1q7e6IHGl&#10;SFuzfCiD/EMVDWECLj2lyoghaKfYH6kaliupZWnOctl4sixZTh0GQBP4v6G5q0lLHRYgR7cnmvT/&#10;S5u/3t8qxIoERxFGgjTQo59fvv34/hUF0dTS07U6Bq+79lZZgLq9kfkHjYRMayIqeqWU7GpKCigq&#10;sP7ekwB70BCKtt0rWUBysjPSMXUoVWMTAgfo4Bpyf2oIPRiUw8fAD8+jKfQtB9s0nE+XrmMeiY/R&#10;rdLmBZUNspsEK2i4y072N9rYakh8dLGXCblhnLumc4G6BM+nM98FaMlZYY0OpKq2KVdoT6xs3M9B&#10;A/hjt4YZEC9nTYIXJycSWzbWonC3GMJ4v4dKuLDJARzUNux6kXxa+sv1Yr2IJlE4X08iP8smV5s0&#10;msw3wfksm2ZpmgWfbZ1BFNesKKiwpR4FG0R/J4jh6fRSG0vWAUdKmvfM1E51thW2xEoPtVYatRJ6&#10;PLA1Juj6Opttjo2pdB/Wewc9LfaTHocs0+v1ehwC7Jyu4kwgkFaCZ9GJVWtXZGiQ95QG12Vg9fjv&#10;KnYytMrrFWwO24OTeehEamW5lcU9CBNQW1R2iMGmluoBow4GQoL1xx1RFCP+UgDwZRBFdoK4QzQ7&#10;D+Ggxpbt2EJEDqkSbDBAsdvU9FNn1ypW1XBT4PgV8goeRMmcVh+rGp4RPHoHahhQdqqMz87rcYyu&#10;fgEAAP//AwBQSwMEFAAGAAgAAAAhANpWCoDeAAAACQEAAA8AAABkcnMvZG93bnJldi54bWxMj8FO&#10;wzAQRO9I/IO1SFwq6jSUtoQ4FarEBzRFSNw2sYkN8TrEbhv4epYTnFajeZqdKbeT78XJjNEFUrCY&#10;ZyAMtUE76hQ8H55uNiBiQtLYBzIKvkyEbXV5UWKhw5n25lSnTnAIxQIV2JSGQsrYWuMxzsNgiL23&#10;MHpMLMdO6hHPHO57mWfZSnp0xB8sDmZnTftRH72Cer+Ury57+XaL93zXkMXZ5wyVur6aHh9AJDOl&#10;Pxh+63N1qLhTE46ko+gV3OZ3OaNs3PNlYLlZ87hGwTpbgaxK+X9B9QMAAP//AwBQSwECLQAUAAYA&#10;CAAAACEAtoM4kv4AAADhAQAAEwAAAAAAAAAAAAAAAAAAAAAAW0NvbnRlbnRfVHlwZXNdLnhtbFBL&#10;AQItABQABgAIAAAAIQA4/SH/1gAAAJQBAAALAAAAAAAAAAAAAAAAAC8BAABfcmVscy8ucmVsc1BL&#10;AQItABQABgAIAAAAIQBWfor+zQIAAI4FAAAOAAAAAAAAAAAAAAAAAC4CAABkcnMvZTJvRG9jLnht&#10;bFBLAQItABQABgAIAAAAIQDaVgqA3gAAAAkBAAAPAAAAAAAAAAAAAAAAACcFAABkcnMvZG93bnJl&#10;di54bWxQSwUGAAAAAAQABADzAAAAMgYAAAAA&#10;">
                  <v:path/>
                  <v:fill type="gradient" on="f" color2="#9CBEE0" focus="100%" focussize="0f,0f">
                    <o:fill type="gradientUnscaled" v:ext="backwardCompatible"/>
                  </v:fill>
                  <v:stroke weight="0.5pt"/>
                  <v:imagedata o:title=""/>
                  <o:lock v:ext="edit"/>
                  <v:textbox>
                    <w:txbxContent>
                      <w:p>
                        <w:pPr>
                          <w:ind w:firstLine="105" w:firstLineChars="50"/>
                        </w:pPr>
                        <w:r>
                          <w:rPr>
                            <w:rFonts w:hint="eastAsia"/>
                          </w:rPr>
                          <w:t>洗衣房用水</w:t>
                        </w:r>
                      </w:p>
                    </w:txbxContent>
                  </v:textbox>
                </v:rect>
              </w:pict>
            </w:r>
            <w:r>
              <w:rPr>
                <w:rFonts w:ascii="宋体" w:hAnsi="宋体"/>
                <w:bCs/>
                <w:sz w:val="24"/>
              </w:rPr>
              <w:pict>
                <v:shape id="自选图形 210" o:spid="_x0000_s1092" o:spt="32" type="#_x0000_t32" style="position:absolute;left:0pt;margin-left:424.55pt;margin-top:11.85pt;height:79.1pt;width:0pt;z-index:2516848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0aCTwIAAGMEAAAOAAAAZHJzL2Uyb0RvYy54bWysVM2O0zAQviPxDpbv3STdbLcbNV2hpOWy&#10;wEq7PIBrO4mFY1u2t2mFkLghnoEbR94B3mYleAvG7g+7cEGIHtyxPf7mm29mMrvc9BKtuXVCqxJn&#10;JylGXFHNhGpL/Pp2OZpi5DxRjEiteIm33OHL+dMns8EUfKw7LRm3CECUKwZT4s57UySJox3viTvR&#10;hiu4bLTtiYetbRNmyQDovUzGaTpJBm2ZsZpy5+C03l3iecRvGk79q6Zx3CNZYuDm42rjugprMp+R&#10;orXEdILuaZB/YNEToSDoEaomnqA7K/6A6gW12unGn1DdJ7ppBOUxB8gmS3/L5qYjhsdcQBxnjjK5&#10;/wdLX66vLRKsxPkpRor0UKPvH778eP/x/tO3+6+f0TiLIg3GFeBbqWsb0qQbdWOuNH3jkNJVR1TL&#10;I9nbrQGALMiaPHoSNs5AqNXwQjPwIXdeR8U2je0DJGiBNrEw22Nh+MYjujukcJqlaX52HvkkpDg8&#10;NNb551z3KBgldt4S0Xa+0kpB+bXNYhiyvnI+0CLF4UGIqvRSSBm7QCo0lHhyepbGB05LwcJlcHO2&#10;XVXSojUJfRR/MUe4eehm9Z1iEazjhC32tidCgo18FMdbAXJJjkO0njOMJIfRCdaOnlQhIqQOhPfW&#10;rpXeXqQXi+limo/y8WQxytO6Hj1bVvlosszOz+rTuqrq7F0gn+VFJxjjKvA/tHWW/13b7Ads15DH&#10;xj4KlTxGj4oC2cN/JB1rH8od5tAVK8221zZkF3bQydF5P3VhVB7uo9evb8P8JwAAAP//AwBQSwME&#10;FAAGAAgAAAAhAKVPiobeAAAACgEAAA8AAABkcnMvZG93bnJldi54bWxMj8FKxDAQhu+C7xBG8CJu&#10;0ira1qaLCAqCl+0qeJxtY1tMJqVJd7s+vSMe9DgzH/98f7lenBV7M4XBk4ZkpUAYanw7UKfhdft4&#10;mYEIEalF68loOJoA6+r0pMSi9QfamH0dO8EhFArU0Mc4FlKGpjcOw8qPhvj24SeHkcepk+2EBw53&#10;VqZK3UiHA/GHHkfz0Jvms56dhqhoWw/z+3N8OuZf6iW1Ci/etD4/W+7vQESzxD8YfvRZHSp22vmZ&#10;2iCshuw6TxjVkF7dgmDgd7FjMktykFUp/1eovgEAAP//AwBQSwECLQAUAAYACAAAACEAtoM4kv4A&#10;AADhAQAAEwAAAAAAAAAAAAAAAAAAAAAAW0NvbnRlbnRfVHlwZXNdLnhtbFBLAQItABQABgAIAAAA&#10;IQA4/SH/1gAAAJQBAAALAAAAAAAAAAAAAAAAAC8BAABfcmVscy8ucmVsc1BLAQItABQABgAIAAAA&#10;IQCoL0aCTwIAAGMEAAAOAAAAAAAAAAAAAAAAAC4CAABkcnMvZTJvRG9jLnhtbFBLAQItABQABgAI&#10;AAAAIQClT4qG3gAAAAoBAAAPAAAAAAAAAAAAAAAAAKkEAABkcnMvZG93bnJldi54bWxQSwUGAAAA&#10;AAQABADzAAAAtAUAAAAA&#10;">
                  <v:path arrowok="t"/>
                  <v:fill on="f" focussize="0,0"/>
                  <v:stroke weight="0.5pt" endarrow="block"/>
                  <v:imagedata o:title=""/>
                  <o:lock v:ext="edit"/>
                </v:shape>
              </w:pict>
            </w:r>
            <w:r>
              <w:rPr>
                <w:rFonts w:ascii="宋体" w:hAnsi="宋体"/>
                <w:bCs/>
                <w:sz w:val="24"/>
              </w:rPr>
              <w:pict>
                <v:shape id="自选图形 195" o:spid="_x0000_s1091" o:spt="32" type="#_x0000_t32" style="position:absolute;left:0pt;margin-left:244.2pt;margin-top:21.8pt;height:0pt;width:39.3pt;z-index:25166950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nTgIAAGIEAAAOAAAAZHJzL2Uyb0RvYy54bWysVM2O0zAQviPxDpbv3STdtGyjTVcoabks&#10;UGmXB3Btp7FwbMt2m1YIiRvaZ+DGkXeAt1kJ3oKx+8MuXBAiB2ccz3zzzcznXF5tO4k23DqhVYmz&#10;sxQjrqhmQq1K/OZ2PrjAyHmiGJFa8RLvuMNX06dPLntT8KFutWTcIgBRruhNiVvvTZEkjra8I+5M&#10;G67gsNG2Ix62dpUwS3pA72QyTNNx0mvLjNWUOwdf6/0hnkb8puHUv24axz2SJQZuPq42rsuwJtNL&#10;UqwsMa2gBxrkH1h0RChIeoKqiSdobcUfUJ2gVjvd+DOqu0Q3jaA81gDVZOlv1dy0xPBYCzTHmVOb&#10;3P+Dpa82C4sEK3E+xEiRDmb0/eOXHx/u7j99u//6GWWTUWhSb1wBvpVa2FAm3aobc63pW4eUrlqi&#10;VjySvd0ZAMhCRPIoJGycgVTL/qVm4EPWXseObRvbBUjoBdrGwexOg+Fbjyh8zCeTLIPx0eNRQopj&#10;nLHOv+C6Q8EosfOWiFXrK60UTF/bLGYhm2vnAytSHANCUqXnQsooAqlQX+Lx+SiNAU5LwcJhcHN2&#10;taykRRsSZBSfWCKcPHSzeq1YBGs5YbOD7YmQYCMfe+OtgG5JjkO2jjOMJIebE6w9PalCRqgcCB+s&#10;vZLeTdLJ7GJ2kQ/y4Xg2yNO6HjyfV/lgPM+ejerzuqrq7H0gn+VFKxjjKvA/qjrL/041h/u11+NJ&#10;16dGJY/RY0eB7PEdScfRh2nvdbPUbLewobqgAhBydD5cunBTHu6j169fw/QnAAAA//8DAFBLAwQU&#10;AAYACAAAACEA79S5Kd4AAAAJAQAADwAAAGRycy9kb3ducmV2LnhtbEyPQUvEMBCF74L/IYzgRdzE&#10;da21Nl1EUBC82FXwmG3GtphMSpPudv31jnjQ28y8x5vvlevZO7HDMfaBNFwsFAikJtieWg2vm4fz&#10;HERMhqxxgVDDASOsq+Oj0hQ27OkFd3VqBYdQLIyGLqWhkDI2HXoTF2FAYu0jjN4kXsdW2tHsOdw7&#10;uVQqk970xB86M+B9h81nPXkNSdGm7qf3p/R4uPlSz0unzNmb1qcn890tiIRz+jPDDz6jQ8VM2zCR&#10;jcJpWOX5iq08XGYg2HCVXXO57e9BVqX836D6BgAA//8DAFBLAQItABQABgAIAAAAIQC2gziS/gAA&#10;AOEBAAATAAAAAAAAAAAAAAAAAAAAAABbQ29udGVudF9UeXBlc10ueG1sUEsBAi0AFAAGAAgAAAAh&#10;ADj9If/WAAAAlAEAAAsAAAAAAAAAAAAAAAAALwEAAF9yZWxzLy5yZWxzUEsBAi0AFAAGAAgAAAAh&#10;AL+B8adOAgAAYgQAAA4AAAAAAAAAAAAAAAAALgIAAGRycy9lMm9Eb2MueG1sUEsBAi0AFAAGAAgA&#10;AAAhAO/UuSneAAAACQEAAA8AAAAAAAAAAAAAAAAAqAQAAGRycy9kb3ducmV2LnhtbFBLBQYAAAAA&#10;BAAEAPMAAACzBQAAAAA=&#10;">
                  <v:path arrowok="t"/>
                  <v:fill on="f" focussize="0,0"/>
                  <v:stroke weight="0.5pt" endarrow="block"/>
                  <v:imagedata o:title=""/>
                  <o:lock v:ext="edit"/>
                </v:shape>
              </w:pict>
            </w:r>
            <w:r>
              <w:rPr>
                <w:rFonts w:ascii="宋体" w:hAnsi="宋体"/>
                <w:bCs/>
                <w:sz w:val="24"/>
              </w:rPr>
              <w:pict>
                <v:rect id="矩形 175" o:spid="_x0000_s1048" o:spt="1" style="position:absolute;left:0pt;margin-left:74.5pt;margin-top:5.4pt;height:20.7pt;width:36.75pt;z-index:25165004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HD0xgIAALgFAAAOAAAAZHJzL2Uyb0RvYy54bWysVF1u1DAQfkfiDpbf0/w0m02iZquSbBBS&#10;gUqFA3gTZ2OR2MH2brYgzoLEG4fgOIhrMPb+ty8IyENke8bfzDfzea6uN32H1lQqJniG/QsPI8or&#10;UTO+zPD7d6UTY6Q04TXpBKcZfqAKX8+eP7sah5QGohVdTSUCEK7Scchwq/WQuq6qWtoTdSEGysHY&#10;CNkTDVu5dGtJRkDvOzfwvMgdhawHKSqqFJwWWyOeWfymoZV+2zSKatRlGHLT9i/tf2H+7uyKpEtJ&#10;hpZVuzTIX2TRE8Yh6AGqIJqglWRPoHpWSaFEoy8q0buiaVhFLQdg43uP2Ny3ZKCWCxRHDYcyqf8H&#10;W71Z30nE6gyHPkac9NCjX1+///zxDfnTiSnPOKgUvO6HO2kIquFWVB8U4iJvCV/SGynF2FJSQ1K+&#10;8XfPLpiNgqtoMb4WNYCTlRa2UptG9gYQaoA2tiEPh4bQjUYVHIZRNA0mGFVgCqIgTmzDXJLuLw9S&#10;6ZdU9MgsMiyh3xacrG+VNsmQdO9iYnFRsq6zPe/42QE4bk8gNFw1NpOEbeHnxEvm8TwOnTCI5k7o&#10;FYVzU+ahE5VQo+KyyPPC/2Li+mHasrqm3ITZy8kP/6xdO2FvhXAQlBIdqw2cSUnJ5SLvJFoTkHNp&#10;P1tysBzd3PM0bBGAyyNKfhB6L4LEKaN46oRlOHGSqRc7np+8SCIvTMKiPKd0yzj9d0poBJlMYpCW&#10;5XPM+hG56WWS55dPyZG0ZxomRsf6DMee+YwTSY0E57y2a01Yt12f1MLkf6wF9HvfaStYo9Gt1vVm&#10;sbEPIggMshHwQtQPIGEpQGIwRGDcwaIV8hNGI4yODKuPKyIpRt0rDs8g8cPQzBq7CSfTADby1LI4&#10;tRBeAVSGNUbbZa6382k1SLZsIZJva8XFDTydhllZH7PaPTgYD5bcbpSZ+XO6t17HgTv7DQAA//8D&#10;AFBLAwQUAAYACAAAACEArW3FPtsAAAAJAQAADwAAAGRycy9kb3ducmV2LnhtbEyPwU7DMBBE70j8&#10;g7VI3KhTiyAa4lRVJYQ4UhDnbbwkEfE6td028PUsJ7jtaEcz8+r17Ed1opiGwBaWiwIUcRvcwJ2F&#10;t9fHm3tQKSM7HAOThS9KsG4uL2qsXDjzC512uVMSwqlCC33OU6V1anvymBZhIpbfR4ges8jYaRfx&#10;LOF+1KYo7rTHgaWhx4m2PbWfu6O38P3uDnHZ+kGvNuZJH2IZttOztddX8+YBVKY5/5nhd75Mh0Y2&#10;7cORXVKj6NuVsGQ5CkEQgzGmBLW3UBoDuqn1f4LmBwAA//8DAFBLAQItABQABgAIAAAAIQC2gziS&#10;/gAAAOEBAAATAAAAAAAAAAAAAAAAAAAAAABbQ29udGVudF9UeXBlc10ueG1sUEsBAi0AFAAGAAgA&#10;AAAhADj9If/WAAAAlAEAAAsAAAAAAAAAAAAAAAAALwEAAF9yZWxzLy5yZWxzUEsBAi0AFAAGAAgA&#10;AAAhADLUcPTGAgAAuAUAAA4AAAAAAAAAAAAAAAAALgIAAGRycy9lMm9Eb2MueG1sUEsBAi0AFAAG&#10;AAgAAAAhAK1txT7bAAAACQEAAA8AAAAAAAAAAAAAAAAAIAUAAGRycy9kb3ducmV2LnhtbFBLBQYA&#10;AAAABAAEAPMAAAAoBgAAAAA=&#10;">
                  <v:path/>
                  <v:fill on="f" focussize="0,0"/>
                  <v:stroke on="f" weight="1.25pt" color="#739CC3"/>
                  <v:imagedata o:title=""/>
                  <o:lock v:ext="edit"/>
                  <v:textbox>
                    <w:txbxContent>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rect id="矩形 214" o:spid="_x0000_s1049" o:spt="1" style="position:absolute;left:0pt;margin-left:380.3pt;margin-top:9.6pt;height:29.45pt;width:44.25pt;z-index:251688960;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OV/wIAADcGAAAOAAAAZHJzL2Uyb0RvYy54bWysVM2O0zAQviPxDpbv2Sat0zbRpmjbNAhp&#10;gZUWxNlNnMQisYPtbrogngWJGw/B4yBeg7HTdtvlgoAcIo89v983M5fPdm2D7pjSXIoEBxc+Rkzk&#10;suCiSvDbN5k3x0gbKgraSMESfM80frZ4+uSy72I2lrVsCqYQOBE67rsE18Z08Wik85q1VF/Ijgl4&#10;LKVqqQFRVaNC0R68t81o7PvTUS9V0SmZM63hNh0e8cL5L0uWm9dlqZlBTYIhN+P+yv039j9aXNK4&#10;UrSreb5Pg/5FFi3lAoIeXaXUULRV/DdXLc+V1LI0F7lsR7Isec5cDVBN4D+q5ramHXO1ADi6O8Kk&#10;/5/b/NXdjUK8SDABeARtgaOfX779+P4VjQNi4ek7HYPWbXejbIG6u5b5e42EXNVUVOxKKdnXjBaQ&#10;VGD1R2cGVtBgijb9S1mAc7o10iG1K1VrHQIGaOcIuT8SwnYG5XAZToNoFmKUw9NkRvwgdBFofDDu&#10;lDbPmWyRPSRYAd/OOb271sYmQ+ODio0lZMabxnHeiLMLUBxuIDSY2jebhKPwU+RH6/l6Tjwynq49&#10;4qepd5WtiDfNglmYTtLVKg0+27gBiWteFEzYMId2Csif0bVv7KERThuqcN6UNO+4qV1PWKBsipXe&#10;51pp1ElgYLjWqtqsGoXuKHT9cpmGmWt0qLHSg9mgHfj2c57OTKLVcr0+NXGW+1ANFwiIB3LIYD7A&#10;DDPk8rSYn8HgSAAsH0EajIm/HEdeNp3PPJKR0Itm/tzzg2gZTX0SkTQ7h/SaC/bvkKI+wdNJuC9a&#10;NnyfNDT2KWiusgMC+lSt5QYWVsPbBM+P9dPYTsBaFK61DOXNcD6Bwqb/AAUAemg0Ny92RIZRM7vN&#10;zs3jeHKYvo0s7mGCoAEswXbbwqGW6iNGPWyuBOsPW6oYRs0LAT0QBcTOsnECCWdjENTpy+b0hYoc&#10;XCXYYGDVHldmWI/bTvGqhkiBaxAhr2ByS+6myk71kBWUZAXYTq64/Sa16+9UdloP+37xCwAA//8D&#10;AFBLAwQUAAYACAAAACEAMoc/9d0AAAAJAQAADwAAAGRycy9kb3ducmV2LnhtbEyPwU7DMBBE70j8&#10;g7VI3KidFkKSxqlQEaeeWpC4urGbRI3Xqe2k4e9ZTvS4eqOZt+Vmtj2bjA+dQwnJQgAzWDvdYSPh&#10;6/PjKQMWokKteodGwo8JsKnu70pVaHfFvZkOsWFUgqFQEtoYh4LzULfGqrBwg0FiJ+etinT6hmuv&#10;rlRue74UIuVWdUgLrRrMtjX1+TBaCe+r/TTumpx/n7Z8tXvxl0m4i5SPD/PbGlg0c/wPw58+qUNF&#10;Tkc3og6sl/CaipSiBPIlMApkz3kC7EgkS4BXJb/9oPoFAAD//wMAUEsBAi0AFAAGAAgAAAAhALaD&#10;OJL+AAAA4QEAABMAAAAAAAAAAAAAAAAAAAAAAFtDb250ZW50X1R5cGVzXS54bWxQSwECLQAUAAYA&#10;CAAAACEAOP0h/9YAAACUAQAACwAAAAAAAAAAAAAAAAAvAQAAX3JlbHMvLnJlbHNQSwECLQAUAAYA&#10;CAAAACEA0XbTlf8CAAA3BgAADgAAAAAAAAAAAAAAAAAuAgAAZHJzL2Uyb0RvYy54bWxQSwECLQAU&#10;AAYACAAAACEAMoc/9d0AAAAJAQAADwAAAAAAAAAAAAAAAABZBQAAZHJzL2Rvd25yZXYueG1sUEsF&#10;BgAAAAAEAAQA8wAAAGMGAAAAAA==&#10;">
                  <v:path/>
                  <v:fill type="gradient" on="f" color2="#9CBEE0" focus="100%" focussize="0f,0f">
                    <o:fill type="gradientUnscaled" v:ext="backwardCompatible"/>
                  </v:fill>
                  <v:stroke on="f" weight="0.5pt"/>
                  <v:imagedata o:title=""/>
                  <o:lock v:ext="edit"/>
                  <v:textbox>
                    <w:txbxContent>
                      <w:p>
                        <w:r>
                          <w:rPr>
                            <w:rFonts w:hint="eastAsia"/>
                          </w:rPr>
                          <w:t>311.7</w:t>
                        </w:r>
                      </w:p>
                    </w:txbxContent>
                  </v:textbox>
                </v:rect>
              </w:pict>
            </w:r>
            <w:r>
              <w:rPr>
                <w:rFonts w:ascii="宋体" w:hAnsi="宋体"/>
                <w:bCs/>
                <w:sz w:val="24"/>
              </w:rPr>
              <w:pict>
                <v:rect id="矩形 182" o:spid="_x0000_s1050" o:spt="1" style="position:absolute;left:0pt;margin-left:163pt;margin-top:9.6pt;height:22.95pt;width:61.55pt;z-index:251657216;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ZwaBAMAADgGAAAOAAAAZHJzL2Uyb0RvYy54bWysVM2O0zAQviPxDpbv2SZp0ibRpmibtAhp&#10;gZUWxNlNnMQisYPtbrogngWJGw/B4yBeg7HTdtvlgoAcIo89v998M5fPdl2L7qhUTPAUexcuRpQX&#10;omS8TvHbN2snwkhpwkvSCk5TfE8VfrZ4+uRy6BPqi0a0JZUInHCVDH2KG637ZDJRRUM7oi5ETzk8&#10;VkJ2RIMo60kpyQDeu3biu+5sMghZ9lIUVCm4zcdHvLD+q4oW+nVVKapRm2LITdu/tP+N+U8WlySp&#10;JekbVuzTIH+RRUcYh6BHVznRBG0l+81VxwoplKj0RSG6iagqVlBbA1TjuY+quW1IT20tAI7qjzCp&#10;/+e2eHV3IxErUzyNMeKkgx79/PLtx/evyIt8A8/QqwS0bvsbaQpU/bUo3ivERdYQXtMrKcXQUFJC&#10;Up7Rn5wZGEGBKdoML0UJzslWC4vUrpKdcQgYoJ1tyP2xIXSnUQGX88ibRSFGBTz5sRfMQhuBJAfj&#10;Xir9nIoOmUOKJfTbOid310qbZEhyUDGxuFiztrU9b/nZBSiONxAaTM2bScK28FPsxqtoFQVO4M9W&#10;TuDmuXO1zgJntvbmYT7Nsyz3Ppu4XpA0rCwpN2EOdPKCP2vXntgjEU4JVVpvUuh3TDeWEwYok2Kt&#10;9rnWCvUCOjBeK1lvslaiOwKsXy7zcG2JDjXWajQbtT3XfNbTmUmcLVerUxNruQ/VMo6g8SkOg9F8&#10;hBlmyOZpMD+DwTYBsHwEqecH7tKPnfUsmjvBOgideO5GjuvFy3jmBnGQr88hvWac/jukaACahtE8&#10;HKsWLdtnDcw+RW0+jbNsumebOlXrmIaN1bIuxdERAJKYEVjx0nJLE9aO5xMsTP4PWACiB6bZgTEz&#10;Ms6a3m12diD94DB+G1HewwgBA0yHzbqFQyPkR4wGWF0pVh+2RFKM2hccSACDEphdZ4UgnPsgyNOX&#10;zekL4QW4SrHG0FZzzPS4H7e9ZHUDkTyLFRdXMLoVs2NlxnrMCkoyAqwnW9x+lZr9dypbrYeFv/gF&#10;AAD//wMAUEsDBBQABgAIAAAAIQCr1Mtx3gAAAAkBAAAPAAAAZHJzL2Rvd25yZXYueG1sTI/NboMw&#10;EITvlfoO1kbqrTHQFDUUE1WRqv4cIuXnAQzeAApeE+wE8vbdntrjaEYz3+SryXbiioNvHSmI5xEI&#10;pMqZlmoFh/374wsIHzQZ3TlCBTf0sCru73KdGTfSFq+7UAsuIZ9pBU0IfSalrxq02s9dj8Te0Q1W&#10;B5ZDLc2gRy63nUyiKJVWt8QLje5x3WB12l2sgvHrcNx8VFjG372lcx3hLXyiUg+z6e0VRMAp/IXh&#10;F5/RoWCm0l3IeNEpeEpS/hLYWCYgOLBYLGMQpYL0OQZZ5PL/g+IHAAD//wMAUEsBAi0AFAAGAAgA&#10;AAAhALaDOJL+AAAA4QEAABMAAAAAAAAAAAAAAAAAAAAAAFtDb250ZW50X1R5cGVzXS54bWxQSwEC&#10;LQAUAAYACAAAACEAOP0h/9YAAACUAQAACwAAAAAAAAAAAAAAAAAvAQAAX3JlbHMvLnJlbHNQSwEC&#10;LQAUAAYACAAAACEA+tWcGgQDAAA4BgAADgAAAAAAAAAAAAAAAAAuAgAAZHJzL2Uyb0RvYy54bWxQ&#10;SwECLQAUAAYACAAAACEAq9TLcd4AAAAJAQAADwAAAAAAAAAAAAAAAABeBQAAZHJzL2Rvd25yZXYu&#10;eG1sUEsFBgAAAAAEAAQA8wAAAGkGAAAAAA==&#10;">
                  <v:path/>
                  <v:fill type="gradient" on="f" color2="#9CBEE0" focus="100%" focussize="0f,0f">
                    <o:fill type="gradientUnscaled" v:ext="backwardCompatible"/>
                  </v:fill>
                  <v:stroke on="f" weight="1.25pt" color="#739CC3"/>
                  <v:imagedata o:title=""/>
                  <o:lock v:ext="edit"/>
                  <v:textbox>
                    <w:txbxContent>
                      <w:p>
                        <w:r>
                          <w:rPr>
                            <w:rFonts w:hint="eastAsia"/>
                          </w:rPr>
                          <w:t>损耗0.4</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rect id="矩形 147" o:spid="_x0000_s1051" o:spt="1" style="position:absolute;left:0pt;margin-left:160.7pt;margin-top:22.8pt;height:43.7pt;width:83.5pt;z-index:2516254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pqmNgIAAE8EAAAOAAAAZHJzL2Uyb0RvYy54bWysVF2O0zAQfkfiDpbfaZJu2t1GTVerLkVI&#10;C6y0cADXcRoLxzZjt0m5DNK+cQiOg7gGY6ct5Uc8IPJgeeLxl2++bybz675VZCfASaNLmo1SSoTm&#10;ppJ6U9J3b1fPrihxnumKKaNFSffC0evF0yfzzhZibBqjKgEEQbQrOlvSxntbJInjjWiZGxkrNB7W&#10;BlrmMYRNUgHrEL1VyThNp0lnoLJguHAO394Oh3QR8etacP+mrp3wRJUUufm4QlzXYU0Wc1ZsgNlG&#10;8gMN9g8sWiY1fvQEdcs8I1uQv0G1koNxpvYjbtrE1LXkItaA1WTpL9U8NMyKWAuK4+xJJvf/YPnr&#10;3T0QWZX0Ap3SrEWPvn36/PXLI8nyyyBPZ12BWQ/2HkKBzt4Z/t4RbZYN0xtxA2C6RrAKSWUhP/np&#10;QggcXiXr7pWpEJxtvYlK9TW0ARA1IH00ZH8yRPSecHyZpdM0n6BvHM8mk3w2i44lrDjetuD8C2Fa&#10;EjYlBTQ8orPdnfOBDSuOKZG9UbJaSaViAJv1UgHZMWyOVXxiAVjkeZrSpCvp9AJ5/B0ijc+fIFrp&#10;scuVbEt6dUpiRZDtua5iD3om1bBHykofdAzSDRb4ft1Hn8aToytrU+1RWTBDV+MU4qYx8JGSDju6&#10;pO7DloGgRL3U6M4sy/MwAjHIJ5djDOD8ZH1+wjRHqJJ6Sobt0g9js7UgNw1+KYtyaHODjtYyih3c&#10;Hlgd+GPXRg8OExbG4jyOWT/+A4vvAAAA//8DAFBLAwQUAAYACAAAACEAjHfbWd4AAAAKAQAADwAA&#10;AGRycy9kb3ducmV2LnhtbEyPwU7DMAyG70i8Q+RJ3Fi6tUxVaTqNCU6cGEi7po3XljVOlWRb2dNj&#10;Tuxo+9Pv7y/Xkx3EGX3oHSlYzBMQSI0zPbUKvj7fHnMQIWoyenCECn4wwLq6vyt1YdyFPvC8i63g&#10;EAqFVtDFOBZShqZDq8PcjUh8OzhvdeTRt9J4feFwO8hlkqyk1T3xh06PuO2wOe5OVoH7fnnd95v9&#10;dnz3MrXXq4x1c1DqYTZtnkFEnOI/DH/6rA4VO9XuRCaIQUG6XGSMKsieViAYyPKcFzWTaZqArEp5&#10;W6H6BQAA//8DAFBLAQItABQABgAIAAAAIQC2gziS/gAAAOEBAAATAAAAAAAAAAAAAAAAAAAAAABb&#10;Q29udGVudF9UeXBlc10ueG1sUEsBAi0AFAAGAAgAAAAhADj9If/WAAAAlAEAAAsAAAAAAAAAAAAA&#10;AAAALwEAAF9yZWxzLy5yZWxzUEsBAi0AFAAGAAgAAAAhAAg2mqY2AgAATwQAAA4AAAAAAAAAAAAA&#10;AAAALgIAAGRycy9lMm9Eb2MueG1sUEsBAi0AFAAGAAgAAAAhAIx321neAAAACgEAAA8AAAAAAAAA&#10;AAAAAAAAkAQAAGRycy9kb3ducmV2LnhtbFBLBQYAAAAABAAEAPMAAACbBQAAAAA=&#10;">
                  <v:path/>
                  <v:fill focussize="0,0"/>
                  <v:stroke weight="0.5pt"/>
                  <v:imagedata o:title=""/>
                  <o:lock v:ext="edit"/>
                  <v:textbox>
                    <w:txbxContent>
                      <w:p>
                        <w:pPr>
                          <w:rPr>
                            <w:rFonts w:ascii="宋体" w:hAnsi="宋体"/>
                            <w:szCs w:val="21"/>
                          </w:rPr>
                        </w:pPr>
                        <w:r>
                          <w:rPr>
                            <w:rFonts w:hint="eastAsia" w:ascii="宋体" w:hAnsi="宋体"/>
                            <w:szCs w:val="21"/>
                          </w:rPr>
                          <w:t>会议、休闲、</w:t>
                        </w:r>
                      </w:p>
                      <w:p>
                        <w:r>
                          <w:rPr>
                            <w:rFonts w:hint="eastAsia" w:ascii="宋体" w:hAnsi="宋体"/>
                            <w:szCs w:val="21"/>
                          </w:rPr>
                          <w:t>娱乐室用水</w:t>
                        </w:r>
                      </w:p>
                    </w:txbxContent>
                  </v:textbox>
                </v:rect>
              </w:pict>
            </w:r>
            <w:r>
              <w:rPr>
                <w:rFonts w:ascii="宋体" w:hAnsi="宋体"/>
                <w:bCs/>
                <w:sz w:val="24"/>
              </w:rPr>
              <w:pict>
                <v:shape id="自选图形 158" o:spid="_x0000_s1090" o:spt="32" type="#_x0000_t32" style="position:absolute;left:0pt;flip:y;margin-left:180.05pt;margin-top:4.25pt;height:18.6pt;width:15.65pt;z-index:2516336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6WIZgIAAIwEAAAOAAAAZHJzL2Uyb0RvYy54bWysVMuO0zAU3SPxD5b3nSR9TSeadISSls0A&#10;lWZg79pOY+HYlu1pWiEkdohvYMeSf4C/GQn+gmun05mBDUJk4VznPnzu8bk5v9i1Em25dUKrAmcn&#10;KUZcUc2E2hT49fVyMMPIeaIYkVrxAu+5wxfzp0/OO5PzoW60ZNwiKKJc3pkCN96bPEkcbXhL3Ik2&#10;XIGz1rYlHrZ2kzBLOqjeymSYptOk05YZqyl3Dr5WvRPPY/265tS/qmvHPZIFBmw+rjau67Am83OS&#10;bywxjaAHGOQfULREKDj0WKoinqAbK/4o1QpqtdO1P6G6TXRdC8pjD9BNlv7WzVVDDI+9ADnOHGly&#10;/68sfbldWSRYgUenGCnSwh39+Pj154dPt5+/3377grLJLJDUGZdDbKlWNrRJd+rKXGr61iGly4ao&#10;DY9gr/cGCmQhI3mUEjbOwFHr7oVmEENuvI6M7WrboloK8yYkhuLACtrFK9ofr4jvPKLwMTubnU4m&#10;GFFwDUfT4TBeYULyUCYkG+v8c65bFIwCO2+J2DS+1EqBGLTtjyDbS+cDyPuEkKz0UkgZNSEV6go8&#10;HU3SiMlpKVhwhjBnN+tSWrQlQVXxiR2D52FYQFAR1/RxDKxK+15xVt8oFs9pOGGLg+2JkGAjH1n0&#10;VgCvkuMApOUMI8lhxoLVI5cqgAFmoJeD1Wvu3Vl6tpgtZuPBeDhdDMZpVQ2eLcvxYLrMTifVqCrL&#10;Knsf+srGeSMY4yq0dqf/bPx3+jpMYq/c4wQcOUweV49kA9i7dwQdRRJ00Stsrdl+ZUN3QS8g+Rh8&#10;GM8wUw/3Mer+JzL/BQAA//8DAFBLAwQUAAYACAAAACEAkJDXVt8AAAAIAQAADwAAAGRycy9kb3du&#10;cmV2LnhtbEyPwU7DMBBE70j8g7VI3KiTtA0lZFOhSkhcQCX0wHEbL3HU2I5itwl/jznBcTSjmTfl&#10;dja9uPDoO2cR0kUCgm3jVGdbhMPH890GhA9kFfXOMsI3e9hW11clFcpN9p0vdWhFLLG+IAQdwlBI&#10;6RvNhvzCDWyj9+VGQyHKsZVqpCmWm15mSZJLQ52NC5oG3mluTvXZIOz2s5H01qTZZ/466ZdwqrP2&#10;gHh7Mz89ggg8h78w/OJHdKgi09GdrfKiR1jmSRqjCJs1iOgvH9IViCPCan0Psirl/wPVDwAAAP//&#10;AwBQSwECLQAUAAYACAAAACEAtoM4kv4AAADhAQAAEwAAAAAAAAAAAAAAAAAAAAAAW0NvbnRlbnRf&#10;VHlwZXNdLnhtbFBLAQItABQABgAIAAAAIQA4/SH/1gAAAJQBAAALAAAAAAAAAAAAAAAAAC8BAABf&#10;cmVscy8ucmVsc1BLAQItABQABgAIAAAAIQCN36WIZgIAAIwEAAAOAAAAAAAAAAAAAAAAAC4CAABk&#10;cnMvZTJvRG9jLnhtbFBLAQItABQABgAIAAAAIQCQkNdW3wAAAAgBAAAPAAAAAAAAAAAAAAAAAMAE&#10;AABkcnMvZG93bnJldi54bWxQSwUGAAAAAAQABADzAAAAzAUAAAAA&#10;">
                  <v:path arrowok="t"/>
                  <v:fill on="f" focussize="0,0"/>
                  <v:stroke weight="0.5pt" dashstyle="dashDo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shape id="自选图形 166" o:spid="_x0000_s1089" o:spt="32" type="#_x0000_t32" style="position:absolute;left:0pt;margin-left:118.1pt;margin-top:19.55pt;height:0pt;width:44.55pt;z-index:25164083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ql8TgIAAGIEAAAOAAAAZHJzL2Uyb0RvYy54bWysVM2O0zAQviPxDpbv3ST9yXajpiuUtFwW&#10;WGmXB3Btp7FwbMv2Nq0QEjfEM3DjyDvA26wEb8HY/WEXLgiRgzOOZ775ZuZzZpfbTqINt05oVeLs&#10;LMWIK6qZUOsSv75dDqYYOU8UI1IrXuIdd/hy/vTJrDcFH+pWS8YtAhDlit6UuPXeFEniaMs74s60&#10;4QoOG2074mFr1wmzpAf0TibDNM2TXltmrKbcOfha7w/xPOI3Daf+VdM47pEsMXDzcbVxXYU1mc9I&#10;sbbEtIIeaJB/YNERoSDpCaomnqA7K/6A6gS12unGn1HdJbppBOWxBqgmS3+r5qYlhsdaoDnOnNrk&#10;/h8sfbm5tkiwEo9yjBTpYEbfP3z58f7j/adv918/oyzPQ5N64wrwrdS1DWXSrboxV5q+cUjpqiVq&#10;zSPZ250BgCxEJI9CwsYZSLXqX2gGPuTO69ixbWO7AAm9QNs4mN1pMHzrEYWPk3xyPp1gRI9HCSmO&#10;ccY6/5zrDgWjxM5bItatr7RSMH1ts5iFbK6cD6xIcQwISZVeCimjCKRCfYnz0SSNAU5LwcJhcHN2&#10;vaqkRRsSZBSfWCKcPHSz+k6xCNZywhYH2xMhwUY+9sZbAd2SHIdsHWcYSQ43J1h7elKFjFA5ED5Y&#10;eyW9vUgvFtPFdDwYD/PFYJzW9eDZshoP8mV2PqlHdVXV2btAPhsXrWCMq8D/qOps/HeqOdyvvR5P&#10;uj41KnmMHjsKZI/vSDqOPkx7r5uVZrtrG6oLKgAhR+fDpQs35eE+ev36Ncx/AgAA//8DAFBLAwQU&#10;AAYACAAAACEA76FqhN4AAAAJAQAADwAAAGRycy9kb3ducmV2LnhtbEyPwUrEMBCG74LvEEbwIm6y&#10;KS5ubbqIoCB4savgcbYZ22IzKU262/XpjXhYjzPz8c/3F5vZ9WJPY+g8G1guFAji2tuOGwNv28fr&#10;WxAhIlvsPZOBIwXYlOdnBebWH/iV9lVsRArhkKOBNsYhlzLULTkMCz8Qp9unHx3GNI6NtCMeUrjr&#10;pVZqJR12nD60ONBDS/VXNTkDUfG26qaP5/h0XH+rF90rvHo35vJivr8DEWmOJxh+9ZM6lMlp5ye2&#10;QfQGdLbSCTWQrZcgEpDpmwzE7m8hy0L+b1D+AAAA//8DAFBLAQItABQABgAIAAAAIQC2gziS/gAA&#10;AOEBAAATAAAAAAAAAAAAAAAAAAAAAABbQ29udGVudF9UeXBlc10ueG1sUEsBAi0AFAAGAAgAAAAh&#10;ADj9If/WAAAAlAEAAAsAAAAAAAAAAAAAAAAALwEAAF9yZWxzLy5yZWxzUEsBAi0AFAAGAAgAAAAh&#10;ABaOqXxOAgAAYgQAAA4AAAAAAAAAAAAAAAAALgIAAGRycy9lMm9Eb2MueG1sUEsBAi0AFAAGAAgA&#10;AAAhAO+haoTeAAAACQEAAA8AAAAAAAAAAAAAAAAAqAQAAGRycy9kb3ducmV2LnhtbFBLBQYAAAAA&#10;BAAEAPMAAACzBQAAAAA=&#10;">
                  <v:path arrowok="t"/>
                  <v:fill on="f" focussize="0,0"/>
                  <v:stroke weight="0.5pt" endarrow="block"/>
                  <v:imagedata o:title=""/>
                  <o:lock v:ext="edit"/>
                </v:shape>
              </w:pict>
            </w:r>
            <w:r>
              <w:rPr>
                <w:rFonts w:ascii="宋体" w:hAnsi="宋体"/>
                <w:bCs/>
                <w:sz w:val="24"/>
              </w:rPr>
              <w:pict>
                <v:rect id="矩形 183" o:spid="_x0000_s1052" o:spt="1" style="position:absolute;left:0pt;margin-left:118.45pt;margin-top:1.85pt;height:19.25pt;width:36.35pt;z-index:251658240;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nQfBAMAADgGAAAOAAAAZHJzL2Uyb0RvYy54bWysVMuO0zAU3SPxD5b3mSSt+0g0KZomLUIa&#10;YKQBsXYTJ7FI7GC7kw6Ib0Fix0fwOYjf4NppO+2wQUAWka99H+ee+7h8tmsbdMeU5lIkOLwIMGIi&#10;lwUXVYLfvll7c4y0oaKgjRQswfdM42eLp08u+y5mI1nLpmAKgROh475LcG1MF/u+zmvWUn0hOybg&#10;sZSqpQZEVfmFoj14bxt/FARTv5eq6JTMmdZwmw2PeOH8lyXLzeuy1MygJsGAzbi/cv+N/fuLSxpX&#10;inY1z/cw6F+gaCkXEPToKqOGoq3iv7lqea6klqW5yGXry7LkOXM5QDZh8Cib25p2zOUC5OjuSJP+&#10;f27zV3c3CvEiweMJRoK2UKOfX779+P4VhfOxpafvdAxat92Nsgnq7lrm7zUSMq2pqNiVUrKvGS0A&#10;VGj1/TMDK2gwRZv+pSzAOd0a6Zjalaq1DoEDtHMFuT8WhO0MyuGSTMMpAVw5PI0IIbOJi0Djg3Gn&#10;tHnOZIvsIcEK6u2c07trbSwYGh9UbCwh17xpXM0bcXYBisMNhAZT+2ZBuBJ+ioJoNV/NiUdG05VH&#10;gizzrtYp8abrcDbJxlmaZuFnGzckcc2Lggkb5tBOIfmzcu0be2iE04YqnDclzTtuatcTligLsdJ7&#10;rJVGnYQKDNdaVZu0UeiOQtcvl9lk7Rodcqz0YDZoh4H9nKczkyhdrlanJs5yH6rhAkHhEzwhg/lA&#10;M8yQw2k5P6PBFQG4fERpOCLBchR56+l85pE1mXjRLJh7QRgto2lAIpKtzym95oL9O6WohzadzKGR&#10;LB4tG75HDcIpa7NxlKau/yH3M7WWG9hYDW8TPD8SQGM7AitRuN4ylDfD+YQLi/+BC/B66DQ3MHZG&#10;hlkzu83ODeRoehi/jSzuYYSgA2yF7bqFQy3VR4x6WF0J1h+2VDGMmhcCmiAKCbG7zglkMhuBoE5f&#10;NqcvVOTgKsEGQ1ntMTXDftx2ilc1RAodV0JeweiW3I2VHesBFaRkBVhPLrn9KrX771R2Wg8Lf/EL&#10;AAD//wMAUEsDBBQABgAIAAAAIQDv9iik3gAAAAgBAAAPAAAAZHJzL2Rvd25yZXYueG1sTI/NTsMw&#10;EITvSLyDtUjcqN0EBZpmUyEkxM+hEqUP4MTbJGq8DrHbpG+POcFxNKOZb4rNbHtxptF3jhGWCwWC&#10;uHam4wZh//Vy9wjCB81G944J4UIeNuX1VaFz4yb+pPMuNCKWsM81QhvCkEvp65as9gs3EEfv4Ear&#10;Q5RjI82op1hue5kolUmrO44LrR7ouaX6uDtZhOl9f9i+1lQtPwbL342iS3gjxNub+WkNItAc/sLw&#10;ix/RoYxMlTux8aJHSNJsFaMI6QOI6KdqlYGoEO6TBGRZyP8Hyh8AAAD//wMAUEsBAi0AFAAGAAgA&#10;AAAhALaDOJL+AAAA4QEAABMAAAAAAAAAAAAAAAAAAAAAAFtDb250ZW50X1R5cGVzXS54bWxQSwEC&#10;LQAUAAYACAAAACEAOP0h/9YAAACUAQAACwAAAAAAAAAAAAAAAAAvAQAAX3JlbHMvLnJlbHNQSwEC&#10;LQAUAAYACAAAACEAFCp0HwQDAAA4BgAADgAAAAAAAAAAAAAAAAAuAgAAZHJzL2Uyb0RvYy54bWxQ&#10;SwECLQAUAAYACAAAACEA7/YopN4AAAAIAQAADwAAAAAAAAAAAAAAAABeBQAAZHJzL2Rvd25yZXYu&#10;eG1sUEsFBgAAAAAEAAQA8wAAAGkGAAAAAA==&#10;">
                  <v:path/>
                  <v:fill type="gradient" on="f" color2="#9CBEE0" focus="100%" focussize="0f,0f">
                    <o:fill type="gradientUnscaled" v:ext="backwardCompatible"/>
                  </v:fill>
                  <v:stroke on="f" weight="1.25pt" color="#739CC3"/>
                  <v:imagedata o:title=""/>
                  <o:lock v:ext="edit"/>
                  <v:textbox>
                    <w:txbxContent>
                      <w:p>
                        <w:r>
                          <w:rPr>
                            <w:rFonts w:hint="eastAsia"/>
                          </w:rPr>
                          <w:t>2.0</w:t>
                        </w:r>
                      </w:p>
                    </w:txbxContent>
                  </v:textbox>
                </v:rect>
              </w:pict>
            </w:r>
            <w:r>
              <w:rPr>
                <w:rFonts w:ascii="宋体" w:hAnsi="宋体"/>
                <w:bCs/>
                <w:sz w:val="24"/>
              </w:rPr>
              <w:pict>
                <v:rect id="矩形 213" o:spid="_x0000_s1053" o:spt="1" style="position:absolute;left:0pt;margin-left:393.9pt;margin-top:20.85pt;height:39.85pt;width:62.05pt;z-index:251687936;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yt1zAIAAI0FAAAOAAAAZHJzL2Uyb0RvYy54bWysVM2O0zAQviPxDpbv3SRt0p9o09Vu0iKk&#10;BVZaEGc3cRILxw6223RBPAsSNx6Cx0G8BmMnLVm4IEQPrp35/Wa+mcurY8PRgSrNpEhwcOFjREUu&#10;CyaqBL95vZ0sMdKGiIJwKWiCH6jGV+unTy67NqZTWUteUIXAidBx1ya4NqaNPU/nNW2IvpAtFSAs&#10;pWqIgaeqvEKRDrw33Jv6/tzrpCpaJXOqNXzNeiFeO/9lSXPzqiw1NYgnGHIz7lTu3NnTW1+SuFKk&#10;rVk+pEH+IYuGMAFBz64yYgjaK/aHq4blSmpZmotcNp4sS5ZThwHQBP5vaO5r0lKHBYqj23OZ9P9z&#10;m7883CnEigTPQowEaaBHPz5//f7tC5oGM1uertUxaN23d8oC1O2tzN9pJGRaE1HRa6VkV1NSQFKB&#10;1fceGdiHBlO0617IApyTvZGuUsdSNdYh1AAdXUMezg2hR4Ny+LhYLv1ZhFEOosif+6vIRSDxybhV&#10;2jyjskH2kmAF/XbOyeFWG5sMiU8qNpaQW8a56zkXqEvwfBb5zkBLzgordBhVtUu5QgdiWeN+Q9xH&#10;ag0zwF3OmgQvz0oktsXYiMJFMYTx/g6ZcGGdAzbIbbj1HPm48leb5WYZTsLpfDMJ/SybXG/TcDLf&#10;Bosom2VpmgWfbJ5BGNesKKiwqZ74GoR/x4dhcnqmjRnrgCMlzVtmakc62wmbYqWHXCuNWgktHqo1&#10;LtDNTRZt3SQBxkr3Zr120JfFftJjk1V6s9mMTZzlEIozgYBZ0PHwXFUrV2RokPe4DK7LUNXTv3Pj&#10;WGiJ1xPYHHdHx/Lp4sTpnSwegJeA2qKyOwwutVQfMOpgHyRYv98TRTHizwUAXwVhaBeIe4TRYgoP&#10;NZbsxhIicnCVYIMBir2mpl86+1axqoZIgauvkNcwDyVzXLWz0mc1TBHMvAM17Ce7VMZvp/Vri65/&#10;AgAA//8DAFBLAwQUAAYACAAAACEA2FzDa98AAAAKAQAADwAAAGRycy9kb3ducmV2LnhtbEyPQU7D&#10;MBBF90jcwRokNhV1HEWkDXEqVIkDNKBK7CaxiQ3xOMRuGzg9ZgXL0X/6/029W9zIznoO1pMEsc6A&#10;aeq9sjRIeHl+utsACxFJ4ehJS/jSAXbN9VWNlfIXOuhzGweWSihUKMHEOFWch95oh2HtJ00pe/Oz&#10;w5jOeeBqxksqdyPPs+yeO7SUFgxOem90/9GenIT2UPBXmx2/rXjP9x0ZXH2uUMrbm+XxAVjUS/yD&#10;4Vc/qUOTnDp/IhXYKKHclEk9SihECSwBWyG2wLpE5qIA3tT8/wvNDwAAAP//AwBQSwECLQAUAAYA&#10;CAAAACEAtoM4kv4AAADhAQAAEwAAAAAAAAAAAAAAAAAAAAAAW0NvbnRlbnRfVHlwZXNdLnhtbFBL&#10;AQItABQABgAIAAAAIQA4/SH/1gAAAJQBAAALAAAAAAAAAAAAAAAAAC8BAABfcmVscy8ucmVsc1BL&#10;AQItABQABgAIAAAAIQDuhyt1zAIAAI0FAAAOAAAAAAAAAAAAAAAAAC4CAABkcnMvZTJvRG9jLnht&#10;bFBLAQItABQABgAIAAAAIQDYXMNr3wAAAAoBAAAPAAAAAAAAAAAAAAAAACYFAABkcnMvZG93bnJl&#10;di54bWxQSwUGAAAAAAQABADzAAAAMgYAAAAA&#10;">
                  <v:path/>
                  <v:fill type="gradient" on="f" color2="#9CBEE0" focus="100%" focussize="0f,0f">
                    <o:fill type="gradientUnscaled" v:ext="backwardCompatible"/>
                  </v:fill>
                  <v:stroke weight="0.5pt"/>
                  <v:imagedata o:title=""/>
                  <o:lock v:ext="edit"/>
                  <v:textbox>
                    <w:txbxContent>
                      <w:p>
                        <w:pPr>
                          <w:rPr>
                            <w:color w:val="000000"/>
                          </w:rPr>
                        </w:pPr>
                        <w:r>
                          <w:rPr>
                            <w:rFonts w:hint="eastAsia"/>
                            <w:color w:val="000000"/>
                          </w:rPr>
                          <w:t>洪江市污水处理厂</w:t>
                        </w:r>
                      </w:p>
                    </w:txbxContent>
                  </v:textbox>
                </v:rect>
              </w:pict>
            </w:r>
            <w:r>
              <w:rPr>
                <w:rFonts w:ascii="宋体" w:hAnsi="宋体"/>
                <w:bCs/>
                <w:sz w:val="24"/>
              </w:rPr>
              <w:pict>
                <v:rect id="矩形 180" o:spid="_x0000_s1054" o:spt="1" style="position:absolute;left:0pt;margin-left:247pt;margin-top:-0.55pt;height:21.3pt;width:36.5pt;z-index:25165516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97ulgIAAA4FAAAOAAAAZHJzL2Uyb0RvYy54bWysVF2O0zAQfkfiDpbf2/w0aZOo6Wq3pQhp&#10;gZUWDuAmTmOR2MF2my6IsyDxxiE4DuIajCftbhd4QIg8OB6P/fmbmW88vzi0DdlzbYSSOQ3GPiVc&#10;FqoUcpvTt2/Wo4QSY5ksWaMkz+kdN/Ri8fTJvO8yHqpaNSXXBECkyfoup7W1XeZ5pqh5y8xYdVyC&#10;s1K6ZRZMvfVKzXpAbxsv9P2p1ytddloV3BhYXQ1OukD8quKFfV1VhlvS5BS4WRw1jhs3eos5y7aa&#10;dbUojjTYP7BomZBw6T3UillGdlr8BtWKQiujKjsuVOupqhIFxxggmsD/JZrbmnUcY4HkmO4+Teb/&#10;wRav9jeaiDKnkwklkrVQox+fv37/9oUECaan70wGu267G+0CNN21Kt4ZItWyZnLLL7VWfc1ZCaQC&#10;l07v0QFnGDhKNv1LVQI421mFmTpUunWAkANywILc3ReEHywpYDGaTuIYylaAK5z5cYCMPJadDnfa&#10;2OdctcRNcqqh3gjO9tfGOjIsO21B8qoR5Vo0DRp6u1k2muwZaGONH/KHGM+3NdJtlsodGxCHFeAI&#10;dzifY4u1/pgGYeRfheloPU1mo2gdxaN05icjP0iv0qkfpdFq/ckRDKKsFmXJ5bWQ/KS7IPq7uh47&#10;YFAMKo/0kPw4mcUY/CP65jzK2SRdLid/irIVFvqwEW1OE999Q2e4wj6TJXaJZaIZ5t5j/phmSMLp&#10;j2lBGbjKu1Y0mT1sDiizMHHIbmmjyjsQhlZQOKgxPCIwqZX+QEkPDZlT837HNKekeSFBXGkQRa6D&#10;0YjiWQiGPvdszj1MFgCVU0vJMF3aoet3nRbbGm4KMFdSXYIgK4FieWB1lDE0HQZ1fCBcV5/buOvh&#10;GVv8BAAA//8DAFBLAwQUAAYACAAAACEAC6jPK+AAAAAJAQAADwAAAGRycy9kb3ducmV2LnhtbEyP&#10;zU7DMBCE70i8g7VI3FonVVsgxKnK3wH11FCEuLnxkkTE68h2msDTs5zguDOj2W/yzWQ7cUIfWkcK&#10;0nkCAqlypqVaweHlaXYNIkRNRneOUMEXBtgU52e5zowbaY+nMtaCSyhkWkETY59JGaoGrQ5z1yOx&#10;9+G81ZFPX0vj9cjltpOLJFlLq1viD43u8b7B6rMcrIL3pB39wQ+PsVxsq7v968Pu7flbqcuLaXsL&#10;IuIU/8Lwi8/oUDDT0Q1kgugULG+WvCUqmKUpCA6s1lcsHNlJVyCLXP5fUPwAAAD//wMAUEsBAi0A&#10;FAAGAAgAAAAhALaDOJL+AAAA4QEAABMAAAAAAAAAAAAAAAAAAAAAAFtDb250ZW50X1R5cGVzXS54&#10;bWxQSwECLQAUAAYACAAAACEAOP0h/9YAAACUAQAACwAAAAAAAAAAAAAAAAAvAQAAX3JlbHMvLnJl&#10;bHNQSwECLQAUAAYACAAAACEAkYfe7pYCAAAOBQAADgAAAAAAAAAAAAAAAAAuAgAAZHJzL2Uyb0Rv&#10;Yy54bWxQSwECLQAUAAYACAAAACEAC6jPK+AAAAAJAQAADwAAAAAAAAAAAAAAAADwBAAAZHJzL2Rv&#10;d25yZXYueG1sUEsFBgAAAAAEAAQA8wAAAP0FAAAAAA==&#10;">
                  <v:path/>
                  <v:fill focussize="0,0"/>
                  <v:stroke on="f" weight="1.25pt" color="#739CC3"/>
                  <v:imagedata o:title=""/>
                  <o:lock v:ext="edit"/>
                  <v:textbox>
                    <w:txbxContent>
                      <w:p>
                        <w:r>
                          <w:rPr>
                            <w:rFonts w:hint="eastAsia"/>
                          </w:rPr>
                          <w:t>1.6</w:t>
                        </w:r>
                      </w:p>
                    </w:txbxContent>
                  </v:textbox>
                </v:rect>
              </w:pict>
            </w:r>
            <w:r>
              <w:rPr>
                <w:rFonts w:ascii="宋体" w:hAnsi="宋体"/>
                <w:bCs/>
                <w:sz w:val="24"/>
              </w:rPr>
              <w:pict>
                <v:shape id="自选图形 196" o:spid="_x0000_s1088" o:spt="32" type="#_x0000_t32" style="position:absolute;left:0pt;margin-left:244.2pt;margin-top:20.75pt;height:0pt;width:39.3pt;z-index:25167052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VTgIAAGIEAAAOAAAAZHJzL2Uyb0RvYy54bWysVM2O0zAQviPxDpbv3SRttmyjTVcoabks&#10;UGmXB3Btp7FwbMt2m1YIiRvaZ+DGkXeAt1kJ3oKx+8MuXBAiB2ccz3zzzcznXF5tO4k23DqhVYmz&#10;sxQjrqhmQq1K/OZ2PrjAyHmiGJFa8RLvuMNX06dPLntT8KFutWTcIgBRruhNiVvvTZEkjra8I+5M&#10;G67gsNG2Ix62dpUwS3pA72QyTNNx0mvLjNWUOwdf6/0hnkb8puHUv24axz2SJQZuPq42rsuwJtNL&#10;UqwsMa2gBxrkH1h0RChIeoKqiSdobcUfUJ2gVjvd+DOqu0Q3jaA81gDVZOlv1dy0xPBYCzTHmVOb&#10;3P+Dpa82C4sEK/FoiJEiHczo+8cvPz7c3X/6dv/1M8om49Ck3rgCfCu1sKFMulU35lrTtw4pXbVE&#10;rXgke7szAJCFiORRSNg4A6mW/UvNwIesvY4d2za2C5DQC7SNg9mdBsO3HlH4mE8mWQbjo8ejhBTH&#10;OGOdf8F1h4JRYuctEavWV1opmL62WcxCNtfOB1akOAaEpErPhZRRBFKhvsTj0XkaA5yWgoXD4Obs&#10;allJizYkyCg+sUQ4eehm9VqxCNZywmYH2xMhwUY+9sZbAd2SHIdsHWcYSQ43J1h7elKFjFA5ED5Y&#10;eyW9m6ST2cXsIh/kw/FskKd1PXg+r/LBeJ49O69HdVXV2ftAPsuLVjDGVeB/VHWW/51qDvdrr8eT&#10;rk+NSh6jx44C2eM7ko6jD9Pe62ap2W5hQ3VBBSDk6Hy4dOGmPNxHr1+/hulPAAAA//8DAFBLAwQU&#10;AAYACAAAACEAS3dQ/t8AAAAJAQAADwAAAGRycy9kb3ducmV2LnhtbEyPQUvDQBCF74L/YRnBi9jd&#10;lrbGmE0RQUHw0lTB4zS7JsHd2ZDdtKm/3hEPepuZ93jzvWIzeScOdohdIA3zmQJhqQ6mo0bD6+7x&#10;OgMRE5JBF8hqONkIm/L8rMDchCNt7aFKjeAQijlqaFPqcylj3VqPcRZ6S6x9hMFj4nVopBnwyOHe&#10;yYVSa+mxI/7QYm8fWlt/VqPXkBTtqm58f05Pp9sv9bJwCq/etL68mO7vQCQ7pT8z/OAzOpTMtA8j&#10;mSichmWWLdnKw3wFgg2r9Q2X2/8eZFnI/w3KbwAAAP//AwBQSwECLQAUAAYACAAAACEAtoM4kv4A&#10;AADhAQAAEwAAAAAAAAAAAAAAAAAAAAAAW0NvbnRlbnRfVHlwZXNdLnhtbFBLAQItABQABgAIAAAA&#10;IQA4/SH/1gAAAJQBAAALAAAAAAAAAAAAAAAAAC8BAABfcmVscy8ucmVsc1BLAQItABQABgAIAAAA&#10;IQBRC/rVTgIAAGIEAAAOAAAAAAAAAAAAAAAAAC4CAABkcnMvZTJvRG9jLnhtbFBLAQItABQABgAI&#10;AAAAIQBLd1D+3wAAAAkBAAAPAAAAAAAAAAAAAAAAAKgEAABkcnMvZG93bnJldi54bWxQSwUGAAAA&#10;AAQABADzAAAAtAUAAAAA&#10;">
                  <v:path arrowok="t"/>
                  <v:fill on="f" focussize="0,0"/>
                  <v:stroke weight="0.5p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rect id="矩形 178" o:spid="_x0000_s1055" o:spt="1" style="position:absolute;left:0pt;margin-left:157.3pt;margin-top:19.45pt;height:22.1pt;width:76.25pt;z-index:251653120;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RYAAAMAADgGAAAOAAAAZHJzL2Uyb0RvYy54bWysVMuO0zAU3SPxD5b3mTwmbZNoUjRtGoQ0&#10;wEgDYu0mTmKR2MF2mw6Ib0Fix0fwOYjf4NppO+2wQUAWka99H+ee+7h6tutatKVSMcFT7F94GFFe&#10;iJLxOsVv3+ROhJHShJekFZym+J4q/Gz+9MnV0Cc0EI1oSyoROOEqGfoUN1r3ieuqoqEdUReipxwe&#10;KyE7okGUtVtKMoD3rnUDz5u6g5BlL0VBlYLbbHzEc+u/qmihX1eVohq1KQZs2v6l/a/N351fkaSW&#10;pG9YsYdB/gJFRxiHoEdXGdEEbST7zVXHCimUqPRFITpXVBUrqM0BsvG9R9ncNaSnNhcgR/VHmtT/&#10;c1u82t5KxMoUX/oYcdJBjX5++fbj+1fkzyJDz9CrBLTu+ltpElT9jSjeK8TFsiG8ptdSiqGhpARQ&#10;vtF3zwyMoMAUrYeXogTnZKOFZWpXyc44BA7Qzhbk/lgQutOogMt4Gl3OJhgV8BRE3nRmC+aS5GDc&#10;S6WfU9Ehc0ixhHpb52R7o7QBQ5KDionFRc7a1ta85WcXoDjeQGgwNW8GhC3hp9iLV9EqCp0wmK6c&#10;0Msy5zpfhs4092eT7DJbLjP/s4nrh0nDypJyE+bQTn74Z+XaN/bYCKcNVVpvUuh3TDe2JwxRBmKt&#10;9lhrhXoBFRivlazXy1aiLYGuXyyySX7grVaj2ajte+azns5M4uVitTo1AXaOoVrGERQ+xZNwNB9p&#10;hhmyOA3nZzTYIgCXjyj1g9BbBLGTT6OZE+bhxIlnXuR4fryIp14Yh1l+TukN4/TfKUUDtOkkgqYy&#10;eJRo2R41CKes5faz/fxIrWMaNlbLuhRHRwJIYkZgxUvbW5qwdjyfcGHwP3ABjB46zQ6MmZFx1vRu&#10;vbMDGcSH8VuL8h5GCDrAVNisWzg0Qn7EaIDVlWL1YUMkxah9waEJYj8Mza6zQjiZBSDI05f16Qvh&#10;BbhKscZQVnNc6nE/bnrJ6gYi+ZYrLq5hdCtmx8qM9YgKUjICrCeb3H6Vmv13Kluth4U//wUAAP//&#10;AwBQSwMEFAAGAAgAAAAhAAJurJPiAAAACQEAAA8AAABkcnMvZG93bnJldi54bWxMj8FOwzAMhu9I&#10;vENkJC6Ipd1KV0rTCSFVcJq0scOOWRPaisTpmqzreHq8E9xs+dPv7y9WkzVs1IPvHAqIZxEwjbVT&#10;HTYCdp/VYwbMB4lKGodawEV7WJW3N4XMlTvjRo/b0DAKQZ9LAW0Ifc65r1ttpZ+5XiPdvtxgZaB1&#10;aLga5JnCreHzKEq5lR3Sh1b2+q3V9ff2ZAVU3bTGzfG4N2P1sFs/zT9+3i+JEPd30+sLsKCn8AfD&#10;VZ/UoSSngzuh8swIWMRJSigN2TMwApJ0GQM7CMgWMfCy4P8blL8AAAD//wMAUEsBAi0AFAAGAAgA&#10;AAAhALaDOJL+AAAA4QEAABMAAAAAAAAAAAAAAAAAAAAAAFtDb250ZW50X1R5cGVzXS54bWxQSwEC&#10;LQAUAAYACAAAACEAOP0h/9YAAACUAQAACwAAAAAAAAAAAAAAAAAvAQAAX3JlbHMvLnJlbHNQSwEC&#10;LQAUAAYACAAAACEAWwkWAAADAAA4BgAADgAAAAAAAAAAAAAAAAAuAgAAZHJzL2Uyb0RvYy54bWxQ&#10;SwECLQAUAAYACAAAACEAAm6sk+IAAAAJAQAADwAAAAAAAAAAAAAAAABaBQAAZHJzL2Rvd25yZXYu&#10;eG1sUEsFBgAAAAAEAAQA8wAAAGkGAAAAAA==&#10;">
                  <v:path/>
                  <v:fill type="gradient" on="f" color2="#9CBEE0" focus="100%" focussize="0f,0f">
                    <o:fill type="gradientUnscaled" v:ext="backwardCompatible"/>
                  </v:fill>
                  <v:stroke on="f" weight="1.25pt" color="#FFFFFF"/>
                  <v:imagedata o:title=""/>
                  <o:lock v:ext="edit"/>
                  <v:textbox>
                    <w:txbxContent>
                      <w:p>
                        <w:r>
                          <w:rPr>
                            <w:rFonts w:hint="eastAsia"/>
                          </w:rPr>
                          <w:t>损耗0.3</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shape id="自选图形 216" o:spid="_x0000_s1087" o:spt="32" type="#_x0000_t32" style="position:absolute;left:0pt;margin-left:424.55pt;margin-top:13.9pt;height:48.5pt;width:0pt;z-index:25169100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77rSgIAAGIEAAAOAAAAZHJzL2Uyb0RvYy54bWysVEuOEzEQ3SNxB8v7pNP5kbTSGaHuhM0A&#10;kWY4gGO70xZu27KddCKExA7NGdix5A5wm5HgFpSdD8ywQYgsHH/Kr169eu7Z1b6RaMetE1rlOO32&#10;MOKKaibUJsdvbpedCUbOE8WI1Irn+MAdvpo/fTJrTcb7utaScYsARLmsNTmuvTdZkjha84a4rjZc&#10;wWGlbUM8LO0mYZa0gN7IpN/rjZNWW2asptw52C2Ph3ge8auKU/+6qhz3SOYYuPk42jiuw5jMZyTb&#10;WGJqQU80yD+waIhQkPQCVRJP0NaKP6AaQa12uvJdqptEV5WgPNYA1aS9R9Xc1MTwWAuI48xFJvf/&#10;YOmr3coiwXI8AHkUaaBH3z9++fHh7v7Tt/uvn1E/HQeRWuMyiC3UyoYy6V7dmGtN3zqkdFETteGR&#10;7O3BAEAabiQProSFM5Bq3b7UDGLI1uuo2L6yTYAELdA+NuZwaQzfe0SPmxR2x+loOoo9S0h2vmes&#10;8y+4blCY5Nh5S8Sm9oVWCrqvbRqzkN2184EVyc4XQlKll0LKaAKpUAspBpAgnDgtBQuHcWE360Ja&#10;tCPBRvEXS3wUZvVWsQhWc8IWp7knQsIc+aiNtwLUkhyHbA1nGEkOLyfMjvSkChmhciB8mh2d9G7a&#10;my4mi8mwM+yPF51hryw7z5fFsDNeps9G5aAsijJ9H8inw6wWjHEV+J9dnQ7/zjWn93X048XXF6GS&#10;h+hRUSB7/o+kY+tDt4++WWt2WNlQXXABGDkGnx5deCm/r2PUr0/D/CcAAAD//wMAUEsDBBQABgAI&#10;AAAAIQADLvAI3gAAAAoBAAAPAAAAZHJzL2Rvd25yZXYueG1sTI/BSsQwEIbvgu8QRvAibrJl0W5t&#10;uoigIHixq+BxtoltMZmUJt3t+vSOeFiPM/Pxz/eXm9k7sbdj7ANpWC4UCEtNMD21Gt62j9c5iJiQ&#10;DLpAVsPRRthU52clFiYc6NXu69QKDqFYoIYupaGQMjad9RgXYbDEt88wekw8jq00Ix443DuZKXUj&#10;PfbEHzoc7ENnm6968hqSom3dTx/P6em4/lYvmVN49a715cV8fwci2TmdYPjVZ3Wo2GkXJjJROA35&#10;ar1kVEN2yxUY+FvsmMxWOciqlP8rVD8AAAD//wMAUEsBAi0AFAAGAAgAAAAhALaDOJL+AAAA4QEA&#10;ABMAAAAAAAAAAAAAAAAAAAAAAFtDb250ZW50X1R5cGVzXS54bWxQSwECLQAUAAYACAAAACEAOP0h&#10;/9YAAACUAQAACwAAAAAAAAAAAAAAAAAvAQAAX3JlbHMvLnJlbHNQSwECLQAUAAYACAAAACEAVBu+&#10;60oCAABiBAAADgAAAAAAAAAAAAAAAAAuAgAAZHJzL2Uyb0RvYy54bWxQSwECLQAUAAYACAAAACEA&#10;Ay7wCN4AAAAKAQAADwAAAAAAAAAAAAAAAACkBAAAZHJzL2Rvd25yZXYueG1sUEsFBgAAAAAEAAQA&#10;8wAAAK8FAAAAAA==&#10;">
                  <v:path arrowok="t"/>
                  <v:fill on="f" focussize="0,0"/>
                  <v:stroke weight="0.5pt" endarrow="block"/>
                  <v:imagedata o:title=""/>
                  <o:lock v:ext="edit"/>
                </v:shape>
              </w:pict>
            </w:r>
            <w:r>
              <w:rPr>
                <w:rFonts w:ascii="宋体" w:hAnsi="宋体"/>
                <w:bCs/>
                <w:sz w:val="24"/>
              </w:rPr>
              <w:pict>
                <v:shape id="自选图形 160" o:spid="_x0000_s1086" o:spt="32" type="#_x0000_t32" style="position:absolute;left:0pt;flip:y;margin-left:179.3pt;margin-top:18.15pt;height:20.7pt;width:16.4pt;z-index:2516346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bRgZgIAAIwEAAAOAAAAZHJzL2Uyb0RvYy54bWysVMtuEzEU3SPxD5b36TyahmTUSYVmEjYF&#10;KrWwd2xPxsJjW7abSYSQ2FV8AzuW/AP8TSX4C649adrCBiFm4bme+/C5x+fO6dm2k2jDrRNalTg7&#10;SjHiimom1LrEb66WoylGzhPFiNSKl3jHHT6bP31y2puC57rVknGLoIhyRW9K3HpviiRxtOUdcUfa&#10;cAXORtuOeNjadcIs6aF6J5M8TSdJry0zVlPuHHytByeex/pNw6l/3TSOeyRLDNh8XG1cV2FN5qek&#10;WFtiWkH3MMg/oOiIUHDooVRNPEHXVvxRqhPUaqcbf0R1l+imEZTHHqCbLP2tm8uWGB57AXKcOdDk&#10;/l9Z+mpzYZFgJc5nGCnSwR39uPn68+On28/fb799QdkkktQbV0BspS5saJNu1aU51/SdQ0pXLVFr&#10;HsFe7QwUyAKtyaOUsHEGjlr1LzWDGHLtdWRs29gONVKYtyExFAdW0DZe0e5wRXzrEYWPeTrNp3CR&#10;FFz5JJ/OIrqEFKFMSDbW+RdcdygYJXbeErFufaWVAjFoOxxBNufOB5D3CSFZ6aWQMmpCKtSXeHJ8&#10;kkZMTkvBgjOEObteVdKiDQmqik/sGDwPwwKCmrh2iGNg1doPirP6WrF4TssJW+xtT4QEG/nIorcC&#10;eJUcByAdZxhJDjMWrAG5VAEMMAO97K1Bc+9n6WwxXUzHo3E+WYzGaV2Pni+r8WiyzJ6d1Md1VdXZ&#10;h9BXNi5awRhXobU7/Wfjv9PXfhIH5R4m4MBh8rh6JBvA3r0j6CiSoIswsK5Yaba7sKG7sAPJx+D9&#10;eIaZeriPUfc/kfkvAAAA//8DAFBLAwQUAAYACAAAACEA8mQi3t8AAAAJAQAADwAAAGRycy9kb3du&#10;cmV2LnhtbEyPTU/DMAyG70j8h8hI3Fj6Ae0oTSc0CYkLCMoOHL3WNNWapGqytfv3Mye42fKj189b&#10;bhYziBNNvndWQbyKQJBtXNvbTsHu6+VuDcIHtC0OzpKCM3nYVNdXJRatm+0nnerQCQ6xvkAFOoSx&#10;kNI3mgz6lRvJ8u3HTQYDr1Mn2wlnDjeDTKIokwZ7yx80jrTV1Bzqo1Gw/ViMxPcmTr6zt1m/hkOd&#10;dDulbm+W5ycQgZbwB8OvPqtDxU57d7StF4OC9GGdMcpDloJgIH2M70HsFeR5DrIq5f8G1QUAAP//&#10;AwBQSwECLQAUAAYACAAAACEAtoM4kv4AAADhAQAAEwAAAAAAAAAAAAAAAAAAAAAAW0NvbnRlbnRf&#10;VHlwZXNdLnhtbFBLAQItABQABgAIAAAAIQA4/SH/1gAAAJQBAAALAAAAAAAAAAAAAAAAAC8BAABf&#10;cmVscy8ucmVsc1BLAQItABQABgAIAAAAIQA2nbRgZgIAAIwEAAAOAAAAAAAAAAAAAAAAAC4CAABk&#10;cnMvZTJvRG9jLnhtbFBLAQItABQABgAIAAAAIQDyZCLe3wAAAAkBAAAPAAAAAAAAAAAAAAAAAMAE&#10;AABkcnMvZG93bnJldi54bWxQSwUGAAAAAAQABADzAAAAzAUAAAAA&#10;">
                  <v:path arrowok="t"/>
                  <v:fill on="f" focussize="0,0"/>
                  <v:stroke weight="0.5pt" dashstyle="dashDo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rect id="矩形 203" o:spid="_x0000_s1056" o:spt="1" style="position:absolute;left:0pt;margin-left:257pt;margin-top:12.6pt;height:26.4pt;width:25.35pt;z-index:251677696;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9BnAwMAADgGAAAOAAAAZHJzL2Uyb0RvYy54bWysVM2O0zAQviPxDpbv2fw0aZtoU7RNWoS0&#10;wEoL4uwmTmKR2MF2N10Qz4LEjYfgcRCvwdhpu+1yQUAOkcee3++bmctnu65Fd1QqJniK/QsPI8oL&#10;UTJep/jtm7Uzx0hpwkvSCk5TfE8VfrZ4+uRy6BMaiEa0JZUInHCVDH2KG637xHVV0dCOqAvRUw6P&#10;lZAd0SDK2i0lGcB717qB503dQciyl6KgSsFtPj7ihfVfVbTQr6tKUY3aFENu2v6l/W/M311ckqSW&#10;pG9YsU+D/EUWHWEcgh5d5UQTtJXsN1cdK6RQotIXhehcUVWsoLYGqMb3HlVz25Ce2loAHNUfYVL/&#10;z23x6u5GIlamOACmOOmAo59fvv34/hUF3sTAM/QqAa3b/kaaAlV/LYr3CnGRNYTX9EpKMTSUlJCU&#10;b/TdMwMjKDBFm+GlKME52WphkdpVsjMOAQO0s4TcHwmhO40KuJwEfhxGGBXwNJlEwdwS5pLkYNxL&#10;pZ9T0SFzSLEEvq1zcnettEmGJAcVE4uLNWtby3nLzy5AcbyB0GBq3kwSlsJPsRev5qt56ITBdOWE&#10;Xp47V+ssdKZrfxblkzzLcv+zieuHScPKknIT5tBOfvhndO0be2yE04YqrTcp9DumG9sTBiiTYq32&#10;udYK9QIYGK+VrDdZK9Edga5fLvNofcCtVqPZqO175rOezkzibLlanZoAOsdQLeMIiE9xFI7mI8ww&#10;QzZPg/kZDJYEwPIRpH4QessgdtbT+cwJ12HkxDNv7nh+vIynXhiH+foc0mvG6b9DigZo02g+i8aq&#10;Rcv2WUNnn6I2m8RZZvsfalenah3TsLFa1qV4fgSAJGYEVry0vaUJa8fzCRYm/wcswOuh0+zAmBkZ&#10;Z03vNjs7kBPLgBmgjSjvYYSgAwzDZt3CoRHyI0YDrK4Uqw9bIilG7QsOTRD7YWh2nRXCaBaAIE9f&#10;NqcvhBfgKsUaA63mmOlxP257yeoGIvkWKy6uYHQrZsfqISsoyQiwnmxx+1Vq9t+pbLUeFv7iFwAA&#10;AP//AwBQSwMEFAAGAAgAAAAhABMAJIzfAAAACQEAAA8AAABkcnMvZG93bnJldi54bWxMj81OwzAQ&#10;hO9IvIO1lbhRO1HTViGbCiEhfg5IlD6AE2+TqPE6xG6Tvj3mBMfRjGa+KXaz7cWFRt85RkiWCgRx&#10;7UzHDcLh6/l+C8IHzUb3jgnhSh525e1NoXPjJv6kyz40IpawzzVCG8KQS+nrlqz2SzcQR+/oRqtD&#10;lGMjzainWG57mSq1llZ3HBdaPdBTS/Vpf7YI09vh+PFSU5W8D5a/G0XX8EqId4v58QFEoDn8heEX&#10;P6JDGZkqd2bjRY+QJav4JSCkWQoiBrL1agOiQthsFciykP8flD8AAAD//wMAUEsBAi0AFAAGAAgA&#10;AAAhALaDOJL+AAAA4QEAABMAAAAAAAAAAAAAAAAAAAAAAFtDb250ZW50X1R5cGVzXS54bWxQSwEC&#10;LQAUAAYACAAAACEAOP0h/9YAAACUAQAACwAAAAAAAAAAAAAAAAAvAQAAX3JlbHMvLnJlbHNQSwEC&#10;LQAUAAYACAAAACEAvHvQZwMDAAA4BgAADgAAAAAAAAAAAAAAAAAuAgAAZHJzL2Uyb0RvYy54bWxQ&#10;SwECLQAUAAYACAAAACEAEwAkjN8AAAAJAQAADwAAAAAAAAAAAAAAAABdBQAAZHJzL2Rvd25yZXYu&#10;eG1sUEsFBgAAAAAEAAQA8wAAAGkGAAAAAA==&#10;">
                  <v:path/>
                  <v:fill type="gradient" on="f" color2="#9CBEE0" focus="100%" focussize="0f,0f">
                    <o:fill type="gradientUnscaled" v:ext="backwardCompatible"/>
                  </v:fill>
                  <v:stroke on="f" weight="1.25pt" color="#739CC3"/>
                  <v:imagedata o:title=""/>
                  <o:lock v:ext="edit"/>
                  <v:textbox>
                    <w:txbxContent>
                      <w:p>
                        <w:r>
                          <w:rPr>
                            <w:rFonts w:hint="eastAsia"/>
                          </w:rPr>
                          <w:t>0</w:t>
                        </w:r>
                      </w:p>
                    </w:txbxContent>
                  </v:textbox>
                </v:rect>
              </w:pict>
            </w:r>
            <w:r>
              <w:rPr>
                <w:rFonts w:ascii="宋体" w:hAnsi="宋体"/>
                <w:bCs/>
                <w:sz w:val="24"/>
              </w:rPr>
              <w:pict>
                <v:rect id="矩形 145" o:spid="_x0000_s1057" o:spt="1" style="position:absolute;left:0pt;margin-left:160.7pt;margin-top:15.45pt;height:37.05pt;width:92.05pt;z-index:251624448;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LpywIAAI4FAAAOAAAAZHJzL2Uyb0RvYy54bWysVM2O0zAQviPxDpbv3SRt0p9o09Vu0iIk&#10;flZaEGc3cRILxw6223RBPAsSNx6Cx0G8BmMn7WbhghA9pGPP7zfzeS6vjg1HB6o0kyLBwYWPERW5&#10;LJioEvz2zXayxEgbIgrCpaAJvqcaX62fPrns2phOZS15QRWCIELHXZvg2pg29jyd17Qh+kK2VICy&#10;lKohBo6q8gpFOojecG/q+3Ovk6polcyp1nCb9Uq8dvHLkubmdVlqahBPMNRm3Fe5785+vfUliStF&#10;2prlQxnkH6poCBOQ9BwqI4agvWJ/hGpYrqSWpbnIZePJsmQ5dRgATeD/huauJi11WKA5uj23Sf+/&#10;sPmrw61CrEjwdIGRIA3M6OeXbz++f0VBGNn2dK2OwequvVUWoG5fyPy9RkKmNREVvVZKdjUlBRQV&#10;WHvvkYM9aHBFu+6lLCA42RvpOnUsVWMDQg/Q0Q3k/jwQejQoh8sgmK/8WYRRDrpw4Ucg2xQkPnm3&#10;SptnVDbICglWMHAXnRxeaNObnkxsMiG3jHO4JzEXqEvwfBb5zkFLzgqrdCBVtUu5QgdiaeN+Q95H&#10;Zg0zQF7OmgQvz0Yktt3YiMJlMYTxXoaiubDBARzUNkg9ST6t/NVmuVmGk3A630xCP8sm19s0nMy3&#10;wSLKZlmaZsFnW2cQxjUrCipsqSfCBuHfEWJ4Oj3VxpR1wJGS5h0ztWOdHYUtsdJDrZVGrYQZD90a&#10;N+jmJou27ikBxkr3br110LfFXumxyyq92WzGLs5zSMWZQECtBEfhuatWr8gwIO9xGxwhoKunfxfG&#10;0dAyr2ewOe6OjuYzR1JLy50s7oGYgNqisksMhFqqjxh1sBASrD/siaIY8ecCgK+CMLQbxB3CaDGF&#10;gxprdmMNETmESrDBAMWKqem3zr5VrKohU+D6K+Q1PIiSOa4+VDU8I3j0DtSwoOxWGZ+d1cMaXf8C&#10;AAD//wMAUEsDBBQABgAIAAAAIQC6joAu3gAAAAoBAAAPAAAAZHJzL2Rvd25yZXYueG1sTI/BTsMw&#10;DIbvSLxDZCQuE0taVgSl6YQm8QArCImb24Q20DilybbC02NOcLPlT7+/v9oufhRHO0cXSEO2ViAs&#10;dcE46jU8Pz1e3YKICcngGMhq+LIRtvX5WYWlCSfa22OTesEhFEvUMKQ0lVLGbrAe4zpMlvj2FmaP&#10;ide5l2bGE4f7UeZK3UiPjvjDgJPdDbb7aA5eQ7PfyFenXr5d9p7vWhpw9blCrS8vlod7EMku6Q+G&#10;X31Wh5qd2nAgE8Wo4TrPNozyoO5AMFCoogDRMqkKBbKu5P8K9Q8AAAD//wMAUEsBAi0AFAAGAAgA&#10;AAAhALaDOJL+AAAA4QEAABMAAAAAAAAAAAAAAAAAAAAAAFtDb250ZW50X1R5cGVzXS54bWxQSwEC&#10;LQAUAAYACAAAACEAOP0h/9YAAACUAQAACwAAAAAAAAAAAAAAAAAvAQAAX3JlbHMvLnJlbHNQSwEC&#10;LQAUAAYACAAAACEAVq8C6csCAACOBQAADgAAAAAAAAAAAAAAAAAuAgAAZHJzL2Uyb0RvYy54bWxQ&#10;SwECLQAUAAYACAAAACEAuo6ALt4AAAAKAQAADwAAAAAAAAAAAAAAAAAlBQAAZHJzL2Rvd25yZXYu&#10;eG1sUEsFBgAAAAAEAAQA8wAAADAGAAAAAA==&#10;">
                  <v:path/>
                  <v:fill type="gradient" on="f" color2="#9CBEE0" focus="100%" focussize="0f,0f">
                    <o:fill type="gradientUnscaled" v:ext="backwardCompatible"/>
                  </v:fill>
                  <v:stroke weight="0.5pt"/>
                  <v:imagedata o:title=""/>
                  <o:lock v:ext="edit"/>
                  <v:textbox>
                    <w:txbxContent>
                      <w:p>
                        <w:pPr>
                          <w:rPr>
                            <w:rFonts w:ascii="宋体" w:hAnsi="宋体"/>
                            <w:szCs w:val="21"/>
                          </w:rPr>
                        </w:pPr>
                        <w:r>
                          <w:rPr>
                            <w:rFonts w:ascii="宋体" w:hAnsi="宋体"/>
                            <w:szCs w:val="21"/>
                          </w:rPr>
                          <w:t>中央空调冷</w:t>
                        </w:r>
                      </w:p>
                      <w:p>
                        <w:pPr>
                          <w:rPr>
                            <w:rFonts w:ascii="宋体" w:hAnsi="宋体"/>
                            <w:szCs w:val="21"/>
                          </w:rPr>
                        </w:pPr>
                        <w:r>
                          <w:rPr>
                            <w:rFonts w:ascii="宋体" w:hAnsi="宋体"/>
                            <w:szCs w:val="21"/>
                          </w:rPr>
                          <w:t>却塔补充水</w:t>
                        </w:r>
                      </w:p>
                    </w:txbxContent>
                  </v:textbox>
                </v:rect>
              </w:pict>
            </w:r>
            <w:r>
              <w:rPr>
                <w:rFonts w:ascii="宋体" w:hAnsi="宋体"/>
                <w:bCs/>
                <w:sz w:val="24"/>
              </w:rPr>
              <w:pict>
                <v:rect id="矩形 179" o:spid="_x0000_s1058" o:spt="1" style="position:absolute;left:0pt;margin-left:120.15pt;margin-top:12.6pt;height:25.65pt;width:34.65pt;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g22xwIAALgFAAAOAAAAZHJzL2Uyb0RvYy54bWysVF2O0zAQfkfiDpbfs/lp0jTRpqslaRDS&#10;AistHMBNnMYisYPtNl0QZ0HijUNwHMQ1GLs/2+6+ICAPke0ZfzPfzOe5vNr2HdpQqZjgGfYvPIwo&#10;r0TN+CrD79+VzgwjpQmvSSc4zfA9Vfhq/vzZ5TikNBCt6GoqEYBwlY5Dhluth9R1VdXSnqgLMVAO&#10;xkbInmjYypVbSzICet+5gedN3VHIepCiokrBabEz4rnFbxpa6bdNo6hGXYYhN23/0v6X5u/OL0m6&#10;kmRoWbVPg/xFFj1hHIIeoQqiCVpL9gSqZ5UUSjT6ohK9K5qGVdRyADa+94jNXUsGarlAcdRwLJP6&#10;f7DVm82tRKzOcDDFiJMeevTr6/efP74hP05MecZBpeB1N9xKQ1ANN6L6oBAXeUv4il5LKcaWkhqS&#10;8o2/e3bBbBRcRcvxtagBnKy1sJXaNrI3gFADtLUNuT82hG41quAwDD0vijCqwDQJohjWJgJJD5cH&#10;qfRLKnpkFhmW0G8LTjY3Su9cDy4mFhcl6zo4J2nHzw4Ac3cCoeGqsZkkbAs/J16ymC1moRMG04UT&#10;ekXhXJd56ExLP46KSZHnhf/FxPXDtGV1TbkJc5CTH/5Zu/bC3gnhKCglOlYbOJOSkqtl3km0ISDn&#10;0n77gpy4uedp2HoBl0eU/CD0XgSJU05nsROWYeQksTdzPD95kUy9MAmL8pzSDeP03ymhEWQSzeLI&#10;tukk60fk4kmS55On5EjaMw0To2N9hmee+YwTSY0EF7y2a01Yt1uf1MLk/1AL6Peh01awRqM7revt&#10;cmsfxCQwyEbAS1Hfg4SlAInBEIFxB4tWyE8YjTA6Mqw+romkGHWvODyDxAfdwqyxmzCKA9jIU8vy&#10;1EJ4BVAZ1hjtlrnezaf1INmqhUi+rRUX1/B0GmZl/ZDV/sHBeLDk9qPMzJ/TvfV6GLjz3wAAAP//&#10;AwBQSwMEFAAGAAgAAAAhAO7soMDeAAAACQEAAA8AAABkcnMvZG93bnJldi54bWxMj8FOwzAMhu9I&#10;vENkJG4sWUe7rTSdpkkIcWQgzllj2orG6ZJsKzw95gQ3W/70+/urzeQGccYQe08a5jMFAqnxtqdW&#10;w9vr490KREyGrBk8oYYvjLCpr68qU1p/oRc871MrOIRiaTR0KY2llLHp0Jk48yMS3z58cCbxGlpp&#10;g7lwuBtkplQhnemJP3RmxF2Hzef+5DR8v9tjmDeul+tt9iSPIfe78Vnr25tp+wAi4ZT+YPjVZ3Wo&#10;2engT2SjGDRk92rBKA95BoKBhVoXIA4alkUOsq7k/wb1DwAAAP//AwBQSwECLQAUAAYACAAAACEA&#10;toM4kv4AAADhAQAAEwAAAAAAAAAAAAAAAAAAAAAAW0NvbnRlbnRfVHlwZXNdLnhtbFBLAQItABQA&#10;BgAIAAAAIQA4/SH/1gAAAJQBAAALAAAAAAAAAAAAAAAAAC8BAABfcmVscy8ucmVsc1BLAQItABQA&#10;BgAIAAAAIQBkWg22xwIAALgFAAAOAAAAAAAAAAAAAAAAAC4CAABkcnMvZTJvRG9jLnhtbFBLAQIt&#10;ABQABgAIAAAAIQDu7KDA3gAAAAkBAAAPAAAAAAAAAAAAAAAAACEFAABkcnMvZG93bnJldi54bWxQ&#10;SwUGAAAAAAQABADzAAAALAYAAAAA&#10;">
                  <v:path/>
                  <v:fill on="f" focussize="0,0"/>
                  <v:stroke on="f" weight="1.25pt" color="#739CC3"/>
                  <v:imagedata o:title=""/>
                  <o:lock v:ext="edit"/>
                  <v:textbox>
                    <w:txbxContent>
                      <w:p>
                        <w:r>
                          <w:rPr>
                            <w:rFonts w:hint="eastAsia"/>
                          </w:rPr>
                          <w:t>0.3</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rect id="矩形 215" o:spid="_x0000_s1059" o:spt="1" style="position:absolute;left:0pt;margin-left:398.2pt;margin-top:22pt;height:34.2pt;width:57.75pt;z-index:251689984;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vtOAQMAADgGAAAOAAAAZHJzL2Uyb0RvYy54bWysVE2O0zAU3iNxB8v7TJI2aZtoUjRNWoQ0&#10;wEgDYu0mTmKR2MF2Jx0QZ0FixyE4DuIaPDttJx02CGilyPb7/7733uWzfdugOyoVEzzB/oWHEeW5&#10;KBivEvz2zcZZYKQ04QVpBKcJvqcKP1s+fXLZdzGdiFo0BZUInHAV912Ca6272HVVXtOWqAvRUQ7C&#10;UsiWaLjKyi0k6cF727gTz5u5vZBFJ0VOlYLXbBDipfVfljTXr8tSUY2aBENu2n6l/W7N111ekriS&#10;pKtZfkiD/EUWLWEcgp5cZUQTtJPsN1cty6VQotQXuWhdUZYsp7YGqMb3HlVzW5OO2loAHNWdYFL/&#10;z23+6u5GIlYkeBJixEkLHP388u3H969o4ocGnr5TMWjddjfSFKi6a5G/V4iLtCa8oldSir6mpICk&#10;fKPvnhmYiwJTtO1figKck50WFql9KVvjEDBAe0vI/YkQutcoh8f5dBqYvHIQBVP4W8JcEh+NO6n0&#10;cypaZA4JlsC3dU7urpU2yZD4qGJicbFhTWM5b/jZAygOLxAaTI3MJGEp/BR50XqxXgROMJmtncDL&#10;MudqkwbObOPPw2yapWnmfzZx/SCuWVFQbsIc28kP/oyuQ2MPjTBuqMJ6k0K/Y7q2PWGAMilW6pBr&#10;pVAngIHhWclqmzYS3RHo+tUqCzdH3Co1mA3avmd+1tOZSZSu1uuxCaBzCtUwjoD4BIfBYD7ADDNk&#10;8zSYn8FgSQAsH0HqTwJvNYmczWwxd4JNEDrR3Fs4nh+topkXREG2OYf0mnH675CiHto0XMzDoWrR&#10;sEPW0Nlj1ObTKE2ntp9BMlZrmYaN1bA2wYsTACQ2I7Dmhe0tTVgznEdYmPwfsABEj51mB8bMyDBr&#10;er/d24Gc2vBmgLaiuIcRgg4wDJt1C4dayI8Y9bC6Eqw+7IikGDUvODRB5AcwKEjbSxDOJ3CRY8l2&#10;LCE8B1cJ1hhoNcdUD/tx10lW1RDJt1hxcQWjWzI7Vg9ZQUnmAuvJFndYpWb/je9W62HhL38BAAD/&#10;/wMAUEsDBBQABgAIAAAAIQAQ1aUD3gAAAAoBAAAPAAAAZHJzL2Rvd25yZXYueG1sTI9BTsMwEEX3&#10;SL2DNUjdUcdVVEiIU1VIiMICidIDOPE0iYjHIXab9PYMK1iO5un/94vt7HpxwTF0njSoVQICqfa2&#10;o0bD8fP57gFEiIas6T2hhisG2JaLm8Lk1k/0gZdDbASHUMiNhjbGIZcy1C06E1Z+QOLfyY/ORD7H&#10;RtrRTBzuerlOko10piNuaM2ATy3WX4ez0zC9Hk/vLzVW6m1w9N0keI171Hp5O+8eQUSc4x8Mv/qs&#10;DiU7Vf5MNohew322SRnVkKa8iYFMqQxExaRapyDLQv6fUP4AAAD//wMAUEsBAi0AFAAGAAgAAAAh&#10;ALaDOJL+AAAA4QEAABMAAAAAAAAAAAAAAAAAAAAAAFtDb250ZW50X1R5cGVzXS54bWxQSwECLQAU&#10;AAYACAAAACEAOP0h/9YAAACUAQAACwAAAAAAAAAAAAAAAAAvAQAAX3JlbHMvLnJlbHNQSwECLQAU&#10;AAYACAAAACEAFib7TgEDAAA4BgAADgAAAAAAAAAAAAAAAAAuAgAAZHJzL2Uyb0RvYy54bWxQSwEC&#10;LQAUAAYACAAAACEAENWlA94AAAAKAQAADwAAAAAAAAAAAAAAAABbBQAAZHJzL2Rvd25yZXYueG1s&#10;UEsFBgAAAAAEAAQA8wAAAGYGAAAAAA==&#10;">
                  <v:path/>
                  <v:fill type="gradient" on="f" color2="#9CBEE0" focus="100%" focussize="0f,0f">
                    <o:fill type="gradientUnscaled" v:ext="backwardCompatible"/>
                  </v:fill>
                  <v:stroke on="f" weight="1.25pt" color="#739CC3"/>
                  <v:imagedata o:title=""/>
                  <o:lock v:ext="edit"/>
                  <v:textbox>
                    <w:txbxContent>
                      <w:p>
                        <w:pPr>
                          <w:ind w:firstLine="210" w:firstLineChars="100"/>
                        </w:pPr>
                        <w:r>
                          <w:rPr>
                            <w:rFonts w:hint="eastAsia"/>
                          </w:rPr>
                          <w:t>沅水</w:t>
                        </w:r>
                      </w:p>
                    </w:txbxContent>
                  </v:textbox>
                </v:rect>
              </w:pict>
            </w:r>
            <w:r>
              <w:rPr>
                <w:rFonts w:ascii="宋体" w:hAnsi="宋体"/>
                <w:bCs/>
                <w:sz w:val="24"/>
              </w:rPr>
              <w:pict>
                <v:shape id="自选图形 171" o:spid="_x0000_s1085" o:spt="32" type="#_x0000_t32" style="position:absolute;left:0pt;margin-left:252.75pt;margin-top:15.6pt;height:0pt;width:31.9pt;z-index:25164595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60UTQIAAGIEAAAOAAAAZHJzL2Uyb0RvYy54bWysVM2O0zAQviPxDpbvbZJu2u1Gm65Q0nJZ&#10;oNIuD+DaTmPh2JbtbVohJG5on4EbR94B3mYleAvG7g8sXBAiB2ccz3wz883nXF5tO4k23DqhVYmz&#10;YYoRV1QzodYlfn27GEwxcp4oRqRWvMQ77vDV7OmTy94UfKRbLRm3CECUK3pT4tZ7UySJoy3viBtq&#10;wxUcNtp2xMPWrhNmSQ/onUxGaTpJem2ZsZpy5+BrvT/Es4jfNJz6V03juEeyxFCbj6uN6yqsyeyS&#10;FGtLTCvooQzyD1V0RChIeoKqiSfozoo/oDpBrXa68UOqu0Q3jaA89gDdZOlv3dy0xPDYC5DjzIkm&#10;9/9g6cvN0iLBSjzKMVKkgxl9+/D5+/v7h49fH758Qtl5FkjqjSvAt1JLG9qkW3VjrjV945DSVUvU&#10;msdib3cGAGJE8igkbJyBVKv+hWbgQ+68joxtG9sFSOACbeNgdqfB8K1HFD7m6Tg7g/HR41FCimOc&#10;sc4/57pDwSix85aIdesrrRRMX9ssZiGba+ehDwg8BoSkSi+ElFEEUqG+xJOzcRoDnJaChcPg5ux6&#10;VUmLNiTIKD6BFAB75Gb1nWIRrOWEzQ+2J0KCjXzkxlsBbEmOQ7aOM4wkh5sTrD2iVCEjdA4FH6y9&#10;kt5epBfz6XyaD/LRZD7I07oePFtU+WCyyM7H9VldVXX2LhSf5UUrGOMq1H9UdZb/nWoO92uvx5Ou&#10;T0Qlj9EjCVDs8R2LjqMP097rZqXZbmlDd0EFIOTofLh04ab8uo9eP38Nsx8AAAD//wMAUEsDBBQA&#10;BgAIAAAAIQB9XqJ73gAAAAkBAAAPAAAAZHJzL2Rvd25yZXYueG1sTI/BSsQwEIbvgu8QRvAibrJd&#10;uri16SKCguDFroLH2WZsi8mkNOlu16c34kGPM/Pxz/eX29lZcaAx9J41LBcKBHHjTc+thtfdw/UN&#10;iBCRDVrPpOFEAbbV+VmJhfFHfqFDHVuRQjgUqKGLcSikDE1HDsPCD8Tp9uFHhzGNYyvNiMcU7qzM&#10;lFpLhz2nDx0OdN9R81lPTkNUvKv76f0pPp42X+o5swqv3rS+vJjvbkFEmuMfDD/6SR2q5LT3E5sg&#10;rIZc5XlCNayWGYgE5OvNCsT+dyGrUv5vUH0DAAD//wMAUEsBAi0AFAAGAAgAAAAhALaDOJL+AAAA&#10;4QEAABMAAAAAAAAAAAAAAAAAAAAAAFtDb250ZW50X1R5cGVzXS54bWxQSwECLQAUAAYACAAAACEA&#10;OP0h/9YAAACUAQAACwAAAAAAAAAAAAAAAAAvAQAAX3JlbHMvLnJlbHNQSwECLQAUAAYACAAAACEA&#10;WKetFE0CAABiBAAADgAAAAAAAAAAAAAAAAAuAgAAZHJzL2Uyb0RvYy54bWxQSwECLQAUAAYACAAA&#10;ACEAfV6ie94AAAAJAQAADwAAAAAAAAAAAAAAAACnBAAAZHJzL2Rvd25yZXYueG1sUEsFBgAAAAAE&#10;AAQA8wAAALIFAAAAAA==&#10;">
                  <v:path arrowok="t"/>
                  <v:fill on="f" focussize="0,0"/>
                  <v:stroke weight="0.5pt" endarrow="block"/>
                  <v:imagedata o:title=""/>
                  <o:lock v:ext="edit"/>
                </v:shape>
              </w:pict>
            </w:r>
            <w:r>
              <w:rPr>
                <w:rFonts w:ascii="宋体" w:hAnsi="宋体"/>
                <w:bCs/>
                <w:sz w:val="24"/>
              </w:rPr>
              <w:pict>
                <v:shape id="自选图形 167" o:spid="_x0000_s1084" o:spt="32" type="#_x0000_t32" style="position:absolute;left:0pt;margin-left:117.3pt;margin-top:14.85pt;height:0.75pt;width:42.25pt;z-index:25164185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3HJUQIAAGUEAAAOAAAAZHJzL2Uyb0RvYy54bWysVM2O0zAQviPxDpbv3SRt092NNl2hpOWy&#10;wEq7PIBrO42FY1u227RCSNzQPgM3jrwDvM1K8BaM3R8oXBAiB2ccz3zzzcznXF1vOonW3DqhVYmz&#10;sxQjrqhmQi1L/Pp+PrjAyHmiGJFa8RJvucPX06dPrnpT8KFutWTcIgBRruhNiVvvTZEkjra8I+5M&#10;G67gsNG2Ix62dpkwS3pA72QyTNNJ0mvLjNWUOwdf690hnkb8puHUv2oaxz2SJQZuPq42rouwJtMr&#10;UiwtMa2gexrkH1h0RChIeoSqiSdoZcUfUJ2gVjvd+DOqu0Q3jaA81gDVZOlv1dy1xPBYCzTHmWOb&#10;3P+DpS/XtxYJVuLhCCNFOpjRtw+fv79/ePz49fHLJ5RNzkOTeuMK8K3UrQ1l0o26MzeavnFI6aol&#10;askj2futAYAsRCQnIWHjDKRa9C80Ax+y8jp2bNPYLkBCL9AmDmZ7HAzfeEThYz6a5Oc5RhSOLvNh&#10;HvFJcQg11vnnXHcoGCV23hKxbH2llQIBaJvFRGR943wgRopDQMir9FxIGXUgFepLPBnlaQxwWgoW&#10;DoObs8tFJS1ak6Ck+OxZnLhZvVIsgrWcsNne9kRIsJGP7fFWQMMkxyFbxxlGksPlCdaOnlQhIxQP&#10;hPfWTkxvL9PL2cXsYjwYDyezwTit68GzeTUeTObZeV6P6qqqs3eBfDYuWsEYV4H/QdjZ+O+Es79i&#10;O0kepX1sVHKKHjsKZA/vSDpOPwx8J52FZttbG6oLQgAtR+f9vQuX5dd99Pr5d5j+AAAA//8DAFBL&#10;AwQUAAYACAAAACEAyQ06ud8AAAAJAQAADwAAAGRycy9kb3ducmV2LnhtbEyPwUrDQBCG74LvsIzg&#10;RdrdpFJNzKaIoCB4MbXgcZodk2B2NmQ3berTuz3p7R/m459vis1se3Gg0XeONSRLBYK4dqbjRsPH&#10;9nlxD8IHZIO9Y9JwIg+b8vKiwNy4I7/ToQqNiCXsc9TQhjDkUvq6JYt+6QbiuPtyo8UQx7GRZsRj&#10;LLe9TJVaS4sdxwstDvTUUv1dTVZDULytuunzNbycsh/1lvYKb3ZaX1/Njw8gAs3hD4azflSHMjrt&#10;3cTGi15DurpdRzSG7A5EBFZJloDYn0MKsizk/w/KXwAAAP//AwBQSwECLQAUAAYACAAAACEAtoM4&#10;kv4AAADhAQAAEwAAAAAAAAAAAAAAAAAAAAAAW0NvbnRlbnRfVHlwZXNdLnhtbFBLAQItABQABgAI&#10;AAAAIQA4/SH/1gAAAJQBAAALAAAAAAAAAAAAAAAAAC8BAABfcmVscy8ucmVsc1BLAQItABQABgAI&#10;AAAAIQBs03HJUQIAAGUEAAAOAAAAAAAAAAAAAAAAAC4CAABkcnMvZTJvRG9jLnhtbFBLAQItABQA&#10;BgAIAAAAIQDJDTq53wAAAAkBAAAPAAAAAAAAAAAAAAAAAKsEAABkcnMvZG93bnJldi54bWxQSwUG&#10;AAAAAAQABADzAAAAtwUAAAAA&#10;">
                  <v:path arrowok="t"/>
                  <v:fill on="f" focussize="0,0"/>
                  <v:stroke weight="0.5p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rect id="矩形 187" o:spid="_x0000_s1060" o:spt="1" style="position:absolute;left:0pt;margin-left:171.75pt;margin-top:9.25pt;height:23.55pt;width:75.25pt;z-index:251661312;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8IOBAMAADgGAAAOAAAAZHJzL2Uyb0RvYy54bWysVM2O0zAQviPxDpbv2SZp0ibRpmibtAhp&#10;gZUWxNlNnMQisYPtbrogngWJGw/B4yBeg7HTdtvlgoAcIo89v998M5fPdl2L7qhUTPAUexcuRpQX&#10;omS8TvHbN2snwkhpwkvSCk5TfE8VfrZ4+uRy6BPqi0a0JZUInHCVDH2KG637ZDJRRUM7oi5ETzk8&#10;VkJ2RIMo60kpyQDeu3biu+5sMghZ9lIUVCm4zcdHvLD+q4oW+nVVKapRm2LITdu/tP+N+U8WlySp&#10;JekbVuzTIH+RRUcYh6BHVznRBG0l+81VxwoplKj0RSG6iagqVlBbA1TjuY+quW1IT20tAI7qjzCp&#10;/+e2eHV3IxErU+z7GHHSQY9+fvn24/tX5EVzA8/QqwS0bvsbaQpU/bUo3ivERdYQXtMrKcXQUFJC&#10;Up7Rn5wZGEGBKdoML0UJzslWC4vUrpKdcQgYoJ1tyP2xIXSnUQGXcRjO5iFGBTz5cexGoY1AkoNx&#10;L5V+TkWHzCHFEvptnZO7a6VNMiQ5qJhYXKxZ29qet/zsAhTHGwgNpubNJGFb+Cl241W0igIn8Gcr&#10;J3Dz3LlaZ4EzW3vzMJ/mWZZ7n01cL0gaVpaUmzAHOnnBn7VrT+yRCKeEKq03KfQ7phvLCQOUSbFW&#10;+1xrhXoBHRivlaw3WSvRHQHWL5d5uLZEhxprNZqN2p5rPuvpzCTOlqvVqYm13IdqGUfQ+BSHwWg+&#10;wgwzZPM0mJ/BYJsAWD6C1PMDd+nHznoWzZ1gHYROPHcjx/XiZTxzgzjI1+eQXjNO/x1SNABNwwhI&#10;ZfJRomX7rEE4RW0+jbNsumfbmVrHNGyslnUpjo4AkMSMwIqXlluasHY8n2Bh8n/AAhA9MM0OjJmR&#10;cdb0brOzAzkNDuO3EeU9jBAwwHTYrFs4NEJ+xGiA1ZVi9WFLJMWofcGBBLEXBGbXWSEI5z4I8vRl&#10;c/pCeAGuUqwxtNUcMz3ux20vWd1AJM9ixcUVjG7F7FiZsR6zgpKMAOvJFrdfpWb/ncpW62HhL34B&#10;AAD//wMAUEsDBBQABgAIAAAAIQB/6lAA3gAAAAkBAAAPAAAAZHJzL2Rvd25yZXYueG1sTI/NTsMw&#10;EITvSLyDtUjcqFOaRiVkUyEkxM8BidIHcOJtEhGvQ+w26duznOC0Gs2n2ZliO7tenWgMnWeE5SIB&#10;RVx723GDsP98utmACtGwNb1nQjhTgG15eVGY3PqJP+i0i42SEA65QWhjHHKtQ92SM2HhB2LxDn50&#10;JoocG21HM0m46/VtkmTamY7lQ2sGemyp/todHcL0uj+8P9dULd8Gx99NQuf4QojXV/PDPahIc/yD&#10;4be+VIdSOlX+yDaoHmGVrtaCirGRK0B6l8q4CiFbZ6DLQv9fUP4AAAD//wMAUEsBAi0AFAAGAAgA&#10;AAAhALaDOJL+AAAA4QEAABMAAAAAAAAAAAAAAAAAAAAAAFtDb250ZW50X1R5cGVzXS54bWxQSwEC&#10;LQAUAAYACAAAACEAOP0h/9YAAACUAQAACwAAAAAAAAAAAAAAAAAvAQAAX3JlbHMvLnJlbHNQSwEC&#10;LQAUAAYACAAAACEALMfCDgQDAAA4BgAADgAAAAAAAAAAAAAAAAAuAgAAZHJzL2Uyb0RvYy54bWxQ&#10;SwECLQAUAAYACAAAACEAf+pQAN4AAAAJAQAADwAAAAAAAAAAAAAAAABeBQAAZHJzL2Rvd25yZXYu&#10;eG1sUEsFBgAAAAAEAAQA8wAAAGkGAAAAAA==&#10;">
                  <v:path/>
                  <v:fill type="gradient" on="f" color2="#9CBEE0" focus="100%" focussize="0f,0f">
                    <o:fill type="gradientUnscaled" v:ext="backwardCompatible"/>
                  </v:fill>
                  <v:stroke on="f" weight="1.25pt" color="#739CC3"/>
                  <v:imagedata o:title=""/>
                  <o:lock v:ext="edit"/>
                  <v:textbox>
                    <w:txbxContent>
                      <w:p>
                        <w:r>
                          <w:rPr>
                            <w:rFonts w:hint="eastAsia"/>
                          </w:rPr>
                          <w:t>损耗5.6</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rect id="矩形 189" o:spid="_x0000_s1061" o:spt="1" style="position:absolute;left:0pt;margin-left:110.8pt;margin-top:9.4pt;height:20.65pt;width:46.15pt;z-index:251663360;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VeZAwMAADgGAAAOAAAAZHJzL2Uyb0RvYy54bWysVM2O0zAQviPxDpbv2SZp0ibRpmibtAhp&#10;gZUWxNlNnMQisYPtbrogngWJGw/B4yBeg7HTdtvlgoAcIo89v998M5fPdl2L7qhUTPAUexcuRpQX&#10;omS8TvHbN2snwkhpwkvSCk5TfE8VfrZ4+uRy6BPqi0a0JZUInHCVDH2KG637ZDJRRUM7oi5ETzk8&#10;VkJ2RIMo60kpyQDeu3biu+5sMghZ9lIUVCm4zcdHvLD+q4oW+nVVKapRm2LITdu/tP+N+U8WlySp&#10;JekbVuzTIH+RRUcYh6BHVznRBG0l+81VxwoplKj0RSG6iagqVlBbA1TjuY+quW1IT20tAI7qjzCp&#10;/+e2eHV3IxErU+x7GHHSQY9+fvn24/tX5EWxgWfoVQJat/2NNAWq/loU7xXiImsIr+mVlGJoKCkh&#10;Kc/oT84MjKDAFG2Gl6IE52SrhUVqV8nOOAQM0M425P7YELrTqIDLMJp5bohRAU/+zPfD0EYgycG4&#10;l0o/p6JD5pBiCf22zsndtdImGZIcVEwsLtasbW3PW352AYrjDYQGU/NmkrAt/BS78SpaRYET+LOV&#10;E7h57lyts8CZrb15mE/zLMu9zyauFyQNK0vKTZgDnbzgz9q1J/ZIhFNCldabFPod043lhAHKpFir&#10;fa61Qr2ADozXStabrJXojgDrl8s8XFuiQ421Gs1Gbc81n/V0ZhJny9Xq1MRa7kO1jCNoPDQnGM1H&#10;mGGGbJ4G8zMYbBMAy0eQen7gLv3YWc+iuROsg9CJ527kuF68jGduEAf5+hzSa8bpv0OKBqBpGM3D&#10;sWrRsn3WwOxT1ObTOMume7apU7WOadhYLetSHB0BIIkZgRUvLbc0Ye14PsHC5P+ABSB6YJodGDMj&#10;46zp3WZnB3JqyW4GaCPKexghYIDpsFm3cGiE/IjRAKsrxerDlkiKUfuCAwliLwjMrrNCEM59EOTp&#10;y+b0hfACXKVYY2irOWZ63I/bXrK6gUiexYqLKxjditmxesgKSjICrCdb3H6Vmv13Kluth4W/+AUA&#10;AP//AwBQSwMEFAAGAAgAAAAhADSUBV/dAAAACQEAAA8AAABkcnMvZG93bnJldi54bWxMj8tOwzAQ&#10;RfdI/IM1SOyo7VSKSohTISTEY4FE2w9w4mkSEY9D7Dbp3zOsYDm6R3fOLbeLH8QZp9gHMqBXCgRS&#10;E1xPrYHD/vluAyImS84OgdDABSNsq+ur0hYuzPSJ511qBZdQLKyBLqWxkDI2HXobV2FE4uwYJm8T&#10;n1Mr3WRnLveDzJTKpbc98YfOjvjUYfO1O3kD89vh+PHSYK3fR0/frcJLekVjbm+WxwcQCZf0B8Ov&#10;PqtDxU51OJGLYjCQZTpnlIMNT2Bgrdf3IGoDudIgq1L+X1D9AAAA//8DAFBLAQItABQABgAIAAAA&#10;IQC2gziS/gAAAOEBAAATAAAAAAAAAAAAAAAAAAAAAABbQ29udGVudF9UeXBlc10ueG1sUEsBAi0A&#10;FAAGAAgAAAAhADj9If/WAAAAlAEAAAsAAAAAAAAAAAAAAAAALwEAAF9yZWxzLy5yZWxzUEsBAi0A&#10;FAAGAAgAAAAhAMnJV5kDAwAAOAYAAA4AAAAAAAAAAAAAAAAALgIAAGRycy9lMm9Eb2MueG1sUEsB&#10;Ai0AFAAGAAgAAAAhADSUBV/dAAAACQEAAA8AAAAAAAAAAAAAAAAAXQUAAGRycy9kb3ducmV2Lnht&#10;bFBLBQYAAAAABAAEAPMAAABnBgAAAAA=&#10;">
                  <v:path/>
                  <v:fill type="gradient" on="f" color2="#9CBEE0" focus="100%" focussize="0f,0f">
                    <o:fill type="gradientUnscaled" v:ext="backwardCompatible"/>
                  </v:fill>
                  <v:stroke on="f" weight="1.25pt" color="#739CC3"/>
                  <v:imagedata o:title=""/>
                  <o:lock v:ext="edit"/>
                  <v:textbox>
                    <w:txbxContent>
                      <w:p>
                        <w:r>
                          <w:rPr>
                            <w:rFonts w:hint="eastAsia"/>
                          </w:rPr>
                          <w:t>27.9</w:t>
                        </w:r>
                      </w:p>
                    </w:txbxContent>
                  </v:textbox>
                </v:rect>
              </w:pict>
            </w:r>
            <w:r>
              <w:rPr>
                <w:rFonts w:ascii="宋体" w:hAnsi="宋体"/>
                <w:bCs/>
                <w:sz w:val="24"/>
              </w:rPr>
              <w:pict>
                <v:rect id="矩形 202" o:spid="_x0000_s1062" o:spt="1" style="position:absolute;left:0pt;margin-left:246.2pt;margin-top:9.4pt;height:20.65pt;width:39.5pt;z-index:251676672;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lAwMAADgGAAAOAAAAZHJzL2Uyb0RvYy54bWysVE2O0zAU3iNxB8v7TJM0aZtoUjRNWoQ0&#10;wEgDYu0mTmKR2MF2Jx0QZ0FixyE4DuIaPDttJx02CMgisv3+v/e9d/ls3zbojkrFBE+wd+FiRHku&#10;CsarBL99s3EWGClNeEEawWmC76nCz5ZPn1z2XUx9UYumoBKBE67ivktwrXUXTyYqr2lL1IXoKAdh&#10;KWRLNFxlNSkk6cF720x8151NeiGLToqcKgWv2SDES+u/LGmuX5eloho1CYbctP1L+9+a/2R5SeJK&#10;kq5m+SEN8hdZtIRxCHpylRFN0E6y31y1LJdCiVJf5KKdiLJkObU1QDWe+6ia25p01NYC4KjuBJP6&#10;f27zV3c3ErEiwT7Aw0kLPfr55duP71+R7/oGnr5TMWjddjfSFKi6a5G/V4iLtCa8oldSir6mpICk&#10;PKM/OTMwFwWmaNu/FAU4JzstLFL7UrbGIWCA9rYh96eG0L1GOTyGrjcLIa8cRP7M98PQRiDx0biT&#10;Sj+nokXmkGAJ/bbOyd210iYZEh9VTCwuNqxpbM8bfvYAisMLhAZTIzNJ2BZ+itxovVgvAifwZ2sn&#10;cLPMudqkgTPbePMwm2ZpmnmfTVwviGtWFJSbMEc6ecGftetA7IEIY0IV1psU+h3TteWEAcqkWKlD&#10;rpVCnYAODM9KVtu0keiOAOtXqyzcWKJDjZUazAZtzzWf9XRmEqWr9XpsYi0PoRrGETQemhMM5gPM&#10;MEM2T4P5GQy2CYDlI0g9P3BXfuRsZou5E2yC0Inm7sJxvWgVzdwgCrLNOaTXjNN/hxT1QNNwMQ+H&#10;qkXDDlkDs8eozadRmk4PbFNjtZZp2FgNaxO8OAFAYjMCa15YbmnCmuE8wsLk/4AFIHpkmh0YMyPD&#10;rOn9dm8Hcjo7jt9WFPcwQsAA02GzbuFQC/kRox5WV4LVhx2RFKPmBQcSRF4QmF1nL0E4N5Mtx5Lt&#10;WEJ4Dq4SrDG01RxTPezHXSdZVUMkz2LFxRWMbsnsWJmxHrKCkswF1pMt7rBKzf4b363Ww8Jf/gIA&#10;AP//AwBQSwMEFAAGAAgAAAAhAMgdCobeAAAACQEAAA8AAABkcnMvZG93bnJldi54bWxMj81uwjAQ&#10;hO+VeAdrkXordhClNMRBqFLVnwNSKQ/gxEsSEa9DbEh4+25P7XFnPs3OZJvRteKKfWg8aUhmCgRS&#10;6W1DlYbD9+vDCkSIhqxpPaGGGwbY5JO7zKTWD/SF132sBIdQSI2GOsYulTKUNToTZr5DYu/oe2ci&#10;n30lbW8GDnetnCu1lM40xB9q0+FLjeVpf3Eaho/DcfdWYpF8do7OlcJbfEet76fjdg0i4hj/YPit&#10;z9Uh506Fv5ANotWweJ4vGGVjxRMYeHxKWCg0LFUCMs/k/wX5DwAAAP//AwBQSwECLQAUAAYACAAA&#10;ACEAtoM4kv4AAADhAQAAEwAAAAAAAAAAAAAAAAAAAAAAW0NvbnRlbnRfVHlwZXNdLnhtbFBLAQIt&#10;ABQABgAIAAAAIQA4/SH/1gAAAJQBAAALAAAAAAAAAAAAAAAAAC8BAABfcmVscy8ucmVsc1BLAQIt&#10;ABQABgAIAAAAIQBdUMTlAwMAADgGAAAOAAAAAAAAAAAAAAAAAC4CAABkcnMvZTJvRG9jLnhtbFBL&#10;AQItABQABgAIAAAAIQDIHQqG3gAAAAkBAAAPAAAAAAAAAAAAAAAAAF0FAABkcnMvZG93bnJldi54&#10;bWxQSwUGAAAAAAQABADzAAAAaAYAAAAA&#10;">
                  <v:path/>
                  <v:fill type="gradient" on="f" color2="#9CBEE0" focus="100%" focussize="0f,0f">
                    <o:fill type="gradientUnscaled" v:ext="backwardCompatible"/>
                  </v:fill>
                  <v:stroke on="f" weight="1.25pt" color="#739CC3"/>
                  <v:imagedata o:title=""/>
                  <o:lock v:ext="edit"/>
                  <v:textbox>
                    <w:txbxContent>
                      <w:p>
                        <w:r>
                          <w:rPr>
                            <w:rFonts w:hint="eastAsia"/>
                          </w:rPr>
                          <w:t>22.3</w:t>
                        </w:r>
                      </w:p>
                    </w:txbxContent>
                  </v:textbox>
                </v:rect>
              </w:pict>
            </w:r>
            <w:r>
              <w:rPr>
                <w:rFonts w:ascii="宋体" w:hAnsi="宋体"/>
                <w:bCs/>
                <w:sz w:val="24"/>
              </w:rPr>
              <w:pict>
                <v:shape id="自选图形 197" o:spid="_x0000_s1083" o:spt="32" type="#_x0000_t32" style="position:absolute;left:0pt;flip:y;margin-left:177.9pt;margin-top:9.4pt;height:17.1pt;width:15.65pt;z-index:25167155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HXZgIAAIwEAAAOAAAAZHJzL2Uyb0RvYy54bWysVM1u1DAQviPxDpbv2yTb/Y2arVCyy6VA&#10;pRbuXtvZWDi2ZbubXSEkbohn4MaRd4C3qQRvwdjZblu4IEQOzjie+fzNzDc5O9+1Em25dUKrAmcn&#10;KUZcUc2E2hT49fVqMMPIeaIYkVrxAu+5w+eLp0/OOpPzoW60ZNwiAFEu70yBG+9NniSONrwl7kQb&#10;ruCw1rYlHrZ2kzBLOkBvZTJM00nSacuM1ZQ7B1+r/hAvIn5dc+pf1bXjHskCAzcfVxvXdViTxRnJ&#10;N5aYRtADDfIPLFoiFFx6hKqIJ+jGij+gWkGtdrr2J1S3ia5rQXnMAbLJ0t+yuWqI4TEXKI4zxzK5&#10;/wdLX24vLRIMejfHSJEWevTj49efHz7dfv5+++0LyubTUKTOuBx8S3VpQ5p0p67MhaZvHVK6bIja&#10;8Ej2em8AIAsRyaOQsHEGrlp3LzQDH3LjdazYrrYtqqUwb0JgAIeqoF1s0f7YIr7ziMLHbD6bjscY&#10;UTgaZtNsGluYkDzAhGBjnX/OdYuCUWDnLRGbxpdaKRCDtv0VZHvhfCB5HxCClV4JKaMmpEJdgSen&#10;4zRycloKFg6Dm7ObdSkt2pKgqvjEjOHkoVtgUBHX9H4MrEr7XnFW3ygW72k4YcuD7YmQYCMfq+it&#10;gLpKjgORljOMJIcZC1bPXKpABioDuRysXnPv5ul8OVvORoPRcLIcjNKqGjxblaPBZJVNx9VpVZZV&#10;9j7klY3yRjDGVUjtTv/Z6O/0dZjEXrnHCTjWMHmMHosNZO/ekXQUSdBFr7C1ZvtLG7ILegHJR+fD&#10;eIaZeriPXvc/kcUvAAAA//8DAFBLAwQUAAYACAAAACEAHcB8wd4AAAAJAQAADwAAAGRycy9kb3du&#10;cmV2LnhtbEyPT0vEMBDF74LfIYzgzU3/0LXUpossCF4UrXvwONvEpmwzKU12W7+940lPj+E93vtN&#10;vVvdKC5mDoMnBekmAWGo83qgXsHh4+muBBEiksbRk1HwbQLsmuurGivtF3o3lzb2gksoVKjAxjhV&#10;UobOGodh4ydD7H352WHkc+6lnnHhcjfKLEm20uFAvGBxMntrulN7dgr2b6uT+Nql2ef2ZbHP8dRm&#10;/UGp25v18QFENGv8C8MvPqNDw0xHfyYdxKggLwpGj2yUrBzIy/sUxFFBkScgm1r+/6D5AQAA//8D&#10;AFBLAQItABQABgAIAAAAIQC2gziS/gAAAOEBAAATAAAAAAAAAAAAAAAAAAAAAABbQ29udGVudF9U&#10;eXBlc10ueG1sUEsBAi0AFAAGAAgAAAAhADj9If/WAAAAlAEAAAsAAAAAAAAAAAAAAAAALwEAAF9y&#10;ZWxzLy5yZWxzUEsBAi0AFAAGAAgAAAAhAP0uoddmAgAAjAQAAA4AAAAAAAAAAAAAAAAALgIAAGRy&#10;cy9lMm9Eb2MueG1sUEsBAi0AFAAGAAgAAAAhAB3AfMHeAAAACQEAAA8AAAAAAAAAAAAAAAAAwAQA&#10;AGRycy9kb3ducmV2LnhtbFBLBQYAAAAABAAEAPMAAADLBQAAAAA=&#10;">
                  <v:path arrowok="t"/>
                  <v:fill on="f" focussize="0,0"/>
                  <v:stroke weight="0.5pt" dashstyle="dashDo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shape id="自选图形 199" o:spid="_x0000_s1082" o:spt="32" type="#_x0000_t32" style="position:absolute;left:0pt;margin-left:251.05pt;margin-top:14.75pt;height:0.7pt;width:33.6pt;z-index:25167360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I6qUAIAAGUEAAAOAAAAZHJzL2Uyb0RvYy54bWysVE2O0zAU3iNxB8v7Nkmn02mjpiOUtGwG&#10;qDTDAVzbaSwc27LdphVCYoc4AzuW3AFuMxLcgmf3hxnYIEQWznP8fr73vc+ZXu9aibbcOqFVgbN+&#10;ihFXVDOh1gV+fbfojTFynihGpFa8wHvu8PXs6ZNpZ3I+0I2WjFsESZTLO1PgxnuTJ4mjDW+J62vD&#10;FRzW2rbEw9auE2ZJB9lbmQzSdJR02jJjNeXOwdfqcIhnMX9dc+pf1bXjHskCAzYfVxvXVViT2ZTk&#10;a0tMI+gRBvkHFC0RCoqeU1XEE7Sx4o9UraBWO137PtVtoutaUB57gG6y9LdubhtieOwFyHHmTJP7&#10;f2npy+3SIsFgdjApRVqY0fcPX368/3j/6dv9188om0wCSZ1xOfiWamlDm3Snbs2Npm8cUrpsiFrz&#10;CPZubyBBFiKSRyFh4wyUWnUvNAMfsvE6MrarbRtSAhdoFwezPw+G7zyi8HE4GF0NYHwUjsbjSRxb&#10;QvJTqLHOP+e6RcEosPOWiHXjS60UCEDbLBYi2xvnAzCSnwJCXaUXQsqoA6lQV+DRxWUaA5yWgoXD&#10;4ObselVKi7YkKCk+sUs4eehm9UaxmKzhhM2PtidCgo18pMdbAYRJjkO1ljOMJIfLE6wDPKlCRWge&#10;AB+tg5jeTtLJfDwfD3vAyLw3TKuq92xRDnujRXZ1WV1UZVll7wL4bJg3gjGuAv6TsLPh3wnneMUO&#10;kjxL+0xU8jh7ZBTAnt4RdJx+GPhBOivN9ksbugtCAC1H5+O9C5fl4T56/fo7zH4CAAD//wMAUEsD&#10;BBQABgAIAAAAIQAMuQzN3wAAAAkBAAAPAAAAZHJzL2Rvd25yZXYueG1sTI9BS8NAEIXvgv9hGcGL&#10;tLtNSTExmyKCguDFVKHHaXZMgtnZkN20qb/e9VSPw/t475tiO9teHGn0nWMNq6UCQVw703Gj4WP3&#10;vLgH4QOywd4xaTiTh215fVVgbtyJ3+lYhUbEEvY5amhDGHIpfd2SRb90A3HMvtxoMcRzbKQZ8RTL&#10;bS8TpTbSYsdxocWBnlqqv6vJagiKd1U37V/Dyzn7UW9Jr/DuU+vbm/nxAUSgOVxg+NOP6lBGp4Ob&#10;2HjRa0hVsoqohiRLQUQg3WRrEAcNa5WBLAv5/4PyFwAA//8DAFBLAQItABQABgAIAAAAIQC2gziS&#10;/gAAAOEBAAATAAAAAAAAAAAAAAAAAAAAAABbQ29udGVudF9UeXBlc10ueG1sUEsBAi0AFAAGAAgA&#10;AAAhADj9If/WAAAAlAEAAAsAAAAAAAAAAAAAAAAALwEAAF9yZWxzLy5yZWxzUEsBAi0AFAAGAAgA&#10;AAAhANrMjqpQAgAAZQQAAA4AAAAAAAAAAAAAAAAALgIAAGRycy9lMm9Eb2MueG1sUEsBAi0AFAAG&#10;AAgAAAAhAAy5DM3fAAAACQEAAA8AAAAAAAAAAAAAAAAAqgQAAGRycy9kb3ducmV2LnhtbFBLBQYA&#10;AAAABAAEAPMAAAC2BQAAAAA=&#10;">
                  <v:path arrowok="t"/>
                  <v:fill on="f" focussize="0,0"/>
                  <v:stroke weight="0.5pt" endarrow="block"/>
                  <v:imagedata o:title=""/>
                  <o:lock v:ext="edit"/>
                </v:shape>
              </w:pict>
            </w:r>
            <w:r>
              <w:rPr>
                <w:rFonts w:ascii="宋体" w:hAnsi="宋体"/>
                <w:bCs/>
                <w:sz w:val="24"/>
              </w:rPr>
              <w:pict>
                <v:rect id="矩形 144" o:spid="_x0000_s1063" o:spt="1" style="position:absolute;left:0pt;margin-left:163pt;margin-top:3.1pt;height:21.4pt;width:88.05pt;z-index:251623424;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cTNzQIAAI4FAAAOAAAAZHJzL2Uyb0RvYy54bWysVMuO0zAU3SPxD5b3ndRt+oomHc0kLUIa&#10;YKQBsXYTJ7Fw7GC7TQfEtyCx4yP4HMRvcO2kJQMbhOjCtXMfvufc43t5dawFOjBtuJIxJhdjjJjM&#10;VM5lGeM3r7ejJUbGUplToSSL8QMz+Gr99Mll20RsoiolcqYRJJEmapsYV9Y2URCYrGI1NReqYRKM&#10;hdI1tXDUZZBr2kL2WgST8XgetErnjVYZMwa+pp0Rr33+omCZfVUUhlkkYgy1Wb9qv+7cGqwvaVRq&#10;2lQ868ug/1BFTbmES8+pUmop2mv+R6qaZ1oZVdiLTNWBKgqeMY8B0JDxb2juK9owjwXIMc2ZJvP/&#10;0mYvD3ca8Rx6t8BI0hp69OPz1+/fviASho6etjEReN03d9oBNM2tyt4ZJFVSUVmya61VWzGaQ1HE&#10;+QePAtzBQCjatS9UDsnp3irP1LHQtUsIHKCjb8jDuSHsaFEGHwkhy8l0hlEGtsmCLJa+YwGNTtGN&#10;NvYZUzVymxhraLjPTg+3xrpqaHRycZdJteVC+KYLidoYz6ezsQ8wSvDcGT1IXe4SodGBOtn4n4cG&#10;8IduNbcgXsHrGC/PTjRybGxk7m+xlItuD5UI6ZIDOKit33Ui+bgarzbLzTIchZP5ZhSO03R0vU3C&#10;0XxLFrN0miZJSj65OkkYVTzPmXSlngRLwr8TRP90OqkNJeuBI63sW24rrzrXCldiafpaS4MaBT3u&#10;2RoSdHOTzranxpSmC+u8SUeL+2SGIavkZrMZhgA756sElwikFeNZeGbV2TXtGxQ8psF3GVg9/fuK&#10;vQyd8joF2+Pu6GU+XZxEvVP5AwgTUDtUbojBplL6A0YtDIQYm/d7qhlG4rkE4Ct4D26C+EM4W0zg&#10;oIeW3dBCZQapYmwxQHHbxHZTZ99oXlZwE/H8SnUND6LgXqvusXRV9c8IHr0H1Q8oN1WGZ+/1a4yu&#10;fwIAAP//AwBQSwMEFAAGAAgAAAAhAN2mifbdAAAACAEAAA8AAABkcnMvZG93bnJldi54bWxMj8FO&#10;wzAQRO9I/IO1SFwqaseUCEKcClXiAxoQErdNbGJDvA6x2wa+HnOC42hGM2/q7eJHdjRzdIEUFGsB&#10;zFAftKNBwfPT49UtsJiQNI6BjIIvE2HbnJ/VWOlwor05tmlguYRihQpsSlPFeeyt8RjXYTKUvbcw&#10;e0xZzgPXM55yuR+5FKLkHh3lBYuT2VnTf7QHr6Ddb/irEy/frniXu44srj5XqNTlxfJwDyyZJf2F&#10;4Rc/o0OTmbpwIB3ZqOBalvlLUlBKYNm/EbIA1inY3AngTc3/H2h+AAAA//8DAFBLAQItABQABgAI&#10;AAAAIQC2gziS/gAAAOEBAAATAAAAAAAAAAAAAAAAAAAAAABbQ29udGVudF9UeXBlc10ueG1sUEsB&#10;Ai0AFAAGAAgAAAAhADj9If/WAAAAlAEAAAsAAAAAAAAAAAAAAAAALwEAAF9yZWxzLy5yZWxzUEsB&#10;Ai0AFAAGAAgAAAAhAFZ1xM3NAgAAjgUAAA4AAAAAAAAAAAAAAAAALgIAAGRycy9lMm9Eb2MueG1s&#10;UEsBAi0AFAAGAAgAAAAhAN2mifbdAAAACAEAAA8AAAAAAAAAAAAAAAAAJwUAAGRycy9kb3ducmV2&#10;LnhtbFBLBQYAAAAABAAEAPMAAAAxBgAAAAA=&#10;">
                  <v:path/>
                  <v:fill type="gradient" on="f" color2="#9CBEE0" focus="100%" focussize="0f,0f">
                    <o:fill type="gradientUnscaled" v:ext="backwardCompatible"/>
                  </v:fill>
                  <v:stroke weight="0.5pt"/>
                  <v:imagedata o:title=""/>
                  <o:lock v:ext="edit"/>
                  <v:textbox>
                    <w:txbxContent>
                      <w:p>
                        <w:pPr>
                          <w:rPr>
                            <w:rFonts w:ascii="宋体" w:hAnsi="宋体"/>
                            <w:szCs w:val="21"/>
                          </w:rPr>
                        </w:pPr>
                        <w:r>
                          <w:rPr>
                            <w:rFonts w:ascii="宋体" w:hAnsi="宋体"/>
                            <w:szCs w:val="21"/>
                          </w:rPr>
                          <w:t>未预见用水</w:t>
                        </w:r>
                      </w:p>
                    </w:txbxContent>
                  </v:textbox>
                </v:rect>
              </w:pict>
            </w:r>
            <w:r>
              <w:rPr>
                <w:rFonts w:ascii="宋体" w:hAnsi="宋体"/>
                <w:bCs/>
                <w:sz w:val="24"/>
              </w:rPr>
              <w:pict>
                <v:shape id="自选图形 169" o:spid="_x0000_s1081" o:spt="32" type="#_x0000_t32" style="position:absolute;left:0pt;flip:y;margin-left:117.3pt;margin-top:10.2pt;height:0.7pt;width:46.25pt;z-index:25164390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WgKWAIAAG8EAAAOAAAAZHJzL2Uyb0RvYy54bWysVMGO0zAQvSPxD5bv3SS7bTeNmq5Q0nJZ&#10;oNIu3F3baSwc27K9TSuExA3xDdw48g/wNyvBXzB2u91duCBEDs44nnnzZuY504ttJ9GGWye0KnF2&#10;kmLEFdVMqHWJX18vBjlGzhPFiNSKl3jHHb6YPX0y7U3BT3WrJeMWAYhyRW9K3HpviiRxtOUdcSfa&#10;cAWHjbYd8bC164RZ0gN6J5PTNB0nvbbMWE25c/C13h/iWcRvGk79q6Zx3CNZYuDm42rjugprMpuS&#10;Ym2JaQU90CD/wKIjQkHSI1RNPEE3VvwB1QlqtdONP6G6S3TTCMpjDVBNlv5WzVVLDI+1QHOcObbJ&#10;/T9Y+nKztEgwmN0YI0U6mNGPj19/fvh0+/n77bcvKBtPQpN64wrwrdTShjLpVl2ZS03fOqR01RK1&#10;5pHs9c4AQBYikkchYeMMpFr1LzQDH3LjdezYtrEdaqQwb0JgAIeuoG0c0e44Ir71iMLHUX5+dj7C&#10;iMJRnk/iABNSBJAQaqzzz7nuUDBK7LwlYt36SisFUtB2n4BsLp0PFO8DQrDSCyFlVIRUqC/x+GyU&#10;RkZOS8HCYXBzdr2qpEUbEjQVn1gvnDx0s/pGsQjWcsLmB9sTIcFGPjbKWwGtkxyHbB1nGEkO1yhY&#10;e3pShYxQPBA+WHtZvZukk3k+z4eD4el4PhimdT14tqiGg/EiOx/VZ3VV1dn7QD4bFq1gjKvA/07i&#10;2fDvJHS4bHtxHkV+bFTyGD12FMjevSPpqIMw+r2IVprtljZUFyQBqo7OhxsYrs3DffS6/0/MfgEA&#10;AP//AwBQSwMEFAAGAAgAAAAhADHMgujdAAAACQEAAA8AAABkcnMvZG93bnJldi54bWxMj01PwzAM&#10;hu9I/IfISNxY0nbqpq7pNBA97IQYiHPWeG1F45Qm28q/x5zg5o9Hrx+X29kN4oJT6D1pSBYKBFLj&#10;bU+thve3+mENIkRD1gyeUMM3BthWtzelKay/0iteDrEVHEKhMBq6GMdCytB06ExY+BGJdyc/ORO5&#10;nVppJ3PlcDfIVKlcOtMTX+jMiE8dNp+Hs9OQpZg/fuHLx7NyUu3dqt7th1rr+7t5twERcY5/MPzq&#10;szpU7HT0Z7JBDBrSbJkzyoVagmAgS1cJiCMPkjXIqpT/P6h+AAAA//8DAFBLAQItABQABgAIAAAA&#10;IQC2gziS/gAAAOEBAAATAAAAAAAAAAAAAAAAAAAAAABbQ29udGVudF9UeXBlc10ueG1sUEsBAi0A&#10;FAAGAAgAAAAhADj9If/WAAAAlAEAAAsAAAAAAAAAAAAAAAAALwEAAF9yZWxzLy5yZWxzUEsBAi0A&#10;FAAGAAgAAAAhAE6taApYAgAAbwQAAA4AAAAAAAAAAAAAAAAALgIAAGRycy9lMm9Eb2MueG1sUEsB&#10;Ai0AFAAGAAgAAAAhADHMgujdAAAACQEAAA8AAAAAAAAAAAAAAAAAsgQAAGRycy9kb3ducmV2Lnht&#10;bFBLBQYAAAAABAAEAPMAAAC8BQAAAAA=&#10;">
                  <v:path arrowok="t"/>
                  <v:fill on="f" focussize="0,0"/>
                  <v:stroke weight="0.5pt" endarrow="block"/>
                  <v:imagedata o:title=""/>
                  <o:lock v:ext="edit"/>
                </v:shape>
              </w:pict>
            </w:r>
          </w:p>
          <w:p>
            <w:pPr>
              <w:tabs>
                <w:tab w:val="left" w:pos="6480"/>
              </w:tabs>
              <w:spacing w:line="360" w:lineRule="auto"/>
              <w:ind w:firstLine="480" w:firstLineChars="200"/>
              <w:rPr>
                <w:rFonts w:ascii="宋体" w:hAnsi="宋体"/>
                <w:bCs/>
                <w:sz w:val="24"/>
              </w:rPr>
            </w:pPr>
            <w:r>
              <w:rPr>
                <w:rFonts w:ascii="宋体" w:hAnsi="宋体"/>
                <w:bCs/>
                <w:sz w:val="24"/>
              </w:rPr>
              <w:pict>
                <v:rect id="矩形 206" o:spid="_x0000_s1064" o:spt="1" style="position:absolute;left:0pt;margin-left:175.45pt;margin-top:6.8pt;height:23.5pt;width:62.4pt;z-index:251680768;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ySLAgMAADgGAAAOAAAAZHJzL2Uyb0RvYy54bWysVMuO0zAU3SPxD5b3mTzGbZNoMmiatAhp&#10;eEiAWLuJk1gkdrA9kw6Ib0Fix0fwOYjf4NppO+2wQUAWke37Pufee/Fk23folinNpchweBZgxEQp&#10;Ky6aDL99s/ZijLShoqKdFCzDd0zjJ5ePH12MQ8oi2cquYgqBE6HTcchwa8yQ+r4uW9ZTfSYHJkBY&#10;S9VTA1fV+JWiI3jvOz8Kgrk/SlUNSpZMa3gtJiG+dP7rmpXmZV1rZlCXYcjNuL9y/439+5cXNG0U&#10;HVpe7tKgf5FFT7mAoAdXBTUU3Sj+m6uel0pqWZuzUva+rGteMlcDVBMGD6p53dKBuVoAHD0cYNL/&#10;z2354vaVQrwC7mYYCdoDRz+/fPvx/SuKgrmFZxx0Clqvh1fKFqiHa1m+10jIvKWiYVdKybFltIKk&#10;QqvvnxjYiwZTtBmfywqc0xsjHVLbWvXWIWCAto6QuwMhbGtQCY+LJCIx0FaCKEpiMnOE+TTdGw9K&#10;m6dM9sgeMqyAb+ec3l5rY5Oh6V7FxhJyzbvOcd6JkwdQnF4gNJhamU3CUfgpCZJVvIqJR6L5yiNB&#10;UXhX65x483W4mBXnRZ4X4WcbNyRpy6uKCRtm304h+TO6do09NcJxQ1XOm5LmHTet6wkLlE2x0btc&#10;G40GCQxMz1o1m7xT6JZC1y+XxWy9x63Rk9mkHQb2c55OTJJ8uVodmwA6h1AdFwiIz/CMTOYTzDBD&#10;Lk+L+QkMjgTA8gGkYUSCZZR463m88MiazLxkEcReECbLZB6QhBTrU0ivuWD/DikabafHi9lUtez4&#10;Lmvo7GPUFudJnp+7fgbJsVrPDWysjvcZjg8A0NSOwEpUrrcM5d10PsLC5n+PBSC67zQ3MHZGplkz&#10;283WDeR5vB+/jazuYISgAyzDdt3CoZXqI0YjrK4M6w83VDGMumcCmiAJCbG7zl3IbBHBRR1LNscS&#10;KkpwlWGDgVZ7zM20H28GxZsWIoUOKyGvYHRr7sbKjvWUFZRkL7CeXHG7VWr33/Hdad0v/MtfAAAA&#10;//8DAFBLAwQUAAYACAAAACEA/7yyR98AAAAJAQAADwAAAGRycy9kb3ducmV2LnhtbEyPy27CMBBF&#10;95X6D9ZU6q7YlBJKiIOqSlUfCyQoH+DEQxI1HqexIeHvGVbtcnSP7j2TrUfXihP2ofGkYTpRIJBK&#10;bxuqNOy/3x6eQYRoyJrWE2o4Y4B1fnuTmdT6gbZ42sVKcAmF1GioY+xSKUNZozNh4jskzg6+dyby&#10;2VfS9mbgctfKR6US6UxDvFCbDl9rLH92R6dh+NwfNu8lFtOvztFvpfAcP1Dr+7vxZQUi4hj/YLjq&#10;szrk7FT4I9kgWg2zuVoyysEsAcHA02K+AFFoSFQCMs/k/w/yCwAAAP//AwBQSwECLQAUAAYACAAA&#10;ACEAtoM4kv4AAADhAQAAEwAAAAAAAAAAAAAAAAAAAAAAW0NvbnRlbnRfVHlwZXNdLnhtbFBLAQIt&#10;ABQABgAIAAAAIQA4/SH/1gAAAJQBAAALAAAAAAAAAAAAAAAAAC8BAABfcmVscy8ucmVsc1BLAQIt&#10;ABQABgAIAAAAIQDX7ySLAgMAADgGAAAOAAAAAAAAAAAAAAAAAC4CAABkcnMvZTJvRG9jLnhtbFBL&#10;AQItABQABgAIAAAAIQD/vLJH3wAAAAkBAAAPAAAAAAAAAAAAAAAAAFwFAABkcnMvZG93bnJldi54&#10;bWxQSwUGAAAAAAQABADzAAAAaAYAAAAA&#10;">
                  <v:path/>
                  <v:fill type="gradient" on="f" color2="#9CBEE0" focus="100%" focussize="0f,0f">
                    <o:fill type="gradientUnscaled" v:ext="backwardCompatible"/>
                  </v:fill>
                  <v:stroke on="f" weight="1.25pt" color="#739CC3"/>
                  <v:imagedata o:title=""/>
                  <o:lock v:ext="edit"/>
                  <v:textbox>
                    <w:txbxContent>
                      <w:p>
                        <w:r>
                          <w:rPr>
                            <w:rFonts w:hint="eastAsia"/>
                          </w:rPr>
                          <w:t>损耗28.1</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rect id="矩形 201" o:spid="_x0000_s1065" o:spt="1" style="position:absolute;left:0pt;margin-left:251.05pt;margin-top:6.9pt;height:32.25pt;width:25.9pt;z-index:251675648;mso-width-relative:page;mso-height-relative:page;" fillcolor="#BBD5F0"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BEczQIAAI4FAAAOAAAAZHJzL2Uyb0RvYy54bWysVMGO0zAQvSPxD5bv3SRtsttEm652kxYh&#10;LbDSgji7iZNYOHaw3aYL4luQuPERfA7iNxg7acnCBSF6SD32zPi9mee5vDq0HO2p0kyKFAdnPkZU&#10;FLJkok7xm9eb2RIjbYgoCZeCpviBany1evrksu8SOpeN5CVVCJIInfRdihtjusTzdNHQlugz2VEB&#10;h5VULTFgqtorFekhe8u9ue+fe71UZadkQbWG3Xw4xCuXv6poYV5VlaYG8RQDNuO+yn239uutLklS&#10;K9I1rBhhkH9A0RIm4NJTqpwYgnaK/ZGqZYWSWlbmrJCtJ6uKFdRxADaB/xub+4Z01HGB4ujuVCb9&#10;/9IWL/d3CrESehdiJEgLPfrx+ev3b18QALLl6TudgNd9d6csQd3dyuKdRkJmDRE1vVZK9g0lJYBy&#10;/t6jAGtoCEXb/oUsITnZGekqdahUaxNCDdDBNeTh1BB6MKiAzcV8GS+gbQUchX4cXUQWkUeSY3Cn&#10;tHlGZYvsIsUK+u2Sk/2tNoPr0cXeJeSGce56zgXqAXG0hJyOl+SstKfOUPU24wrtCchm437jxXrq&#10;1jID4uWsTfHSt79BTrYaa1G6awxhfFgDai5sciAH4MbVIJKPsR+vl+tlOAvn5+tZ6Of57HqThbPz&#10;TXAR5Ys8y/Lgk8UZhEnDypIKC/Uo2CD8O0GMT2eQ2lSyjjhS0rxlpnGqs62wEGs9Yq016iT0eNjW&#10;0wLd3OTRxnEHjrUewgbvYCiL3XoUEmc36/U0xEWOV3EmEEgrxVF4qqo9V2RskPe4DE4RUNXjv0vj&#10;ZGiVNyjYHLYHJ/NFfBT1VpYPIExgbVnZIQaLRqoPGPUwEFKs3++Iohjx5wKIx0EY2gnijDC6mIOh&#10;pifb6QkRBaRKscFAxS4zM0ydXadY3cBNgauvkNfwICrmxGofy4AKqFgDHr0jNQ4oO1WmtvP6NUZX&#10;PwEAAP//AwBQSwMEFAAGAAgAAAAhAGhoksvfAAAACQEAAA8AAABkcnMvZG93bnJldi54bWxMj0FP&#10;hDAQhe8m/odmTLy5hUXcBSkbo8GLXnY1Jt5maQUinRJaFvTXO570OHlf3nyv2C22Fycz+s6RgngV&#10;gTBUO91Ro+D1pbragvABSWPvyCj4Mh525flZgbl2M+3N6RAawSXkc1TQhjDkUvq6NRb9yg2GOPtw&#10;o8XA59hIPeLM5baX6yi6kRY74g8tDua+NfXnYbIK3FP19o0txZvreXp41PvsvXrOlLq8WO5uQQSz&#10;hD8YfvVZHUp2OrqJtBe9gjRax4xykPAEBtI0yUAcFWy2CciykP8XlD8AAAD//wMAUEsBAi0AFAAG&#10;AAgAAAAhALaDOJL+AAAA4QEAABMAAAAAAAAAAAAAAAAAAAAAAFtDb250ZW50X1R5cGVzXS54bWxQ&#10;SwECLQAUAAYACAAAACEAOP0h/9YAAACUAQAACwAAAAAAAAAAAAAAAAAvAQAAX3JlbHMvLnJlbHNQ&#10;SwECLQAUAAYACAAAACEAtAwRHM0CAACOBQAADgAAAAAAAAAAAAAAAAAuAgAAZHJzL2Uyb0RvYy54&#10;bWxQSwECLQAUAAYACAAAACEAaGiSy98AAAAJAQAADwAAAAAAAAAAAAAAAAAnBQAAZHJzL2Rvd25y&#10;ZXYueG1sUEsFBgAAAAAEAAQA8wAAADMGAAAAAA==&#10;">
                  <v:path/>
                  <v:fill type="gradient" on="f" color2="#9CBEE0" focus="100%" focussize="0f,0f">
                    <o:fill type="gradientUnscaled" v:ext="backwardCompatible"/>
                  </v:fill>
                  <v:stroke weight="1.25pt" color="#FFFFFF"/>
                  <v:imagedata o:title=""/>
                  <o:lock v:ext="edit"/>
                  <v:textbox>
                    <w:txbxContent>
                      <w:p>
                        <w:r>
                          <w:rPr>
                            <w:rFonts w:hint="eastAsia"/>
                          </w:rPr>
                          <w:t>0</w:t>
                        </w:r>
                      </w:p>
                    </w:txbxContent>
                  </v:textbox>
                </v:rect>
              </w:pict>
            </w:r>
            <w:r>
              <w:rPr>
                <w:rFonts w:ascii="宋体" w:hAnsi="宋体"/>
                <w:bCs/>
                <w:sz w:val="24"/>
              </w:rPr>
              <w:pict>
                <v:rect id="矩形 205" o:spid="_x0000_s1066" o:spt="1" style="position:absolute;left:0pt;margin-left:120.9pt;margin-top:11.8pt;height:22.95pt;width:34.25pt;z-index:251679744;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HNiAgMAADgGAAAOAAAAZHJzL2Uyb0RvYy54bWysVM2O0zAQviPxDpbv2SSt+5NoU7RNWoS0&#10;wEoL4uwmTmKR2MF2N10Qz4LEjYfgcRCvwdhpu+1yQUAOkcee3++bmctnu7ZBd0xpLkWCw4sAIyZy&#10;WXBRJfjtm7U3x0gbKgraSMESfM80frZ4+uSy72I2krVsCqYQOBE67rsE18Z0se/rvGYt1ReyYwIe&#10;S6laakBUlV8o2oP3tvFHQTD1e6mKTsmcaQ232fCIF85/WbLcvC5LzQxqEgy5GfdX7r+xf39xSeNK&#10;0a7m+T4N+hdZtJQLCHp0lVFD0Vbx31y1PFdSy9Jc5LL1ZVnynLkaoJoweFTNbU075moBcHR3hEn/&#10;P7f5q7sbhXgB3I0xErQFjn5++fbj+1c0CiYWnr7TMWjddjfKFqi7a5m/10jItKaiYldKyb5mtICk&#10;QqvvnxlYQYMp2vQvZQHO6dZIh9SuVK11CBignSPk/kgI2xmUwyUZk2g2wSiHp1EUkqnLyKfxwbhT&#10;2jxnskX2kGAFfDvn9O5aG5sMjQ8qNpaQa940jvNGnF2A4nADocHUvtkkHIWfoiBazVdz4pHRdOWR&#10;IMu8q3VKvOk6nE2ycZamWfjZxg1JXPOiYMKGObRTSP6Mrn1jD41w2lCF86akecdN7XrCAmVTrPQ+&#10;10qjTgIDw7VW1SZtFLqj0PXLZTZZu0aHGis9mA3aYWA/5+nMJEqXq9WpibPch2q4QEB8gidkMB9g&#10;hhlyeVrMz2BwJACWjyANRyRYjiJvPZ3PPLImEy+aBXMvCKNlNA1IRLL1OaTXXLB/hxT10KaTOTSV&#10;zUfLhu+zBuEUtdk4StOx6+dHai03sLEa3iZ4fgSAxnYEVqJwvWUob4bzCRY2/wcsANFDp7mBsTMy&#10;zJrZbXZuIIljwA7QRhb3MELQAZZhu27hUEv1EaMeVleC9YctVQyj5oWAJoBBAVtknEAmsxEI6vRl&#10;c/pCRQ6uEmww0GqPqRn247ZTvKohUuiwEvIKRrfkbqwesoKSrADryRW3X6V2/53KTuth4S9+AQAA&#10;//8DAFBLAwQUAAYACAAAACEAkEzejN4AAAAJAQAADwAAAGRycy9kb3ducmV2LnhtbEyPwU7DMBBE&#10;70j8g7VI3Fo7DUQQ4lQICUE5IFH6AU68TSLidYjdJv17tqdy29GOZt4U69n14ohj6DxpSJYKBFLt&#10;bUeNht336+IBRIiGrOk9oYYTBliX11eFya2f6AuP29gIDqGQGw1tjEMuZahbdCYs/YDEv70fnYks&#10;x0ba0Uwc7nq5UiqTznTEDa0Z8KXF+md7cBqmzW7/+VZjlXwMjn4bhaf4jlrf3szPTyAizvFihjM+&#10;o0PJTJU/kA2i17C6Sxg98pFmINiQJioFUWnIHu9BloX8v6D8AwAA//8DAFBLAQItABQABgAIAAAA&#10;IQC2gziS/gAAAOEBAAATAAAAAAAAAAAAAAAAAAAAAABbQ29udGVudF9UeXBlc10ueG1sUEsBAi0A&#10;FAAGAAgAAAAhADj9If/WAAAAlAEAAAsAAAAAAAAAAAAAAAAALwEAAF9yZWxzLy5yZWxzUEsBAi0A&#10;FAAGAAgAAAAhADpgc2ICAwAAOAYAAA4AAAAAAAAAAAAAAAAALgIAAGRycy9lMm9Eb2MueG1sUEsB&#10;Ai0AFAAGAAgAAAAhAJBM3ozeAAAACQEAAA8AAAAAAAAAAAAAAAAAXAUAAGRycy9kb3ducmV2Lnht&#10;bFBLBQYAAAAABAAEAPMAAABnBgAAAAA=&#10;">
                  <v:path/>
                  <v:fill type="gradient" on="f" color2="#9CBEE0" focus="100%" focussize="0f,0f">
                    <o:fill type="gradientUnscaled" v:ext="backwardCompatible"/>
                  </v:fill>
                  <v:stroke on="f" weight="1.25pt" color="#739CC3"/>
                  <v:imagedata o:title=""/>
                  <o:lock v:ext="edit"/>
                  <v:textbox>
                    <w:txbxContent>
                      <w:p>
                        <w:r>
                          <w:rPr>
                            <w:rFonts w:hint="eastAsia"/>
                          </w:rPr>
                          <w:t>28.1</w:t>
                        </w:r>
                      </w:p>
                    </w:txbxContent>
                  </v:textbox>
                </v:rect>
              </w:pict>
            </w:r>
            <w:r>
              <w:rPr>
                <w:rFonts w:ascii="宋体" w:hAnsi="宋体"/>
                <w:bCs/>
                <w:sz w:val="24"/>
              </w:rPr>
              <w:pict>
                <v:shape id="自选图形 198" o:spid="_x0000_s1080" o:spt="32" type="#_x0000_t32" style="position:absolute;left:0pt;flip:y;margin-left:180.05pt;margin-top:6.9pt;height:15pt;width:15.65pt;z-index:25167257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dtyZQIAAIwEAAAOAAAAZHJzL2Uyb0RvYy54bWysVMGO0zAQvSPxD5bv3STdtttGTVcoabks&#10;sNIu3F3baSwc27K9TSuExA3xDdw48g/wNyvBXzB2ut1duCBEDs44nnl+M/Mm8/NdK9GWWye0KnB2&#10;kmLEFdVMqE2BX1+vBlOMnCeKEakVL/CeO3y+ePpk3pmcD3WjJeMWAYhyeWcK3Hhv8iRxtOEtcSfa&#10;cAWHtbYt8bC1m4RZ0gF6K5Nhmk6STltmrKbcOfha9Yd4EfHrmlP/qq4d90gWGLj5uNq4rsOaLOYk&#10;31hiGkEPNMg/sGiJUHDpEaoinqAbK/6AagW12unan1DdJrquBeUxB8gmS3/L5qohhsdcoDjOHMvk&#10;/h8sfbm9tEgw6N0QI0Va6NGPj19/fvh0+/n77bcvKJtNQ5E643LwLdWlDWnSnboyF5q+dUjpsiFq&#10;wyPZ670BgCxEJI9CwsYZuGrdvdAMfMiN17Fiu9q2qJbCvAmBARyqgnaxRftji/jOIwofgc7ZeIwR&#10;haNslo7T2MKE5AEmBBvr/HOuWxSMAjtvidg0vtRKgRi07a8g2wvnA8n7gBCs9EpIGTUhFeoKPDkd&#10;p5GT01KwcBjcnN2sS2nRlgRVxSdmDCcP3QKDirim92NgVdr3irP6RrF4T8MJWx5sT4QEG/lYRW8F&#10;1FVyHIi0nGEkOcxYsHrmUgUyUBnI5WD1mns3S2fL6XI6GoyGk+VglFbV4NmqHA0mq+xsXJ1WZVll&#10;70Ne2ShvBGNchdTu9J+N/k5fh0nslXucgGMNk8fosdhA9u4dSUeRBF30Cltrtr+0IbugF5B8dD6M&#10;Z5iph/vodf8TWfwCAAD//wMAUEsDBBQABgAIAAAAIQBPuanY3gAAAAkBAAAPAAAAZHJzL2Rvd25y&#10;ZXYueG1sTI/NTsMwEITvSLyDtZW4UeeniiDEqVAlJC4gSHvguI3dOGq8jmK3CW/PcoLjznyanam2&#10;ixvE1Uyh96QgXScgDLVe99QpOOxf7h9AhIikcfBkFHybANv69qbCUvuZPs21iZ3gEAolKrAxjqWU&#10;obXGYVj70RB7Jz85jHxOndQTzhzuBpklSSEd9sQfLI5mZ017bi5Owe5jcRLf2zT7Kt5m+xrPTdYd&#10;lLpbLc9PIKJZ4h8Mv/W5OtTc6egvpIMYFORFkjLKRs4TGMgf0w2Io4INC7Ku5P8F9Q8AAAD//wMA&#10;UEsBAi0AFAAGAAgAAAAhALaDOJL+AAAA4QEAABMAAAAAAAAAAAAAAAAAAAAAAFtDb250ZW50X1R5&#10;cGVzXS54bWxQSwECLQAUAAYACAAAACEAOP0h/9YAAACUAQAACwAAAAAAAAAAAAAAAAAvAQAAX3Jl&#10;bHMvLnJlbHNQSwECLQAUAAYACAAAACEA8CXbcmUCAACMBAAADgAAAAAAAAAAAAAAAAAuAgAAZHJz&#10;L2Uyb0RvYy54bWxQSwECLQAUAAYACAAAACEAT7mp2N4AAAAJAQAADwAAAAAAAAAAAAAAAAC/BAAA&#10;ZHJzL2Rvd25yZXYueG1sUEsFBgAAAAAEAAQA8wAAAMoFAAAAAA==&#10;">
                  <v:path arrowok="t"/>
                  <v:fill on="f" focussize="0,0"/>
                  <v:stroke weight="0.5pt" dashstyle="dashDot" endarrow="block"/>
                  <v:imagedata o:title=""/>
                  <o:lock v:ext="edit"/>
                </v:shape>
              </w:pict>
            </w:r>
            <w:r>
              <w:rPr>
                <w:rFonts w:ascii="宋体" w:hAnsi="宋体"/>
                <w:bCs/>
                <w:sz w:val="24"/>
              </w:rPr>
              <w:pict>
                <v:rect id="矩形 186" o:spid="_x0000_s1067" o:spt="1" style="position:absolute;left:0pt;margin-left:163pt;margin-top:21.9pt;height:25.65pt;width:81.2pt;z-index:251660288;mso-width-relative:page;mso-height-relative:page;" fillcolor="#BBD5F0"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dPywIAAI4FAAAOAAAAZHJzL2Uyb0RvYy54bWysVN1u0zAYvUfiHSzfd0napGujpdOWtAhp&#10;wKSBuHYTJ7Fw7GC7TTfEsyBxx0PwOIjX4LOTdhncIEQvXDvf7znfsS8uDw1He6o0kyLBwZmPERW5&#10;LJioEvzu7WaywEgbIgrCpaAJvqcaX66eP7vo2phOZS15QRWCJELHXZvg2pg29jyd17Qh+ky2VICx&#10;lKohBo6q8gpFOsjecG/q+3Ovk6polcyp1vA164145fKXJc3Nm7LU1CCeYOjNuFW5dWtXb3VB4kqR&#10;tmb50Ab5hy4awgQUPaXKiCFop9gfqRqWK6llac5y2XiyLFlOHQZAE/i/obmrSUsdFiBHtyea9P9L&#10;m7/e3yrECphdgJEgDczo55dvP75/RcFibunpWh2D1117qyxA3d7I/INGQqY1ERW9Ukp2NSUFNBVY&#10;f+9JgD1oCEXb7pUsIDnZGemYOpSqsQmBA3RwA7k/DYQeDMrhY+DPgmkIc8vBNptG51HkSpD4GN0q&#10;bV5Q2SC7SbCCgbvsZH+jje2GxEcXW0zIDePcDZ0L1CV4Pot8F6AlZ4U1OpCq2qZcoT2xsnG/oe4T&#10;t4YZEC9nTYIXJycSWzbWonBVDGG830MnXNjkAA56G3a9SD4t/eV6sV6Ek3A6X09CP8smV5s0nMw3&#10;wXmUzbI0zYLPts8gjGtWFFTYVo+CDcK/E8RwdXqpjSXrgCMlzXtmaqc6OwrbYqWHXiuNWgkzHtga&#10;E3R9nUUbd5UAY6X7sN476Gmxn/Q4ZJler9fjEBc5lOJMIJBWgqPwxKq1KzIMyHtKg5sysHr8d2mc&#10;DK3yegWbw/bgZB46kVpZbmVxD8IE1BaVfcRgU0v1gFEHD0KC9ccdURQj/lIA8GUQWiUadwij8ykc&#10;1NiyHVuIyCFVgg0GKHabmv7V2bWKVTVUChy/Ql7BhSiZ0+pjV8M1gkvvQA0PlH1Vxmfn9fiMrn4B&#10;AAD//wMAUEsDBBQABgAIAAAAIQB85DJg3wAAAAkBAAAPAAAAZHJzL2Rvd25yZXYueG1sTI9BTsMw&#10;EEX3SNzBGiQ2FXWShiqETCpUiQM0ICR2k9gkhngcYrcNnB6zguVovv5/r9otdhQnPXvjGCFdJyA0&#10;d04Z7hGenx5vChA+ECsaHWuEL+1hV19eVFQqd+aDPjWhF7GEfUkIQwhTKaXvBm3Jr92kOf7e3Gwp&#10;xHPupZrpHMvtKLMk2UpLhuPCQJPeD7r7aI4WoTnk8tUkL98mfc/2LQ+0+lwR4vXV8nAPIugl/IXh&#10;Fz+iQx2ZWndk5cWIsMm20SUg5JuoEAN5UeQgWoS72xRkXcn/BvUPAAAA//8DAFBLAQItABQABgAI&#10;AAAAIQC2gziS/gAAAOEBAAATAAAAAAAAAAAAAAAAAAAAAABbQ29udGVudF9UeXBlc10ueG1sUEsB&#10;Ai0AFAAGAAgAAAAhADj9If/WAAAAlAEAAAsAAAAAAAAAAAAAAAAALwEAAF9yZWxzLy5yZWxzUEsB&#10;Ai0AFAAGAAgAAAAhAIWRh0/LAgAAjgUAAA4AAAAAAAAAAAAAAAAALgIAAGRycy9lMm9Eb2MueG1s&#10;UEsBAi0AFAAGAAgAAAAhAHzkMmDfAAAACQEAAA8AAAAAAAAAAAAAAAAAJQUAAGRycy9kb3ducmV2&#10;LnhtbFBLBQYAAAAABAAEAPMAAAAxBgAAAAA=&#10;">
                  <v:path/>
                  <v:fill type="gradient" on="f" color2="#9CBEE0" focus="100%" focussize="0f,0f">
                    <o:fill type="gradientUnscaled" v:ext="backwardCompatible"/>
                  </v:fill>
                  <v:stroke weight="0.5pt"/>
                  <v:imagedata o:title=""/>
                  <o:lock v:ext="edit"/>
                  <v:textbox>
                    <w:txbxContent>
                      <w:p>
                        <w:r>
                          <w:rPr>
                            <w:rFonts w:hint="eastAsia"/>
                          </w:rPr>
                          <w:t>绿化用水</w:t>
                        </w:r>
                      </w:p>
                    </w:txbxContent>
                  </v:textbox>
                </v:rect>
              </w:pict>
            </w:r>
          </w:p>
          <w:p>
            <w:pPr>
              <w:tabs>
                <w:tab w:val="left" w:pos="6480"/>
              </w:tabs>
              <w:spacing w:line="360" w:lineRule="auto"/>
              <w:ind w:firstLine="480" w:firstLineChars="200"/>
              <w:rPr>
                <w:rFonts w:ascii="宋体" w:hAnsi="宋体"/>
                <w:bCs/>
                <w:sz w:val="24"/>
              </w:rPr>
            </w:pPr>
            <w:r>
              <w:rPr>
                <w:rFonts w:ascii="宋体" w:hAnsi="宋体"/>
                <w:bCs/>
                <w:sz w:val="24"/>
              </w:rPr>
              <w:pict>
                <v:shape id="自选图形 168" o:spid="_x0000_s1079" o:spt="32" type="#_x0000_t32" style="position:absolute;left:0pt;margin-left:116.3pt;margin-top:5.55pt;height:0.05pt;width:46.25pt;z-index:25164288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jITAIAAGQEAAAOAAAAZHJzL2Uyb0RvYy54bWysVM2O0zAQviPxDpbvbZL+bTdqu0JJy2WB&#10;Srs8gGs7jYVjW7bbtEJI3NA+AzeOvAO8zUrwFozdHyhcECIHZxzPfPPNzOdMbnaNRFtundBqirNu&#10;ihFXVDOh1lP8+n7RGWPkPFGMSK34FO+5wzezp08mrcl5T9daMm4RgCiXt2aKa+9NniSO1rwhrqsN&#10;V3BYadsQD1u7TpglLaA3Muml6ShptWXGasqdg6/l4RDPIn5VcepfVZXjHskpBm4+rjauq7AmswnJ&#10;15aYWtAjDfIPLBoiFCQ9Q5XEE7Sx4g+oRlCrna58l+om0VUlKI81QDVZ+ls1dzUxPNYCzXHm3Cb3&#10;/2Dpy+3SIsFgdtAeRRqY0bcPn7+/f3j8+PXxyyeUjcahSa1xOfgWamlDmXSn7sytpm8cUrqoiVrz&#10;SPZ+bwAgCxHJRUjYOAOpVu0LzcCHbLyOHdtVtgmQ0Au0i4PZnwfDdx5R+DgcX/WvhhhROBr1hxGe&#10;5KdIY51/znWDgjHFzlsi1rUvtFIwf22zmIdsb50PvEh+CghplV4IKaMMpEJtxE9jgNNSsHAY3Jxd&#10;rwpp0ZYEIcXnyOLCzeqNYhGs5oTNj7YnQoKNfOyOtwL6JTkO2RrOMJIc7k6wDvSkChmhdiB8tA5a&#10;enudXs/H8/GgM+iN5p1BWpadZ4ti0Bktsqth2S+LoszeBfLZIK8FY1wF/iddZ4O/083xhh0UeVb2&#10;uVHJJXrsKJA9vSPpOPww74NyVprtlzZUF3QAUo7Ox2sX7sqv++j18+cw+wEAAP//AwBQSwMEFAAG&#10;AAgAAAAhAIvcltTeAAAACQEAAA8AAABkcnMvZG93bnJldi54bWxMj0FLw0AQhe+C/2EZwYu0u9li&#10;qTGbIoKC4MVUweM0WZPg7mzIbtrUX+/0pLeZeY833yu2s3fiYMfYBzKQLRUIS3VoemoNvO+eFhsQ&#10;MSE16AJZAycbYVteXhSYN+FIb/ZQpVZwCMUcDXQpDbmUse6sx7gMgyXWvsLoMfE6trIZ8cjh3kmt&#10;1Fp67Ik/dDjYx87W39XkDSRFu6qfPl/S8+nuR71qp/Dmw5jrq/nhHkSyc/ozwxmf0aFkpn2YqInC&#10;GdArvWYrC1kGgg0rfcvD/nzQIMtC/m9Q/gIAAP//AwBQSwECLQAUAAYACAAAACEAtoM4kv4AAADh&#10;AQAAEwAAAAAAAAAAAAAAAAAAAAAAW0NvbnRlbnRfVHlwZXNdLnhtbFBLAQItABQABgAIAAAAIQA4&#10;/SH/1gAAAJQBAAALAAAAAAAAAAAAAAAAAC8BAABfcmVscy8ucmVsc1BLAQItABQABgAIAAAAIQAO&#10;yZjITAIAAGQEAAAOAAAAAAAAAAAAAAAAAC4CAABkcnMvZTJvRG9jLnhtbFBLAQItABQABgAIAAAA&#10;IQCL3JbU3gAAAAkBAAAPAAAAAAAAAAAAAAAAAKYEAABkcnMvZG93bnJldi54bWxQSwUGAAAAAAQA&#10;BADzAAAAsQUAAAAA&#10;">
                  <v:path arrowok="t"/>
                  <v:fill on="f" focussize="0,0"/>
                  <v:stroke weight="0.5pt" endarrow="block"/>
                  <v:imagedata o:title=""/>
                  <o:lock v:ext="edit"/>
                </v:shape>
              </w:pict>
            </w:r>
            <w:r>
              <w:rPr>
                <w:rFonts w:ascii="宋体" w:hAnsi="宋体"/>
                <w:bCs/>
                <w:sz w:val="24"/>
              </w:rPr>
              <w:pict>
                <v:shape id="自选图形 200" o:spid="_x0000_s1078" o:spt="32" type="#_x0000_t32" style="position:absolute;left:0pt;margin-left:245.35pt;margin-top:7.8pt;height:0pt;width:39.3pt;z-index:25167462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ElZTAIAAGEEAAAOAAAAZHJzL2Uyb0RvYy54bWysVM1u1DAQviPxDpbv2yRtunSjzVYo2eVS&#10;YKWWB/DaTmLh2JbtbnaFkLihPgM3jrwDvE0leAvG3h9auCBEDs44nvnmm5nPmV5ueonW3DqhVYmz&#10;kxQjrqhmQrUlfnOzGF1g5DxRjEiteIm33OHL2dMn08EU/FR3WjJuEYAoVwymxJ33pkgSRzveE3ei&#10;DVdw2GjbEw9b2ybMkgHQe5mcpuk4GbRlxmrKnYOv9e4QzyJ+03DqXzeN4x7JEgM3H1cb11VYk9mU&#10;FK0lphN0T4P8A4ueCAVJj1A18QTdWvEHVC+o1U43/oTqPtFNIyiPNUA1WfpbNdcdMTzWAs1x5tgm&#10;9/9g6av10iLBSjzBSJEeRvT945cfH+7uP327//oZQY9DjwbjCnCt1NKGKulGXZsrTd86pHTVEdXy&#10;yPVmawAgCxHJo5CwcQYyrYaXmoEPufU6NmzT2D5AQivQJs5le5wL33hE4WM+mWQZTI8ejhJSHOKM&#10;df4F1z0KRomdt0S0na+0UjB8bbOYhayvnA+sSHEICEmVXggpowakQkOJx2fnaQxwWgoWDoObs+2q&#10;khatSVBRfGKJcPLQzepbxSJYxwmb721PhAQb+dgbbwV0S3IcsvWcYSQ5XJxg7ehJFTJC5UB4b+2E&#10;9G6STuYX84t8lJ+O56M8revR80WVj8aL7Nl5fVZXVZ29D+SzvOgEY1wF/gdRZ/nfiWZ/vXZyPMr6&#10;2KjkMXrsKJA9vCPpOPow7Z1uVpptlzZUF1QAOo7O+zsXLsrDffT69WeY/QQAAP//AwBQSwMEFAAG&#10;AAgAAAAhAIH5k+TeAAAACQEAAA8AAABkcnMvZG93bnJldi54bWxMj8FKxDAQhu+C7xBG8CJu4upW&#10;W5suIigIXuwqeJxtYltMJqVJd7s+vSMe9Djzf/zzTbmevRM7O8Y+kIaLhQJhqQmmp1bD6+bh/AZE&#10;TEgGXSCr4WAjrKvjoxILE/b0Ynd1agWXUCxQQ5fSUEgZm856jIswWOLsI4weE49jK82Iey73Ti6V&#10;yqTHnvhCh4O972zzWU9eQ1K0qfvp/Sk9HvIv9bx0Cs/etD49me9uQSQ7pz8YfvRZHSp22oaJTBRO&#10;w1WurhnlYJWBYGCV5Zcgtr8LWZXy/wfVNwAAAP//AwBQSwECLQAUAAYACAAAACEAtoM4kv4AAADh&#10;AQAAEwAAAAAAAAAAAAAAAAAAAAAAW0NvbnRlbnRfVHlwZXNdLnhtbFBLAQItABQABgAIAAAAIQA4&#10;/SH/1gAAAJQBAAALAAAAAAAAAAAAAAAAAC8BAABfcmVscy8ucmVsc1BLAQItABQABgAIAAAAIQCX&#10;3ElZTAIAAGEEAAAOAAAAAAAAAAAAAAAAAC4CAABkcnMvZTJvRG9jLnhtbFBLAQItABQABgAIAAAA&#10;IQCB+ZPk3gAAAAkBAAAPAAAAAAAAAAAAAAAAAKYEAABkcnMvZG93bnJldi54bWxQSwUGAAAAAAQA&#10;BADzAAAAsQUAAAAA&#10;">
                  <v:path arrowok="t"/>
                  <v:fill on="f" focussize="0,0"/>
                  <v:stroke weight="0.5pt" endarrow="block"/>
                  <v:imagedata o:title=""/>
                  <o:lock v:ext="edit"/>
                </v:shape>
              </w:pict>
            </w:r>
          </w:p>
          <w:p>
            <w:pPr>
              <w:tabs>
                <w:tab w:val="left" w:pos="6480"/>
              </w:tabs>
              <w:spacing w:line="360" w:lineRule="auto"/>
              <w:ind w:firstLine="480" w:firstLineChars="200"/>
              <w:rPr>
                <w:rFonts w:ascii="宋体" w:hAnsi="宋体"/>
                <w:bCs/>
                <w:sz w:val="24"/>
              </w:rPr>
            </w:pPr>
          </w:p>
          <w:p>
            <w:pPr>
              <w:rPr>
                <w:color w:val="000000"/>
                <w:sz w:val="24"/>
              </w:rPr>
            </w:pPr>
            <w:r>
              <w:rPr>
                <w:rFonts w:hint="eastAsia" w:ascii="宋体" w:hAnsi="宋体"/>
                <w:bCs/>
                <w:sz w:val="24"/>
              </w:rPr>
              <w:t xml:space="preserve">                  </w:t>
            </w:r>
            <w:r>
              <w:rPr>
                <w:rFonts w:hint="eastAsia" w:ascii="宋体" w:hAnsi="宋体"/>
                <w:color w:val="000000"/>
                <w:sz w:val="24"/>
              </w:rPr>
              <w:t xml:space="preserve">图1   </w:t>
            </w:r>
            <w:r>
              <w:rPr>
                <w:rFonts w:hAnsi="宋体"/>
                <w:color w:val="000000"/>
                <w:sz w:val="24"/>
              </w:rPr>
              <w:t>项目给排水平衡图</w:t>
            </w:r>
            <w:r>
              <w:rPr>
                <w:color w:val="000000"/>
                <w:sz w:val="24"/>
              </w:rPr>
              <w:t xml:space="preserve">  </w:t>
            </w:r>
            <w:r>
              <w:rPr>
                <w:rFonts w:hAnsi="宋体"/>
                <w:color w:val="000000"/>
                <w:sz w:val="24"/>
              </w:rPr>
              <w:t>单位：</w:t>
            </w:r>
            <w:r>
              <w:rPr>
                <w:color w:val="000000"/>
                <w:sz w:val="24"/>
              </w:rPr>
              <w:t>m</w:t>
            </w:r>
            <w:r>
              <w:rPr>
                <w:color w:val="000000"/>
                <w:sz w:val="24"/>
                <w:vertAlign w:val="superscript"/>
              </w:rPr>
              <w:t>3</w:t>
            </w:r>
            <w:r>
              <w:rPr>
                <w:color w:val="000000"/>
                <w:sz w:val="24"/>
              </w:rPr>
              <w:t>/d</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排水</w:t>
            </w:r>
          </w:p>
          <w:p>
            <w:pPr>
              <w:spacing w:line="360" w:lineRule="auto"/>
              <w:ind w:firstLine="482"/>
              <w:rPr>
                <w:sz w:val="24"/>
              </w:rPr>
            </w:pPr>
            <w:r>
              <w:rPr>
                <w:rFonts w:hAnsi="宋体"/>
                <w:sz w:val="24"/>
              </w:rPr>
              <w:t>⑴</w:t>
            </w:r>
            <w:r>
              <w:rPr>
                <w:sz w:val="24"/>
              </w:rPr>
              <w:t xml:space="preserve"> </w:t>
            </w:r>
            <w:r>
              <w:rPr>
                <w:rFonts w:hAnsi="宋体"/>
                <w:sz w:val="24"/>
              </w:rPr>
              <w:t>雨水</w:t>
            </w:r>
          </w:p>
          <w:p>
            <w:pPr>
              <w:spacing w:line="360" w:lineRule="auto"/>
              <w:ind w:firstLine="482"/>
              <w:rPr>
                <w:sz w:val="24"/>
              </w:rPr>
            </w:pPr>
            <w:r>
              <w:rPr>
                <w:rFonts w:hAnsi="宋体"/>
                <w:sz w:val="24"/>
              </w:rPr>
              <w:t>本项目采用雨污分流制，雨水排入市政雨水管网。</w:t>
            </w:r>
          </w:p>
          <w:p>
            <w:pPr>
              <w:spacing w:line="360" w:lineRule="auto"/>
              <w:ind w:firstLine="482"/>
              <w:rPr>
                <w:sz w:val="24"/>
              </w:rPr>
            </w:pPr>
            <w:r>
              <w:rPr>
                <w:rFonts w:hAnsi="宋体"/>
                <w:sz w:val="24"/>
              </w:rPr>
              <w:t>⑵</w:t>
            </w:r>
            <w:r>
              <w:rPr>
                <w:sz w:val="24"/>
              </w:rPr>
              <w:t xml:space="preserve"> </w:t>
            </w:r>
            <w:r>
              <w:rPr>
                <w:rFonts w:hAnsi="宋体"/>
                <w:sz w:val="24"/>
              </w:rPr>
              <w:t>污水</w:t>
            </w:r>
          </w:p>
          <w:p>
            <w:pPr>
              <w:tabs>
                <w:tab w:val="left" w:pos="6480"/>
              </w:tabs>
              <w:spacing w:line="360" w:lineRule="auto"/>
              <w:ind w:firstLine="480" w:firstLineChars="200"/>
              <w:rPr>
                <w:rFonts w:ascii="宋体" w:hAnsi="宋体"/>
                <w:color w:val="000000" w:themeColor="text1"/>
                <w:sz w:val="24"/>
                <w:szCs w:val="24"/>
              </w:rPr>
            </w:pPr>
            <w:r>
              <w:rPr>
                <w:rFonts w:ascii="宋体" w:hAnsi="宋体"/>
                <w:sz w:val="24"/>
                <w:szCs w:val="24"/>
              </w:rPr>
              <w:t>项目运营期产生的废水主要为</w:t>
            </w:r>
            <w:r>
              <w:rPr>
                <w:rFonts w:hint="eastAsia" w:ascii="宋体" w:hAnsi="宋体"/>
                <w:color w:val="000000"/>
                <w:sz w:val="24"/>
                <w:szCs w:val="24"/>
              </w:rPr>
              <w:t>员工</w:t>
            </w:r>
            <w:r>
              <w:rPr>
                <w:rFonts w:ascii="宋体" w:hAnsi="宋体"/>
                <w:color w:val="000000"/>
                <w:sz w:val="24"/>
                <w:szCs w:val="24"/>
              </w:rPr>
              <w:t>、住宿客人、</w:t>
            </w:r>
            <w:r>
              <w:rPr>
                <w:rFonts w:hint="eastAsia" w:ascii="宋体" w:hAnsi="宋体"/>
                <w:color w:val="000000"/>
                <w:sz w:val="24"/>
                <w:szCs w:val="24"/>
              </w:rPr>
              <w:t>餐厅</w:t>
            </w:r>
            <w:r>
              <w:rPr>
                <w:rFonts w:ascii="宋体" w:hAnsi="宋体"/>
                <w:color w:val="000000"/>
                <w:sz w:val="24"/>
                <w:szCs w:val="24"/>
              </w:rPr>
              <w:t>、</w:t>
            </w:r>
            <w:r>
              <w:rPr>
                <w:rFonts w:hint="eastAsia" w:ascii="宋体" w:hAnsi="宋体"/>
                <w:color w:val="000000"/>
                <w:sz w:val="24"/>
                <w:szCs w:val="24"/>
              </w:rPr>
              <w:t>会议及演播厅</w:t>
            </w:r>
            <w:r>
              <w:rPr>
                <w:rFonts w:ascii="宋体" w:hAnsi="宋体"/>
                <w:color w:val="000000"/>
                <w:sz w:val="24"/>
                <w:szCs w:val="24"/>
              </w:rPr>
              <w:t>客人等产生的生活污水及餐饮废水。</w:t>
            </w:r>
            <w:r>
              <w:rPr>
                <w:rFonts w:ascii="宋体" w:hAnsi="宋体"/>
                <w:sz w:val="24"/>
                <w:szCs w:val="24"/>
              </w:rPr>
              <w:t>污水</w:t>
            </w:r>
            <w:r>
              <w:rPr>
                <w:rFonts w:hint="eastAsia" w:ascii="宋体" w:hAnsi="宋体"/>
                <w:sz w:val="24"/>
                <w:szCs w:val="24"/>
              </w:rPr>
              <w:t>产生</w:t>
            </w:r>
            <w:r>
              <w:rPr>
                <w:rFonts w:ascii="宋体" w:hAnsi="宋体"/>
                <w:sz w:val="24"/>
                <w:szCs w:val="24"/>
              </w:rPr>
              <w:t>量</w:t>
            </w:r>
            <w:r>
              <w:rPr>
                <w:rFonts w:hint="eastAsia" w:ascii="宋体" w:hAnsi="宋体"/>
                <w:sz w:val="24"/>
                <w:szCs w:val="24"/>
              </w:rPr>
              <w:t>按用水量的80%</w:t>
            </w:r>
            <w:r>
              <w:rPr>
                <w:rFonts w:hint="eastAsia" w:ascii="宋体" w:hAnsi="宋体"/>
                <w:color w:val="000000" w:themeColor="text1"/>
                <w:sz w:val="24"/>
                <w:szCs w:val="24"/>
              </w:rPr>
              <w:t>计算，则项目污水产生量为311.7</w:t>
            </w:r>
            <w:r>
              <w:rPr>
                <w:rFonts w:ascii="宋体" w:hAnsi="宋体"/>
                <w:color w:val="000000" w:themeColor="text1"/>
                <w:sz w:val="24"/>
                <w:szCs w:val="24"/>
              </w:rPr>
              <w:t>m</w:t>
            </w:r>
            <w:r>
              <w:rPr>
                <w:rFonts w:ascii="宋体" w:hAnsi="宋体"/>
                <w:color w:val="000000" w:themeColor="text1"/>
                <w:sz w:val="24"/>
                <w:szCs w:val="24"/>
                <w:vertAlign w:val="superscript"/>
              </w:rPr>
              <w:t>3</w:t>
            </w:r>
            <w:r>
              <w:rPr>
                <w:rFonts w:ascii="宋体" w:hAnsi="宋体"/>
                <w:color w:val="000000" w:themeColor="text1"/>
                <w:sz w:val="24"/>
                <w:szCs w:val="24"/>
              </w:rPr>
              <w:t>/d，</w:t>
            </w:r>
            <w:r>
              <w:rPr>
                <w:rFonts w:hint="eastAsia" w:ascii="宋体" w:hAnsi="宋体"/>
                <w:color w:val="000000" w:themeColor="text1"/>
                <w:sz w:val="24"/>
                <w:szCs w:val="24"/>
              </w:rPr>
              <w:t>11.37</w:t>
            </w:r>
            <w:r>
              <w:rPr>
                <w:rFonts w:ascii="宋体" w:hAnsi="宋体"/>
                <w:color w:val="000000" w:themeColor="text1"/>
                <w:sz w:val="24"/>
                <w:szCs w:val="24"/>
              </w:rPr>
              <w:t>×10</w:t>
            </w:r>
            <w:r>
              <w:rPr>
                <w:rFonts w:ascii="宋体" w:hAnsi="宋体"/>
                <w:color w:val="000000" w:themeColor="text1"/>
                <w:sz w:val="24"/>
                <w:szCs w:val="24"/>
                <w:vertAlign w:val="superscript"/>
              </w:rPr>
              <w:t>4</w:t>
            </w:r>
            <w:r>
              <w:rPr>
                <w:rFonts w:ascii="宋体" w:hAnsi="宋体"/>
                <w:color w:val="000000" w:themeColor="text1"/>
                <w:sz w:val="24"/>
                <w:szCs w:val="24"/>
              </w:rPr>
              <w:t>m</w:t>
            </w:r>
            <w:r>
              <w:rPr>
                <w:rFonts w:ascii="宋体" w:hAnsi="宋体"/>
                <w:color w:val="000000" w:themeColor="text1"/>
                <w:sz w:val="24"/>
                <w:szCs w:val="24"/>
                <w:vertAlign w:val="superscript"/>
              </w:rPr>
              <w:t>3</w:t>
            </w:r>
            <w:r>
              <w:rPr>
                <w:rFonts w:ascii="宋体" w:hAnsi="宋体"/>
                <w:color w:val="000000" w:themeColor="text1"/>
                <w:sz w:val="24"/>
                <w:szCs w:val="24"/>
              </w:rPr>
              <w:t>/a</w:t>
            </w:r>
            <w:r>
              <w:rPr>
                <w:rFonts w:hint="eastAsia" w:ascii="宋体" w:hAnsi="宋体"/>
                <w:color w:val="000000" w:themeColor="text1"/>
                <w:sz w:val="24"/>
                <w:szCs w:val="24"/>
              </w:rPr>
              <w:t>。</w:t>
            </w:r>
            <w:r>
              <w:rPr>
                <w:rFonts w:ascii="宋体" w:hAnsi="宋体"/>
                <w:color w:val="000000" w:themeColor="text1"/>
                <w:sz w:val="24"/>
                <w:szCs w:val="24"/>
              </w:rPr>
              <w:t>本项目</w:t>
            </w:r>
            <w:r>
              <w:rPr>
                <w:rFonts w:hint="eastAsia" w:ascii="宋体" w:hAnsi="宋体"/>
                <w:color w:val="000000" w:themeColor="text1"/>
                <w:sz w:val="24"/>
                <w:szCs w:val="24"/>
              </w:rPr>
              <w:t>所有</w:t>
            </w:r>
            <w:r>
              <w:rPr>
                <w:rFonts w:ascii="宋体" w:hAnsi="宋体"/>
                <w:color w:val="000000" w:themeColor="text1"/>
                <w:sz w:val="24"/>
                <w:szCs w:val="24"/>
              </w:rPr>
              <w:t>污水</w:t>
            </w:r>
            <w:r>
              <w:rPr>
                <w:rFonts w:hint="eastAsia" w:ascii="宋体" w:hAnsi="宋体"/>
                <w:color w:val="000000" w:themeColor="text1"/>
                <w:sz w:val="24"/>
                <w:szCs w:val="24"/>
              </w:rPr>
              <w:t>经</w:t>
            </w:r>
            <w:r>
              <w:rPr>
                <w:rFonts w:ascii="宋体" w:hAnsi="宋体"/>
                <w:color w:val="000000" w:themeColor="text1"/>
                <w:sz w:val="24"/>
                <w:szCs w:val="24"/>
              </w:rPr>
              <w:t>隔油池</w:t>
            </w:r>
            <w:r>
              <w:rPr>
                <w:rFonts w:hint="eastAsia" w:ascii="宋体" w:hAnsi="宋体"/>
                <w:color w:val="000000" w:themeColor="text1"/>
                <w:sz w:val="24"/>
                <w:szCs w:val="24"/>
              </w:rPr>
              <w:t>、化粪池处理后，接</w:t>
            </w:r>
            <w:r>
              <w:rPr>
                <w:rFonts w:ascii="宋体" w:hAnsi="宋体"/>
                <w:color w:val="000000" w:themeColor="text1"/>
                <w:sz w:val="24"/>
                <w:szCs w:val="24"/>
              </w:rPr>
              <w:t>入市政排水管网</w:t>
            </w:r>
            <w:r>
              <w:rPr>
                <w:rFonts w:hint="eastAsia" w:ascii="宋体" w:hAnsi="宋体"/>
                <w:color w:val="000000" w:themeColor="text1"/>
                <w:sz w:val="24"/>
                <w:szCs w:val="24"/>
              </w:rPr>
              <w:t>，再通过</w:t>
            </w:r>
            <w:r>
              <w:rPr>
                <w:rFonts w:hint="eastAsia" w:ascii="宋体" w:hAnsi="宋体"/>
                <w:color w:val="000000" w:themeColor="text1"/>
                <w:sz w:val="24"/>
              </w:rPr>
              <w:t>洪江市</w:t>
            </w:r>
            <w:r>
              <w:rPr>
                <w:rFonts w:ascii="宋体" w:hAnsi="宋体"/>
                <w:color w:val="000000" w:themeColor="text1"/>
                <w:sz w:val="24"/>
                <w:szCs w:val="24"/>
              </w:rPr>
              <w:t>污水处理厂处理</w:t>
            </w:r>
            <w:r>
              <w:rPr>
                <w:rFonts w:hint="eastAsia" w:ascii="宋体" w:hAnsi="宋体"/>
                <w:color w:val="000000" w:themeColor="text1"/>
                <w:sz w:val="24"/>
                <w:szCs w:val="24"/>
              </w:rPr>
              <w:t>，</w:t>
            </w:r>
            <w:r>
              <w:rPr>
                <w:rFonts w:ascii="宋体" w:hAnsi="宋体"/>
                <w:color w:val="000000" w:themeColor="text1"/>
                <w:sz w:val="24"/>
                <w:szCs w:val="24"/>
              </w:rPr>
              <w:t>达标后排入</w:t>
            </w:r>
            <w:r>
              <w:rPr>
                <w:rFonts w:hint="eastAsia" w:ascii="宋体" w:hAnsi="宋体"/>
                <w:color w:val="000000" w:themeColor="text1"/>
                <w:sz w:val="24"/>
                <w:szCs w:val="24"/>
              </w:rPr>
              <w:t>沅水。</w:t>
            </w:r>
          </w:p>
          <w:p>
            <w:pPr>
              <w:tabs>
                <w:tab w:val="left" w:pos="6480"/>
              </w:tabs>
              <w:spacing w:line="360" w:lineRule="auto"/>
              <w:ind w:firstLine="480" w:firstLineChars="200"/>
              <w:rPr>
                <w:rFonts w:ascii="宋体" w:hAnsi="宋体"/>
                <w:bCs/>
                <w:sz w:val="24"/>
              </w:rPr>
            </w:pPr>
            <w:r>
              <w:rPr>
                <w:rFonts w:hint="eastAsia" w:ascii="宋体" w:hAnsi="宋体"/>
                <w:bCs/>
                <w:sz w:val="24"/>
              </w:rPr>
              <w:t>（二）供热制冷</w:t>
            </w:r>
          </w:p>
          <w:p>
            <w:pPr>
              <w:tabs>
                <w:tab w:val="left" w:pos="6480"/>
              </w:tabs>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本</w:t>
            </w:r>
            <w:r>
              <w:rPr>
                <w:rFonts w:ascii="宋体" w:hAnsi="宋体"/>
                <w:color w:val="000000" w:themeColor="text1"/>
                <w:sz w:val="24"/>
                <w:szCs w:val="24"/>
              </w:rPr>
              <w:t>项目</w:t>
            </w:r>
            <w:r>
              <w:rPr>
                <w:rFonts w:hint="eastAsia" w:ascii="宋体" w:hAnsi="宋体"/>
                <w:color w:val="000000" w:themeColor="text1"/>
                <w:sz w:val="24"/>
                <w:szCs w:val="24"/>
              </w:rPr>
              <w:t>供热制冷采用中央空调，热水采用燃气锅炉提供。2台3t/h燃气锅炉，用于冬季供暖，1台1t/h燃气锅炉，用于生活用水。</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color w:val="000000"/>
                <w:sz w:val="24"/>
                <w:szCs w:val="24"/>
              </w:rPr>
            </w:pPr>
            <w:r>
              <w:rPr>
                <w:rFonts w:hint="eastAsia" w:ascii="宋体" w:hAnsi="宋体"/>
                <w:color w:val="000000"/>
                <w:sz w:val="24"/>
                <w:szCs w:val="24"/>
              </w:rPr>
              <w:t>（三）</w:t>
            </w:r>
            <w:r>
              <w:rPr>
                <w:rFonts w:ascii="宋体" w:hAnsi="宋体"/>
                <w:color w:val="000000"/>
                <w:sz w:val="24"/>
                <w:szCs w:val="24"/>
              </w:rPr>
              <w:t>供电系统</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Cs/>
                <w:sz w:val="24"/>
                <w:szCs w:val="24"/>
              </w:rPr>
            </w:pPr>
            <w:r>
              <w:rPr>
                <w:rFonts w:hint="eastAsia" w:ascii="宋体" w:hAnsi="宋体"/>
                <w:bCs/>
                <w:sz w:val="24"/>
                <w:szCs w:val="24"/>
              </w:rPr>
              <w:t>1、</w:t>
            </w:r>
            <w:r>
              <w:rPr>
                <w:rFonts w:ascii="宋体" w:hAnsi="宋体"/>
                <w:bCs/>
                <w:sz w:val="24"/>
                <w:szCs w:val="24"/>
              </w:rPr>
              <w:t>供电电源</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Cs/>
                <w:sz w:val="24"/>
                <w:szCs w:val="24"/>
              </w:rPr>
            </w:pPr>
            <w:r>
              <w:rPr>
                <w:rFonts w:ascii="宋体" w:hAnsi="宋体"/>
                <w:bCs/>
                <w:sz w:val="24"/>
                <w:szCs w:val="24"/>
              </w:rPr>
              <w:t>项目供电由</w:t>
            </w:r>
            <w:r>
              <w:rPr>
                <w:rFonts w:hint="eastAsia" w:ascii="宋体" w:hAnsi="宋体"/>
                <w:bCs/>
                <w:color w:val="000000"/>
                <w:sz w:val="24"/>
                <w:szCs w:val="24"/>
              </w:rPr>
              <w:t>国网</w:t>
            </w:r>
            <w:r>
              <w:rPr>
                <w:rFonts w:hint="eastAsia" w:ascii="宋体" w:hAnsi="宋体"/>
                <w:bCs/>
                <w:color w:val="000000"/>
                <w:sz w:val="24"/>
              </w:rPr>
              <w:t>洪江市</w:t>
            </w:r>
            <w:r>
              <w:rPr>
                <w:rFonts w:hint="eastAsia" w:ascii="宋体" w:hAnsi="宋体"/>
                <w:bCs/>
                <w:color w:val="000000"/>
                <w:sz w:val="24"/>
                <w:szCs w:val="24"/>
              </w:rPr>
              <w:t>供电公司</w:t>
            </w:r>
            <w:r>
              <w:rPr>
                <w:rFonts w:ascii="宋体" w:hAnsi="宋体"/>
                <w:bCs/>
                <w:color w:val="000000"/>
                <w:sz w:val="24"/>
                <w:szCs w:val="24"/>
              </w:rPr>
              <w:t>提供</w:t>
            </w:r>
            <w:r>
              <w:rPr>
                <w:rFonts w:hint="eastAsia" w:ascii="宋体" w:hAnsi="宋体"/>
                <w:bCs/>
                <w:sz w:val="24"/>
                <w:szCs w:val="24"/>
              </w:rPr>
              <w:t>。</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Cs/>
                <w:sz w:val="24"/>
                <w:szCs w:val="24"/>
              </w:rPr>
            </w:pPr>
            <w:r>
              <w:rPr>
                <w:rFonts w:hint="eastAsia" w:ascii="宋体" w:hAnsi="宋体"/>
                <w:bCs/>
                <w:sz w:val="24"/>
                <w:szCs w:val="24"/>
              </w:rPr>
              <w:t>2、</w:t>
            </w:r>
            <w:r>
              <w:rPr>
                <w:rFonts w:ascii="宋体" w:hAnsi="宋体"/>
                <w:bCs/>
                <w:sz w:val="24"/>
                <w:szCs w:val="24"/>
              </w:rPr>
              <w:t>配电系统</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Cs/>
                <w:sz w:val="24"/>
                <w:szCs w:val="24"/>
              </w:rPr>
            </w:pPr>
            <w:r>
              <w:rPr>
                <w:rFonts w:hint="eastAsia" w:ascii="宋体" w:hAnsi="宋体"/>
                <w:bCs/>
                <w:sz w:val="24"/>
                <w:szCs w:val="24"/>
              </w:rPr>
              <w:t>本项目在地下室设专变配电室一座，并就近设柴油发电机房1座。</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Cs/>
                <w:color w:val="000000"/>
                <w:sz w:val="24"/>
                <w:szCs w:val="24"/>
              </w:rPr>
            </w:pPr>
            <w:r>
              <w:rPr>
                <w:rFonts w:hint="eastAsia" w:ascii="宋体" w:hAnsi="宋体"/>
                <w:bCs/>
                <w:color w:val="000000"/>
                <w:sz w:val="24"/>
                <w:szCs w:val="24"/>
              </w:rPr>
              <w:t>（四）供气系统</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Cs/>
                <w:color w:val="000000"/>
                <w:sz w:val="24"/>
                <w:szCs w:val="24"/>
              </w:rPr>
            </w:pPr>
            <w:r>
              <w:rPr>
                <w:rFonts w:hint="eastAsia" w:ascii="宋体" w:hAnsi="宋体"/>
                <w:bCs/>
                <w:color w:val="000000"/>
                <w:sz w:val="24"/>
                <w:szCs w:val="24"/>
              </w:rPr>
              <w:t>本项目采用天然气，铺设供气管网，由</w:t>
            </w:r>
            <w:r>
              <w:rPr>
                <w:rFonts w:hint="eastAsia" w:ascii="宋体" w:hAnsi="宋体"/>
                <w:bCs/>
                <w:color w:val="000000"/>
                <w:sz w:val="24"/>
              </w:rPr>
              <w:t>洪江市</w:t>
            </w:r>
            <w:r>
              <w:rPr>
                <w:rFonts w:hint="eastAsia" w:ascii="宋体" w:hAnsi="宋体"/>
                <w:bCs/>
                <w:color w:val="000000"/>
                <w:sz w:val="24"/>
                <w:szCs w:val="24"/>
              </w:rPr>
              <w:t>天然气公司供给。</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
                <w:bCs/>
                <w:color w:val="000000"/>
                <w:sz w:val="24"/>
              </w:rPr>
            </w:pPr>
            <w:r>
              <w:rPr>
                <w:rFonts w:hint="eastAsia" w:ascii="宋体" w:hAnsi="宋体"/>
                <w:b/>
                <w:bCs/>
                <w:color w:val="000000"/>
                <w:sz w:val="24"/>
              </w:rPr>
              <w:t>六、总平面布置</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sz w:val="24"/>
              </w:rPr>
            </w:pPr>
            <w:r>
              <w:rPr>
                <w:rFonts w:hint="eastAsia"/>
                <w:sz w:val="24"/>
              </w:rPr>
              <w:t>本项目酒店用地规划上考虑用地周边的建筑，道路及景观，同时考虑用地内部的不同设施的合理分配。</w:t>
            </w:r>
            <w:r>
              <w:rPr>
                <w:rFonts w:hint="eastAsia"/>
                <w:color w:val="000000" w:themeColor="text1"/>
                <w:sz w:val="24"/>
              </w:rPr>
              <w:t>酒店位于沿江路、玉壶路之交汇处</w:t>
            </w:r>
            <w:r>
              <w:rPr>
                <w:rFonts w:hint="eastAsia"/>
                <w:sz w:val="24"/>
              </w:rPr>
              <w:t>，北临潕水，南边为自然山体。设计以协调以上功能，建立完善合理高效的布局及流线为出发点，对酒店进行规划。建筑形态延潕水展开实现最大景观面，规划包含酒店客房、宴会厅、演播厅、各式餐厅、多功能厅、等配套设施</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
                <w:bCs/>
                <w:sz w:val="24"/>
              </w:rPr>
            </w:pPr>
            <w:r>
              <w:rPr>
                <w:rFonts w:hint="eastAsia" w:ascii="宋体" w:hAnsi="宋体"/>
                <w:b/>
                <w:bCs/>
                <w:sz w:val="24"/>
              </w:rPr>
              <w:t>七、</w:t>
            </w:r>
            <w:r>
              <w:rPr>
                <w:rFonts w:ascii="宋体" w:hAnsi="宋体"/>
                <w:b/>
                <w:bCs/>
                <w:sz w:val="24"/>
              </w:rPr>
              <w:t>投资规模</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color w:val="000000"/>
                <w:sz w:val="24"/>
              </w:rPr>
            </w:pPr>
            <w:r>
              <w:rPr>
                <w:rFonts w:ascii="宋体" w:hAnsi="宋体"/>
                <w:color w:val="000000"/>
                <w:sz w:val="24"/>
              </w:rPr>
              <w:t>本项目总投资为</w:t>
            </w:r>
            <w:r>
              <w:rPr>
                <w:rFonts w:ascii="宋体" w:hAnsi="宋体"/>
                <w:bCs/>
                <w:color w:val="000000"/>
                <w:sz w:val="24"/>
                <w:szCs w:val="24"/>
              </w:rPr>
              <w:t>38199.71</w:t>
            </w:r>
            <w:r>
              <w:rPr>
                <w:rFonts w:hint="eastAsia" w:ascii="宋体" w:hAnsi="宋体"/>
                <w:color w:val="000000"/>
                <w:sz w:val="24"/>
                <w:szCs w:val="24"/>
              </w:rPr>
              <w:t>万</w:t>
            </w:r>
            <w:r>
              <w:rPr>
                <w:rFonts w:ascii="宋体" w:hAnsi="宋体"/>
                <w:color w:val="000000"/>
                <w:sz w:val="24"/>
                <w:szCs w:val="24"/>
              </w:rPr>
              <w:t>元</w:t>
            </w:r>
            <w:r>
              <w:rPr>
                <w:rFonts w:hint="eastAsia" w:ascii="宋体" w:hAnsi="宋体"/>
                <w:color w:val="000000"/>
                <w:sz w:val="24"/>
              </w:rPr>
              <w:t>，全部由项目单位自筹。</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
                <w:bCs/>
                <w:sz w:val="24"/>
              </w:rPr>
            </w:pPr>
            <w:r>
              <w:rPr>
                <w:rFonts w:hint="eastAsia" w:ascii="宋体" w:hAnsi="宋体"/>
                <w:b/>
                <w:bCs/>
                <w:sz w:val="24"/>
              </w:rPr>
              <w:t>八、</w:t>
            </w:r>
            <w:r>
              <w:rPr>
                <w:rFonts w:ascii="宋体" w:hAnsi="宋体"/>
                <w:b/>
                <w:bCs/>
                <w:sz w:val="24"/>
              </w:rPr>
              <w:t>劳动定员及工作制度</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color w:val="000000"/>
                <w:sz w:val="24"/>
              </w:rPr>
            </w:pPr>
            <w:r>
              <w:rPr>
                <w:rFonts w:ascii="宋体" w:hAnsi="宋体"/>
                <w:color w:val="000000"/>
                <w:sz w:val="24"/>
              </w:rPr>
              <w:t>项目建成后，劳动定员</w:t>
            </w:r>
            <w:r>
              <w:rPr>
                <w:rFonts w:hint="eastAsia" w:ascii="宋体" w:hAnsi="宋体"/>
                <w:color w:val="000000"/>
                <w:sz w:val="24"/>
              </w:rPr>
              <w:t>150</w:t>
            </w:r>
            <w:r>
              <w:rPr>
                <w:rFonts w:ascii="宋体" w:hAnsi="宋体"/>
                <w:color w:val="000000"/>
                <w:sz w:val="24"/>
              </w:rPr>
              <w:t>人，年工作365天。</w:t>
            </w:r>
          </w:p>
          <w:p>
            <w:pPr>
              <w:keepNext w:val="0"/>
              <w:keepLines w:val="0"/>
              <w:pageBreakBefore w:val="0"/>
              <w:widowControl w:val="0"/>
              <w:tabs>
                <w:tab w:val="left" w:pos="6480"/>
              </w:tabs>
              <w:kinsoku/>
              <w:wordWrap/>
              <w:topLinePunct w:val="0"/>
              <w:bidi w:val="0"/>
              <w:spacing w:line="460" w:lineRule="exact"/>
              <w:ind w:left="0" w:leftChars="0" w:right="0" w:rightChars="0" w:firstLine="480" w:firstLineChars="200"/>
              <w:jc w:val="both"/>
              <w:outlineLvl w:val="9"/>
              <w:rPr>
                <w:rFonts w:ascii="宋体" w:hAnsi="宋体"/>
                <w:b/>
                <w:bCs/>
                <w:sz w:val="24"/>
              </w:rPr>
            </w:pPr>
            <w:r>
              <w:rPr>
                <w:rFonts w:hint="eastAsia" w:ascii="宋体" w:hAnsi="宋体"/>
                <w:b/>
                <w:bCs/>
                <w:sz w:val="24"/>
              </w:rPr>
              <w:t>九、</w:t>
            </w:r>
            <w:r>
              <w:rPr>
                <w:rFonts w:ascii="宋体" w:hAnsi="宋体"/>
                <w:b/>
                <w:bCs/>
                <w:sz w:val="24"/>
              </w:rPr>
              <w:t>工程建设进度</w:t>
            </w:r>
          </w:p>
          <w:p>
            <w:pPr>
              <w:keepNext w:val="0"/>
              <w:keepLines w:val="0"/>
              <w:pageBreakBefore w:val="0"/>
              <w:widowControl w:val="0"/>
              <w:kinsoku/>
              <w:wordWrap/>
              <w:topLinePunct w:val="0"/>
              <w:bidi w:val="0"/>
              <w:spacing w:line="460" w:lineRule="exact"/>
              <w:ind w:left="0" w:leftChars="0" w:right="0" w:rightChars="0" w:firstLine="480" w:firstLineChars="200"/>
              <w:jc w:val="both"/>
              <w:outlineLvl w:val="9"/>
              <w:rPr>
                <w:rFonts w:ascii="宋体" w:hAnsi="宋体"/>
                <w:color w:val="000000"/>
                <w:sz w:val="24"/>
              </w:rPr>
            </w:pPr>
            <w:r>
              <w:rPr>
                <w:rFonts w:ascii="宋体" w:hAnsi="宋体"/>
                <w:bCs/>
                <w:color w:val="000000"/>
                <w:sz w:val="24"/>
              </w:rPr>
              <w:t>项目</w:t>
            </w:r>
            <w:r>
              <w:rPr>
                <w:rFonts w:hint="eastAsia" w:ascii="宋体" w:hAnsi="宋体"/>
                <w:bCs/>
                <w:color w:val="000000"/>
                <w:sz w:val="24"/>
              </w:rPr>
              <w:t>计划于</w:t>
            </w:r>
            <w:r>
              <w:rPr>
                <w:rFonts w:ascii="宋体" w:hAnsi="宋体"/>
                <w:bCs/>
                <w:color w:val="000000"/>
                <w:sz w:val="24"/>
              </w:rPr>
              <w:t>201</w:t>
            </w:r>
            <w:r>
              <w:rPr>
                <w:rFonts w:hint="eastAsia" w:ascii="宋体" w:hAnsi="宋体"/>
                <w:bCs/>
                <w:color w:val="000000"/>
                <w:sz w:val="24"/>
              </w:rPr>
              <w:t>8</w:t>
            </w:r>
            <w:r>
              <w:rPr>
                <w:rFonts w:ascii="宋体" w:hAnsi="宋体"/>
                <w:bCs/>
                <w:color w:val="000000"/>
                <w:sz w:val="24"/>
              </w:rPr>
              <w:t>年</w:t>
            </w:r>
            <w:r>
              <w:rPr>
                <w:rFonts w:hint="eastAsia" w:ascii="宋体" w:hAnsi="宋体"/>
                <w:bCs/>
                <w:color w:val="000000"/>
                <w:sz w:val="24"/>
              </w:rPr>
              <w:t>6</w:t>
            </w:r>
            <w:r>
              <w:rPr>
                <w:rFonts w:ascii="宋体" w:hAnsi="宋体"/>
                <w:bCs/>
                <w:color w:val="000000"/>
                <w:sz w:val="24"/>
              </w:rPr>
              <w:t>月</w:t>
            </w:r>
            <w:r>
              <w:rPr>
                <w:rFonts w:hint="eastAsia" w:ascii="宋体" w:hAnsi="宋体"/>
                <w:bCs/>
                <w:color w:val="000000"/>
                <w:sz w:val="24"/>
              </w:rPr>
              <w:t>开工建设，2020年5月竣工投入使用</w:t>
            </w:r>
            <w:r>
              <w:rPr>
                <w:rFonts w:ascii="宋体" w:hAnsi="宋体"/>
                <w:bCs/>
                <w:color w:val="000000"/>
                <w:sz w:val="24"/>
              </w:rPr>
              <w:t>。</w:t>
            </w:r>
          </w:p>
          <w:p>
            <w:pPr>
              <w:pStyle w:val="7"/>
              <w:keepNext w:val="0"/>
              <w:keepLines w:val="0"/>
              <w:pageBreakBefore w:val="0"/>
              <w:widowControl w:val="0"/>
              <w:kinsoku/>
              <w:wordWrap/>
              <w:topLinePunct w:val="0"/>
              <w:bidi w:val="0"/>
              <w:spacing w:beforeLines="30" w:line="460" w:lineRule="exact"/>
              <w:ind w:left="0" w:leftChars="0" w:right="0" w:rightChars="0" w:firstLine="0"/>
              <w:jc w:val="both"/>
              <w:outlineLvl w:val="9"/>
              <w:rPr>
                <w:rFonts w:ascii="宋体" w:hAnsi="宋体"/>
                <w:b/>
                <w:color w:val="000000"/>
              </w:rPr>
            </w:pPr>
            <w:r>
              <w:rPr>
                <w:rFonts w:ascii="宋体" w:hAnsi="宋体"/>
                <w:b/>
                <w:color w:val="000000"/>
              </w:rPr>
              <w:t>与本项目有关的原有污染情况及主要环境问题：</w:t>
            </w:r>
          </w:p>
          <w:p>
            <w:pPr>
              <w:keepNext w:val="0"/>
              <w:keepLines w:val="0"/>
              <w:pageBreakBefore w:val="0"/>
              <w:widowControl w:val="0"/>
              <w:kinsoku/>
              <w:wordWrap/>
              <w:topLinePunct w:val="0"/>
              <w:bidi w:val="0"/>
              <w:adjustRightInd w:val="0"/>
              <w:snapToGrid w:val="0"/>
              <w:spacing w:line="460" w:lineRule="exact"/>
              <w:ind w:left="0" w:leftChars="0" w:right="0" w:rightChars="0" w:firstLine="480" w:firstLineChars="200"/>
              <w:jc w:val="both"/>
              <w:outlineLvl w:val="9"/>
              <w:rPr>
                <w:rFonts w:ascii="宋体" w:hAnsi="宋体"/>
                <w:color w:val="000000"/>
                <w:sz w:val="24"/>
                <w:szCs w:val="24"/>
              </w:rPr>
            </w:pPr>
            <w:r>
              <w:rPr>
                <w:rFonts w:hint="eastAsia" w:ascii="宋体" w:hAnsi="宋体"/>
                <w:color w:val="000000"/>
                <w:sz w:val="24"/>
                <w:szCs w:val="24"/>
              </w:rPr>
              <w:t>本项目位于洪江市玉壶路、禾花路、沿江路交汇处，因此与本项目有关的原有污染情况及主要环境问题为：周边道路交通噪声、扬尘对环境的影响。</w:t>
            </w:r>
          </w:p>
          <w:p>
            <w:pPr>
              <w:adjustRightInd w:val="0"/>
              <w:snapToGrid w:val="0"/>
              <w:spacing w:line="360" w:lineRule="auto"/>
              <w:rPr>
                <w:rFonts w:eastAsia="仿宋_GB2312"/>
                <w:bCs/>
                <w:color w:val="000000"/>
                <w:sz w:val="24"/>
                <w:szCs w:val="24"/>
              </w:rPr>
            </w:pPr>
          </w:p>
        </w:tc>
      </w:tr>
    </w:tbl>
    <w:p>
      <w:pPr>
        <w:pStyle w:val="2"/>
        <w:keepLines/>
        <w:pageBreakBefore/>
        <w:rPr>
          <w:rFonts w:ascii="宋体" w:hAnsi="宋体"/>
          <w:b/>
          <w:color w:val="000000"/>
          <w:kern w:val="44"/>
          <w:szCs w:val="28"/>
        </w:rPr>
      </w:pPr>
      <w:bookmarkStart w:id="4" w:name="_Toc295374653"/>
      <w:bookmarkStart w:id="5" w:name="_Toc509236300"/>
      <w:r>
        <w:rPr>
          <w:rFonts w:ascii="宋体" w:hAnsi="宋体"/>
          <w:b/>
          <w:color w:val="000000"/>
          <w:kern w:val="44"/>
          <w:szCs w:val="28"/>
        </w:rPr>
        <w:t>建设项目所在地自然环境社会环境简况</w:t>
      </w:r>
      <w:bookmarkEnd w:id="4"/>
      <w:bookmarkEnd w:id="5"/>
    </w:p>
    <w:tbl>
      <w:tblPr>
        <w:tblStyle w:val="42"/>
        <w:tblW w:w="928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3"/>
        <w:gridCol w:w="92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gridBefore w:val="1"/>
          <w:wBefore w:w="13" w:type="dxa"/>
          <w:trHeight w:val="12734" w:hRule="atLeast"/>
          <w:jc w:val="center"/>
        </w:trPr>
        <w:tc>
          <w:tcPr>
            <w:tcW w:w="9274" w:type="dxa"/>
          </w:tcPr>
          <w:p>
            <w:pPr>
              <w:pStyle w:val="8"/>
              <w:spacing w:line="440" w:lineRule="exact"/>
              <w:rPr>
                <w:rFonts w:ascii="宋体" w:hAnsi="宋体"/>
                <w:b/>
                <w:color w:val="000000"/>
              </w:rPr>
            </w:pPr>
            <w:r>
              <w:rPr>
                <w:rFonts w:ascii="宋体" w:hAnsi="宋体"/>
                <w:b/>
                <w:color w:val="000000"/>
              </w:rPr>
              <w:t>自然环境简况（地形、地貌、地质、气侯、气象、水文、植被、生物多样性等）：</w:t>
            </w:r>
          </w:p>
          <w:p>
            <w:pPr>
              <w:pStyle w:val="8"/>
              <w:spacing w:line="500" w:lineRule="exact"/>
              <w:ind w:firstLine="480" w:firstLineChars="200"/>
              <w:rPr>
                <w:rFonts w:ascii="宋体" w:hAnsi="宋体"/>
                <w:color w:val="000000"/>
                <w:sz w:val="24"/>
              </w:rPr>
            </w:pPr>
            <w:r>
              <w:rPr>
                <w:rFonts w:hint="eastAsia" w:ascii="宋体" w:hAnsi="宋体"/>
                <w:color w:val="000000"/>
                <w:sz w:val="24"/>
              </w:rPr>
              <w:t>1、地理位置</w:t>
            </w:r>
          </w:p>
          <w:p>
            <w:pPr>
              <w:pStyle w:val="8"/>
              <w:spacing w:line="500" w:lineRule="exact"/>
              <w:ind w:firstLine="480" w:firstLineChars="200"/>
              <w:rPr>
                <w:rFonts w:ascii="宋体" w:hAnsi="宋体"/>
                <w:color w:val="000000"/>
                <w:sz w:val="24"/>
              </w:rPr>
            </w:pPr>
            <w:r>
              <w:rPr>
                <w:rFonts w:hint="eastAsia" w:ascii="宋体" w:hAnsi="宋体"/>
                <w:color w:val="000000"/>
                <w:sz w:val="24"/>
              </w:rPr>
              <w:t>洪江市是怀化市的一个县级市,位于湖南省西部,沅水上游,云贵高原东部边缘的雪峰山区,东接溆浦、洞口,南邻绥宁、会同,西界芷江,北依怀化鹤城区。地理座标:东经109°32′至110°31′,北纬26°91′至27°29′。市境东起洗马乡土岭界西止托口镇鲤鱼湾,长102公里;南起龙船塘乡雪峰界,北至岔头乡大沅,宽55公里。总面积2173.54平方公里,其中陆地2105.36平方公里,水面68.18平方公里,总面积占全省l%。</w:t>
            </w:r>
          </w:p>
          <w:p>
            <w:pPr>
              <w:pStyle w:val="8"/>
              <w:spacing w:line="500" w:lineRule="exact"/>
              <w:ind w:firstLine="480" w:firstLineChars="200"/>
              <w:rPr>
                <w:rFonts w:ascii="宋体" w:hAnsi="宋体"/>
                <w:color w:val="000000"/>
                <w:sz w:val="24"/>
              </w:rPr>
            </w:pPr>
            <w:r>
              <w:rPr>
                <w:rFonts w:hint="eastAsia" w:ascii="宋体" w:hAnsi="宋体"/>
                <w:color w:val="000000"/>
                <w:sz w:val="24"/>
              </w:rPr>
              <w:t>拟建项目位于洪江市黔城镇玉壶路、禾花路、沿江路交汇处</w:t>
            </w:r>
          </w:p>
          <w:p>
            <w:pPr>
              <w:pStyle w:val="8"/>
              <w:spacing w:line="500" w:lineRule="exact"/>
              <w:ind w:firstLine="480" w:firstLineChars="200"/>
              <w:rPr>
                <w:rFonts w:ascii="宋体" w:hAnsi="宋体"/>
                <w:color w:val="000000"/>
                <w:sz w:val="24"/>
              </w:rPr>
            </w:pPr>
            <w:r>
              <w:rPr>
                <w:rFonts w:hint="eastAsia" w:ascii="宋体" w:hAnsi="宋体"/>
                <w:color w:val="000000"/>
                <w:sz w:val="24"/>
              </w:rPr>
              <w:t>2、地貌、地形及地质</w:t>
            </w:r>
          </w:p>
          <w:p>
            <w:pPr>
              <w:pStyle w:val="8"/>
              <w:spacing w:line="360" w:lineRule="auto"/>
              <w:ind w:firstLine="480" w:firstLineChars="200"/>
              <w:rPr>
                <w:rFonts w:ascii="宋体" w:hAnsi="宋体"/>
                <w:color w:val="000000"/>
                <w:sz w:val="24"/>
              </w:rPr>
            </w:pPr>
            <w:r>
              <w:rPr>
                <w:rFonts w:hint="eastAsia" w:ascii="宋体" w:hAnsi="宋体"/>
                <w:color w:val="000000"/>
                <w:sz w:val="24"/>
              </w:rPr>
              <w:t>经多次地质构造变动与长期地貌发展,洪江市境东南部的雪峰山主脉与中西部的凉山支脉为主体,构成地势东南高、中部低、中西部叠起的复杂地貌。山地夹丘陵与河谷平原,沿市境北东——南西走向成条带状相间分布。</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东南部系雪峰山脉地带,有海拔1000米以上的山峰56座,其中1500米以上的高峰12座,最高峰苏宝顶,海拔1934米,构成雄伟的天然屏。中部系河谷平地,为雪峰山脉及其凉山支脉所夹,地势低缓,且较平坦,海拔在159米到300米之间,形成东北至西南的狭长地带。中西部雪峰山支脉绵延,形成海拔300-800米低山、中低山地貌。西北部主要为丘陵、岗地与河谷平原组合,多系单个山体,无一定走向,海拔300米至400米。</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根据本次钻孔资料揭示，桥址区上覆第四系全新统冲积层粉质粘土（</w:t>
            </w:r>
            <w:r>
              <w:rPr>
                <w:rFonts w:ascii="宋体" w:hAnsi="宋体"/>
                <w:color w:val="000000"/>
                <w:sz w:val="24"/>
              </w:rPr>
              <w:t>Q</w:t>
            </w:r>
            <w:r>
              <w:rPr>
                <w:rFonts w:ascii="宋体" w:hAnsi="宋体"/>
                <w:color w:val="000000"/>
                <w:sz w:val="24"/>
                <w:vertAlign w:val="subscript"/>
              </w:rPr>
              <w:t>4</w:t>
            </w:r>
            <w:r>
              <w:rPr>
                <w:rFonts w:ascii="宋体" w:hAnsi="宋体"/>
                <w:color w:val="000000"/>
                <w:sz w:val="24"/>
                <w:vertAlign w:val="superscript"/>
              </w:rPr>
              <w:t>al</w:t>
            </w:r>
            <w:r>
              <w:rPr>
                <w:rFonts w:hint="eastAsia" w:ascii="宋体" w:hAnsi="宋体"/>
                <w:color w:val="000000"/>
                <w:sz w:val="24"/>
              </w:rPr>
              <w:t>）、细砂（</w:t>
            </w:r>
            <w:r>
              <w:rPr>
                <w:rFonts w:ascii="宋体" w:hAnsi="宋体"/>
                <w:color w:val="000000"/>
                <w:sz w:val="24"/>
              </w:rPr>
              <w:t>Q</w:t>
            </w:r>
            <w:r>
              <w:rPr>
                <w:rFonts w:ascii="宋体" w:hAnsi="宋体"/>
                <w:color w:val="000000"/>
                <w:sz w:val="24"/>
                <w:vertAlign w:val="subscript"/>
              </w:rPr>
              <w:t>4</w:t>
            </w:r>
            <w:r>
              <w:rPr>
                <w:rFonts w:ascii="宋体" w:hAnsi="宋体"/>
                <w:color w:val="000000"/>
                <w:sz w:val="24"/>
                <w:vertAlign w:val="superscript"/>
              </w:rPr>
              <w:t>al</w:t>
            </w:r>
            <w:r>
              <w:rPr>
                <w:rFonts w:hint="eastAsia" w:ascii="宋体" w:hAnsi="宋体"/>
                <w:color w:val="000000"/>
                <w:sz w:val="24"/>
              </w:rPr>
              <w:t>）、卵石（</w:t>
            </w:r>
            <w:r>
              <w:rPr>
                <w:rFonts w:ascii="宋体" w:hAnsi="宋体"/>
                <w:color w:val="000000"/>
                <w:sz w:val="24"/>
              </w:rPr>
              <w:t>Q</w:t>
            </w:r>
            <w:r>
              <w:rPr>
                <w:rFonts w:ascii="宋体" w:hAnsi="宋体"/>
                <w:color w:val="000000"/>
                <w:sz w:val="24"/>
                <w:vertAlign w:val="subscript"/>
              </w:rPr>
              <w:t>4</w:t>
            </w:r>
            <w:r>
              <w:rPr>
                <w:rFonts w:ascii="宋体" w:hAnsi="宋体"/>
                <w:color w:val="000000"/>
                <w:sz w:val="24"/>
                <w:vertAlign w:val="superscript"/>
              </w:rPr>
              <w:t>al</w:t>
            </w:r>
            <w:r>
              <w:rPr>
                <w:rFonts w:hint="eastAsia" w:ascii="宋体" w:hAnsi="宋体"/>
                <w:color w:val="000000"/>
                <w:sz w:val="24"/>
              </w:rPr>
              <w:t>），其中粉质粘土、细砂主要分布于河流右岸（小里程河岸），卵石层广泛分布于河床及河流两岸，下伏基岩为震旦系下统江口组第二段（</w:t>
            </w:r>
            <w:r>
              <w:rPr>
                <w:rFonts w:ascii="宋体" w:hAnsi="宋体"/>
                <w:color w:val="000000"/>
                <w:sz w:val="24"/>
              </w:rPr>
              <w:t>Zaj2</w:t>
            </w:r>
            <w:r>
              <w:rPr>
                <w:rFonts w:hint="eastAsia" w:ascii="宋体" w:hAnsi="宋体"/>
                <w:color w:val="000000"/>
                <w:sz w:val="24"/>
              </w:rPr>
              <w:t>）板岩，按风化程度分为强～中风化。现按地层顺序由新至老分述如下：</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①</w:t>
            </w:r>
            <w:r>
              <w:rPr>
                <w:rFonts w:ascii="宋体" w:hAnsi="宋体"/>
                <w:color w:val="000000"/>
                <w:sz w:val="24"/>
              </w:rPr>
              <w:t xml:space="preserve"> </w:t>
            </w:r>
            <w:r>
              <w:rPr>
                <w:rFonts w:hint="eastAsia" w:ascii="宋体" w:hAnsi="宋体"/>
                <w:color w:val="000000"/>
                <w:sz w:val="24"/>
              </w:rPr>
              <w:t>粉质粘土（</w:t>
            </w:r>
            <w:r>
              <w:rPr>
                <w:rFonts w:ascii="宋体" w:hAnsi="宋体"/>
                <w:color w:val="000000"/>
                <w:sz w:val="24"/>
              </w:rPr>
              <w:t>Q</w:t>
            </w:r>
            <w:r>
              <w:rPr>
                <w:rFonts w:ascii="宋体" w:hAnsi="宋体"/>
                <w:color w:val="000000"/>
                <w:sz w:val="24"/>
                <w:vertAlign w:val="subscript"/>
              </w:rPr>
              <w:t>4</w:t>
            </w:r>
            <w:r>
              <w:rPr>
                <w:rFonts w:ascii="宋体" w:hAnsi="宋体"/>
                <w:color w:val="000000"/>
                <w:sz w:val="24"/>
                <w:vertAlign w:val="superscript"/>
              </w:rPr>
              <w:t>al</w:t>
            </w:r>
            <w:r>
              <w:rPr>
                <w:rFonts w:hint="eastAsia" w:ascii="宋体" w:hAnsi="宋体"/>
                <w:color w:val="000000"/>
                <w:sz w:val="24"/>
              </w:rPr>
              <w:t>）：灰褐色、灰黄色，呈可塑状，主要由粘粒组成，次为粉粒，土质较均匀，切面较光滑，局部含少量粉细砂，地表为耕植土覆盖，耕植土层厚</w:t>
            </w:r>
            <w:r>
              <w:rPr>
                <w:rFonts w:ascii="宋体" w:hAnsi="宋体"/>
                <w:color w:val="000000"/>
                <w:sz w:val="24"/>
              </w:rPr>
              <w:t>0.40m</w:t>
            </w:r>
            <w:r>
              <w:rPr>
                <w:rFonts w:hint="eastAsia" w:ascii="宋体" w:hAnsi="宋体"/>
                <w:color w:val="000000"/>
                <w:sz w:val="24"/>
              </w:rPr>
              <w:t>，软塑状，主要由粘性土组成，含少量植物根。该层分布于公溪河两岸，层厚</w:t>
            </w:r>
            <w:r>
              <w:rPr>
                <w:rFonts w:ascii="宋体" w:hAnsi="宋体"/>
                <w:color w:val="000000"/>
                <w:sz w:val="24"/>
              </w:rPr>
              <w:t>1.40</w:t>
            </w:r>
            <w:r>
              <w:rPr>
                <w:rFonts w:hint="eastAsia" w:ascii="宋体" w:hAnsi="宋体"/>
                <w:color w:val="000000"/>
                <w:sz w:val="24"/>
              </w:rPr>
              <w:t>～</w:t>
            </w:r>
            <w:r>
              <w:rPr>
                <w:rFonts w:ascii="宋体" w:hAnsi="宋体"/>
                <w:color w:val="000000"/>
                <w:sz w:val="24"/>
              </w:rPr>
              <w:t>1.50m</w:t>
            </w:r>
            <w:r>
              <w:rPr>
                <w:rFonts w:hint="eastAsia" w:ascii="宋体" w:hAnsi="宋体"/>
                <w:color w:val="000000"/>
                <w:sz w:val="24"/>
              </w:rPr>
              <w:t>，层底标高</w:t>
            </w:r>
            <w:r>
              <w:rPr>
                <w:rFonts w:ascii="宋体" w:hAnsi="宋体"/>
                <w:color w:val="000000"/>
                <w:sz w:val="24"/>
              </w:rPr>
              <w:t>86.18</w:t>
            </w:r>
            <w:r>
              <w:rPr>
                <w:rFonts w:hint="eastAsia" w:ascii="宋体" w:hAnsi="宋体"/>
                <w:color w:val="000000"/>
                <w:sz w:val="24"/>
              </w:rPr>
              <w:t>～</w:t>
            </w:r>
            <w:r>
              <w:rPr>
                <w:rFonts w:ascii="宋体" w:hAnsi="宋体"/>
                <w:color w:val="000000"/>
                <w:sz w:val="24"/>
              </w:rPr>
              <w:t>86.30m</w:t>
            </w:r>
            <w:r>
              <w:rPr>
                <w:rFonts w:hint="eastAsia" w:ascii="宋体" w:hAnsi="宋体"/>
                <w:color w:val="000000"/>
                <w:sz w:val="24"/>
              </w:rPr>
              <w:t>。</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②</w:t>
            </w:r>
            <w:r>
              <w:rPr>
                <w:rFonts w:ascii="宋体" w:hAnsi="宋体"/>
                <w:color w:val="000000"/>
                <w:sz w:val="24"/>
              </w:rPr>
              <w:t xml:space="preserve"> </w:t>
            </w:r>
            <w:r>
              <w:rPr>
                <w:rFonts w:hint="eastAsia" w:ascii="宋体" w:hAnsi="宋体"/>
                <w:color w:val="000000"/>
                <w:sz w:val="24"/>
              </w:rPr>
              <w:t>细砂（</w:t>
            </w:r>
            <w:r>
              <w:rPr>
                <w:rFonts w:ascii="宋体" w:hAnsi="宋体"/>
                <w:color w:val="000000"/>
                <w:sz w:val="24"/>
              </w:rPr>
              <w:t>Q</w:t>
            </w:r>
            <w:r>
              <w:rPr>
                <w:rFonts w:ascii="宋体" w:hAnsi="宋体"/>
                <w:color w:val="000000"/>
                <w:sz w:val="24"/>
                <w:vertAlign w:val="subscript"/>
              </w:rPr>
              <w:t>4</w:t>
            </w:r>
            <w:r>
              <w:rPr>
                <w:rFonts w:ascii="宋体" w:hAnsi="宋体"/>
                <w:color w:val="000000"/>
                <w:sz w:val="24"/>
                <w:vertAlign w:val="superscript"/>
              </w:rPr>
              <w:t>al</w:t>
            </w:r>
            <w:r>
              <w:rPr>
                <w:rFonts w:hint="eastAsia" w:ascii="宋体" w:hAnsi="宋体"/>
                <w:color w:val="000000"/>
                <w:sz w:val="24"/>
              </w:rPr>
              <w:t>）：灰黄色，稍密，饱和，主要成份为石英、长石，含约</w:t>
            </w:r>
            <w:r>
              <w:rPr>
                <w:rFonts w:ascii="宋体" w:hAnsi="宋体"/>
                <w:color w:val="000000"/>
                <w:sz w:val="24"/>
              </w:rPr>
              <w:t>10%</w:t>
            </w:r>
            <w:r>
              <w:rPr>
                <w:rFonts w:hint="eastAsia" w:ascii="宋体" w:hAnsi="宋体"/>
                <w:color w:val="000000"/>
                <w:sz w:val="24"/>
              </w:rPr>
              <w:t>的粘性土，局部含少量圆砾，级配不良，该层主要分布于公溪河右岸（小里程河岸），层厚</w:t>
            </w:r>
            <w:r>
              <w:rPr>
                <w:rFonts w:ascii="宋体" w:hAnsi="宋体"/>
                <w:color w:val="000000"/>
                <w:sz w:val="24"/>
              </w:rPr>
              <w:t>2.70</w:t>
            </w:r>
            <w:r>
              <w:rPr>
                <w:rFonts w:hint="eastAsia" w:ascii="宋体" w:hAnsi="宋体"/>
                <w:color w:val="000000"/>
                <w:sz w:val="24"/>
              </w:rPr>
              <w:t>～</w:t>
            </w:r>
            <w:r>
              <w:rPr>
                <w:rFonts w:ascii="宋体" w:hAnsi="宋体"/>
                <w:color w:val="000000"/>
                <w:sz w:val="24"/>
              </w:rPr>
              <w:t>3.10m</w:t>
            </w:r>
            <w:r>
              <w:rPr>
                <w:rFonts w:hint="eastAsia" w:ascii="宋体" w:hAnsi="宋体"/>
                <w:color w:val="000000"/>
                <w:sz w:val="24"/>
              </w:rPr>
              <w:t>，层底标高</w:t>
            </w:r>
            <w:r>
              <w:rPr>
                <w:rFonts w:ascii="宋体" w:hAnsi="宋体"/>
                <w:color w:val="000000"/>
                <w:sz w:val="24"/>
              </w:rPr>
              <w:t>83.05</w:t>
            </w:r>
            <w:r>
              <w:rPr>
                <w:rFonts w:hint="eastAsia" w:ascii="宋体" w:hAnsi="宋体"/>
                <w:color w:val="000000"/>
                <w:sz w:val="24"/>
              </w:rPr>
              <w:t>～</w:t>
            </w:r>
            <w:r>
              <w:rPr>
                <w:rFonts w:ascii="宋体" w:hAnsi="宋体"/>
                <w:color w:val="000000"/>
                <w:sz w:val="24"/>
              </w:rPr>
              <w:t>83.55m</w:t>
            </w:r>
            <w:r>
              <w:rPr>
                <w:rFonts w:hint="eastAsia" w:ascii="宋体" w:hAnsi="宋体"/>
                <w:color w:val="000000"/>
                <w:sz w:val="24"/>
              </w:rPr>
              <w:t>。</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③</w:t>
            </w:r>
            <w:r>
              <w:rPr>
                <w:rFonts w:ascii="宋体" w:hAnsi="宋体"/>
                <w:color w:val="000000"/>
                <w:sz w:val="24"/>
              </w:rPr>
              <w:t xml:space="preserve"> </w:t>
            </w:r>
            <w:r>
              <w:rPr>
                <w:rFonts w:hint="eastAsia" w:ascii="宋体" w:hAnsi="宋体"/>
                <w:color w:val="000000"/>
                <w:sz w:val="24"/>
              </w:rPr>
              <w:t>卵石（</w:t>
            </w:r>
            <w:r>
              <w:rPr>
                <w:rFonts w:ascii="宋体" w:hAnsi="宋体"/>
                <w:color w:val="000000"/>
                <w:sz w:val="24"/>
              </w:rPr>
              <w:t>Q</w:t>
            </w:r>
            <w:r>
              <w:rPr>
                <w:rFonts w:ascii="宋体" w:hAnsi="宋体"/>
                <w:color w:val="000000"/>
                <w:sz w:val="24"/>
                <w:vertAlign w:val="subscript"/>
              </w:rPr>
              <w:t>4</w:t>
            </w:r>
            <w:r>
              <w:rPr>
                <w:rFonts w:ascii="宋体" w:hAnsi="宋体"/>
                <w:color w:val="000000"/>
                <w:sz w:val="24"/>
                <w:vertAlign w:val="superscript"/>
              </w:rPr>
              <w:t>al</w:t>
            </w:r>
            <w:r>
              <w:rPr>
                <w:rFonts w:hint="eastAsia" w:ascii="宋体" w:hAnsi="宋体"/>
                <w:color w:val="000000"/>
                <w:sz w:val="24"/>
              </w:rPr>
              <w:t>）：青灰色，中密，饱和，卵石成份为灰岩、板岩，质硬，呈圆棱状，粒径一般</w:t>
            </w:r>
            <w:r>
              <w:rPr>
                <w:rFonts w:ascii="宋体" w:hAnsi="宋体"/>
                <w:color w:val="000000"/>
                <w:sz w:val="24"/>
              </w:rPr>
              <w:t>20-60mm</w:t>
            </w:r>
            <w:r>
              <w:rPr>
                <w:rFonts w:hint="eastAsia" w:ascii="宋体" w:hAnsi="宋体"/>
                <w:color w:val="000000"/>
                <w:sz w:val="24"/>
              </w:rPr>
              <w:t>，大者</w:t>
            </w:r>
            <w:r>
              <w:rPr>
                <w:rFonts w:ascii="宋体" w:hAnsi="宋体"/>
                <w:color w:val="000000"/>
                <w:sz w:val="24"/>
              </w:rPr>
              <w:t>100</w:t>
            </w:r>
            <w:r>
              <w:rPr>
                <w:rFonts w:hint="eastAsia" w:ascii="宋体" w:hAnsi="宋体"/>
                <w:color w:val="000000"/>
                <w:sz w:val="24"/>
              </w:rPr>
              <w:t>～</w:t>
            </w:r>
            <w:r>
              <w:rPr>
                <w:rFonts w:ascii="宋体" w:hAnsi="宋体"/>
                <w:color w:val="000000"/>
                <w:sz w:val="24"/>
              </w:rPr>
              <w:t>150mm</w:t>
            </w:r>
            <w:r>
              <w:rPr>
                <w:rFonts w:hint="eastAsia" w:ascii="宋体" w:hAnsi="宋体"/>
                <w:color w:val="000000"/>
                <w:sz w:val="24"/>
              </w:rPr>
              <w:t>，卵石含量约</w:t>
            </w:r>
            <w:r>
              <w:rPr>
                <w:rFonts w:ascii="宋体" w:hAnsi="宋体"/>
                <w:color w:val="000000"/>
                <w:sz w:val="24"/>
              </w:rPr>
              <w:t>70%</w:t>
            </w:r>
            <w:r>
              <w:rPr>
                <w:rFonts w:hint="eastAsia" w:ascii="宋体" w:hAnsi="宋体"/>
                <w:color w:val="000000"/>
                <w:sz w:val="24"/>
              </w:rPr>
              <w:t>，间隙充填约</w:t>
            </w:r>
            <w:r>
              <w:rPr>
                <w:rFonts w:ascii="宋体" w:hAnsi="宋体"/>
                <w:color w:val="000000"/>
                <w:sz w:val="24"/>
              </w:rPr>
              <w:t>25%</w:t>
            </w:r>
            <w:r>
              <w:rPr>
                <w:rFonts w:hint="eastAsia" w:ascii="宋体" w:hAnsi="宋体"/>
                <w:color w:val="000000"/>
                <w:sz w:val="24"/>
              </w:rPr>
              <w:t>的砂砾及</w:t>
            </w:r>
            <w:r>
              <w:rPr>
                <w:rFonts w:ascii="宋体" w:hAnsi="宋体"/>
                <w:color w:val="000000"/>
                <w:sz w:val="24"/>
              </w:rPr>
              <w:t>5%</w:t>
            </w:r>
            <w:r>
              <w:rPr>
                <w:rFonts w:hint="eastAsia" w:ascii="宋体" w:hAnsi="宋体"/>
                <w:color w:val="000000"/>
                <w:sz w:val="24"/>
              </w:rPr>
              <w:t>的粘性土，级配良好，该层广泛分布公溪河两岸及河床位置，层厚</w:t>
            </w:r>
            <w:r>
              <w:rPr>
                <w:rFonts w:ascii="宋体" w:hAnsi="宋体"/>
                <w:color w:val="000000"/>
                <w:sz w:val="24"/>
              </w:rPr>
              <w:t>0.60</w:t>
            </w:r>
            <w:r>
              <w:rPr>
                <w:rFonts w:hint="eastAsia" w:ascii="宋体" w:hAnsi="宋体"/>
                <w:color w:val="000000"/>
                <w:sz w:val="24"/>
              </w:rPr>
              <w:t>～</w:t>
            </w:r>
            <w:r>
              <w:rPr>
                <w:rFonts w:ascii="宋体" w:hAnsi="宋体"/>
                <w:color w:val="000000"/>
                <w:sz w:val="24"/>
              </w:rPr>
              <w:t>3.30m</w:t>
            </w:r>
            <w:r>
              <w:rPr>
                <w:rFonts w:hint="eastAsia" w:ascii="宋体" w:hAnsi="宋体"/>
                <w:color w:val="000000"/>
                <w:sz w:val="24"/>
              </w:rPr>
              <w:t>，层底标高</w:t>
            </w:r>
            <w:r>
              <w:rPr>
                <w:rFonts w:ascii="宋体" w:hAnsi="宋体"/>
                <w:color w:val="000000"/>
                <w:sz w:val="24"/>
              </w:rPr>
              <w:t>79.88</w:t>
            </w:r>
            <w:r>
              <w:rPr>
                <w:rFonts w:hint="eastAsia" w:ascii="宋体" w:hAnsi="宋体"/>
                <w:color w:val="000000"/>
                <w:sz w:val="24"/>
              </w:rPr>
              <w:t>～</w:t>
            </w:r>
            <w:r>
              <w:rPr>
                <w:rFonts w:ascii="宋体" w:hAnsi="宋体"/>
                <w:color w:val="000000"/>
                <w:sz w:val="24"/>
              </w:rPr>
              <w:t>86.95m</w:t>
            </w:r>
            <w:r>
              <w:rPr>
                <w:rFonts w:hint="eastAsia" w:ascii="宋体" w:hAnsi="宋体"/>
                <w:color w:val="000000"/>
                <w:sz w:val="24"/>
              </w:rPr>
              <w:t>。</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④</w:t>
            </w:r>
            <w:r>
              <w:rPr>
                <w:rFonts w:ascii="宋体" w:hAnsi="宋体"/>
                <w:color w:val="000000"/>
                <w:sz w:val="24"/>
              </w:rPr>
              <w:t xml:space="preserve"> </w:t>
            </w:r>
            <w:r>
              <w:rPr>
                <w:rFonts w:hint="eastAsia" w:ascii="宋体" w:hAnsi="宋体"/>
                <w:color w:val="000000"/>
                <w:sz w:val="24"/>
              </w:rPr>
              <w:t>强风化板岩（</w:t>
            </w:r>
            <w:r>
              <w:rPr>
                <w:rFonts w:ascii="宋体" w:hAnsi="宋体"/>
                <w:color w:val="000000"/>
                <w:sz w:val="24"/>
              </w:rPr>
              <w:t>Zaj</w:t>
            </w:r>
            <w:r>
              <w:rPr>
                <w:rFonts w:ascii="宋体" w:hAnsi="宋体"/>
                <w:color w:val="000000"/>
                <w:sz w:val="24"/>
                <w:vertAlign w:val="superscript"/>
              </w:rPr>
              <w:t>2</w:t>
            </w:r>
            <w:r>
              <w:rPr>
                <w:rFonts w:hint="eastAsia" w:ascii="宋体" w:hAnsi="宋体"/>
                <w:color w:val="000000"/>
                <w:sz w:val="24"/>
              </w:rPr>
              <w:t>）：青灰色，凝灰质结构，岩石风化强烈，节理裂隙发育，岩芯破碎，呈密实砂土状、块状，块径一般</w:t>
            </w:r>
            <w:r>
              <w:rPr>
                <w:rFonts w:ascii="宋体" w:hAnsi="宋体"/>
                <w:color w:val="000000"/>
                <w:sz w:val="24"/>
              </w:rPr>
              <w:t>10</w:t>
            </w:r>
            <w:r>
              <w:rPr>
                <w:rFonts w:hint="eastAsia" w:ascii="宋体" w:hAnsi="宋体"/>
                <w:color w:val="000000"/>
                <w:sz w:val="24"/>
              </w:rPr>
              <w:t>～</w:t>
            </w:r>
            <w:r>
              <w:rPr>
                <w:rFonts w:ascii="宋体" w:hAnsi="宋体"/>
                <w:color w:val="000000"/>
                <w:sz w:val="24"/>
              </w:rPr>
              <w:t>50mm</w:t>
            </w:r>
            <w:r>
              <w:rPr>
                <w:rFonts w:hint="eastAsia" w:ascii="宋体" w:hAnsi="宋体"/>
                <w:color w:val="000000"/>
                <w:sz w:val="24"/>
              </w:rPr>
              <w:t>，大者</w:t>
            </w:r>
            <w:r>
              <w:rPr>
                <w:rFonts w:ascii="宋体" w:hAnsi="宋体"/>
                <w:color w:val="000000"/>
                <w:sz w:val="24"/>
              </w:rPr>
              <w:t>70</w:t>
            </w:r>
            <w:r>
              <w:rPr>
                <w:rFonts w:hint="eastAsia" w:ascii="宋体" w:hAnsi="宋体"/>
                <w:color w:val="000000"/>
                <w:sz w:val="24"/>
              </w:rPr>
              <w:t>～</w:t>
            </w:r>
            <w:r>
              <w:rPr>
                <w:rFonts w:ascii="宋体" w:hAnsi="宋体"/>
                <w:color w:val="000000"/>
                <w:sz w:val="24"/>
              </w:rPr>
              <w:t>150mm</w:t>
            </w:r>
            <w:r>
              <w:rPr>
                <w:rFonts w:hint="eastAsia" w:ascii="宋体" w:hAnsi="宋体"/>
                <w:color w:val="000000"/>
                <w:sz w:val="24"/>
              </w:rPr>
              <w:t>，岩质极软，锤击易断，岩石基本质量等级为Ⅴ级，该层全场分布，本次揭示层厚</w:t>
            </w:r>
            <w:r>
              <w:rPr>
                <w:rFonts w:ascii="宋体" w:hAnsi="宋体"/>
                <w:color w:val="000000"/>
                <w:sz w:val="24"/>
              </w:rPr>
              <w:t>1.40</w:t>
            </w:r>
            <w:r>
              <w:rPr>
                <w:rFonts w:hint="eastAsia" w:ascii="宋体" w:hAnsi="宋体"/>
                <w:color w:val="000000"/>
                <w:sz w:val="24"/>
              </w:rPr>
              <w:t>～</w:t>
            </w:r>
            <w:r>
              <w:rPr>
                <w:rFonts w:ascii="宋体" w:hAnsi="宋体"/>
                <w:color w:val="000000"/>
                <w:sz w:val="24"/>
              </w:rPr>
              <w:t>12.10m</w:t>
            </w:r>
            <w:r>
              <w:rPr>
                <w:rFonts w:hint="eastAsia" w:ascii="宋体" w:hAnsi="宋体"/>
                <w:color w:val="000000"/>
                <w:sz w:val="24"/>
              </w:rPr>
              <w:t>，层底标高</w:t>
            </w:r>
            <w:r>
              <w:rPr>
                <w:rFonts w:ascii="宋体" w:hAnsi="宋体"/>
                <w:color w:val="000000"/>
                <w:sz w:val="24"/>
              </w:rPr>
              <w:t>68.20</w:t>
            </w:r>
            <w:r>
              <w:rPr>
                <w:rFonts w:hint="eastAsia" w:ascii="宋体" w:hAnsi="宋体"/>
                <w:color w:val="000000"/>
                <w:sz w:val="24"/>
              </w:rPr>
              <w:t>～</w:t>
            </w:r>
            <w:r>
              <w:rPr>
                <w:rFonts w:ascii="宋体" w:hAnsi="宋体"/>
                <w:color w:val="000000"/>
                <w:sz w:val="24"/>
              </w:rPr>
              <w:t>85.55m</w:t>
            </w:r>
            <w:r>
              <w:rPr>
                <w:rFonts w:hint="eastAsia" w:ascii="宋体" w:hAnsi="宋体"/>
                <w:color w:val="000000"/>
                <w:sz w:val="24"/>
              </w:rPr>
              <w:t>。</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⑤</w:t>
            </w:r>
            <w:r>
              <w:rPr>
                <w:rFonts w:ascii="宋体" w:hAnsi="宋体"/>
                <w:color w:val="000000"/>
                <w:sz w:val="24"/>
              </w:rPr>
              <w:t xml:space="preserve"> </w:t>
            </w:r>
            <w:r>
              <w:rPr>
                <w:rFonts w:hint="eastAsia" w:ascii="宋体" w:hAnsi="宋体"/>
                <w:color w:val="000000"/>
                <w:sz w:val="24"/>
              </w:rPr>
              <w:t>中风化板岩（</w:t>
            </w:r>
            <w:r>
              <w:rPr>
                <w:rFonts w:ascii="宋体" w:hAnsi="宋体"/>
                <w:color w:val="000000"/>
                <w:sz w:val="24"/>
              </w:rPr>
              <w:t>Zaj</w:t>
            </w:r>
            <w:r>
              <w:rPr>
                <w:rFonts w:ascii="宋体" w:hAnsi="宋体"/>
                <w:color w:val="000000"/>
                <w:sz w:val="24"/>
                <w:vertAlign w:val="superscript"/>
              </w:rPr>
              <w:t>2</w:t>
            </w:r>
            <w:r>
              <w:rPr>
                <w:rFonts w:hint="eastAsia" w:ascii="宋体" w:hAnsi="宋体"/>
                <w:color w:val="000000"/>
                <w:sz w:val="24"/>
              </w:rPr>
              <w:t>）：青灰色，凝灰质结构，层状构造，节理裂隙较发育，岩芯较完整，多呈柱状，少量块状，柱长一般</w:t>
            </w:r>
            <w:r>
              <w:rPr>
                <w:rFonts w:ascii="宋体" w:hAnsi="宋体"/>
                <w:color w:val="000000"/>
                <w:sz w:val="24"/>
              </w:rPr>
              <w:t>10</w:t>
            </w:r>
            <w:r>
              <w:rPr>
                <w:rFonts w:hint="eastAsia" w:ascii="宋体" w:hAnsi="宋体"/>
                <w:color w:val="000000"/>
                <w:sz w:val="24"/>
              </w:rPr>
              <w:t>～</w:t>
            </w:r>
            <w:r>
              <w:rPr>
                <w:rFonts w:ascii="宋体" w:hAnsi="宋体"/>
                <w:color w:val="000000"/>
                <w:sz w:val="24"/>
              </w:rPr>
              <w:t>30cm</w:t>
            </w:r>
            <w:r>
              <w:rPr>
                <w:rFonts w:hint="eastAsia" w:ascii="宋体" w:hAnsi="宋体"/>
                <w:color w:val="000000"/>
                <w:sz w:val="24"/>
              </w:rPr>
              <w:t>，最长</w:t>
            </w:r>
            <w:r>
              <w:rPr>
                <w:rFonts w:ascii="宋体" w:hAnsi="宋体"/>
                <w:color w:val="000000"/>
                <w:sz w:val="24"/>
              </w:rPr>
              <w:t>40cm</w:t>
            </w:r>
            <w:r>
              <w:rPr>
                <w:rFonts w:hint="eastAsia" w:ascii="宋体" w:hAnsi="宋体"/>
                <w:color w:val="000000"/>
                <w:sz w:val="24"/>
              </w:rPr>
              <w:t>，岩质较硬，</w:t>
            </w:r>
            <w:r>
              <w:rPr>
                <w:rFonts w:ascii="宋体" w:hAnsi="宋体"/>
                <w:color w:val="000000"/>
                <w:sz w:val="24"/>
              </w:rPr>
              <w:t>RQD=60</w:t>
            </w:r>
            <w:r>
              <w:rPr>
                <w:rFonts w:hint="eastAsia" w:ascii="宋体" w:hAnsi="宋体"/>
                <w:color w:val="000000"/>
                <w:sz w:val="24"/>
              </w:rPr>
              <w:t>～</w:t>
            </w:r>
            <w:r>
              <w:rPr>
                <w:rFonts w:ascii="宋体" w:hAnsi="宋体"/>
                <w:color w:val="000000"/>
                <w:sz w:val="24"/>
              </w:rPr>
              <w:t>70%</w:t>
            </w:r>
            <w:r>
              <w:rPr>
                <w:rFonts w:hint="eastAsia" w:ascii="宋体" w:hAnsi="宋体"/>
                <w:color w:val="000000"/>
                <w:sz w:val="24"/>
              </w:rPr>
              <w:t>，岩石基本质量等级Ⅳ级，该层全场分布，本次揭示层厚</w:t>
            </w:r>
            <w:r>
              <w:rPr>
                <w:rFonts w:ascii="宋体" w:hAnsi="宋体"/>
                <w:color w:val="000000"/>
                <w:sz w:val="24"/>
              </w:rPr>
              <w:t>11.00</w:t>
            </w:r>
            <w:r>
              <w:rPr>
                <w:rFonts w:hint="eastAsia" w:ascii="宋体" w:hAnsi="宋体"/>
                <w:color w:val="000000"/>
                <w:sz w:val="24"/>
              </w:rPr>
              <w:t>～</w:t>
            </w:r>
            <w:r>
              <w:rPr>
                <w:rFonts w:ascii="宋体" w:hAnsi="宋体"/>
                <w:color w:val="000000"/>
                <w:sz w:val="24"/>
              </w:rPr>
              <w:t>18.50m</w:t>
            </w:r>
            <w:r>
              <w:rPr>
                <w:rFonts w:hint="eastAsia" w:ascii="宋体" w:hAnsi="宋体"/>
                <w:color w:val="000000"/>
                <w:sz w:val="24"/>
              </w:rPr>
              <w:t>，层顶标高</w:t>
            </w:r>
            <w:r>
              <w:rPr>
                <w:rFonts w:ascii="宋体" w:hAnsi="宋体"/>
                <w:color w:val="000000"/>
                <w:sz w:val="24"/>
              </w:rPr>
              <w:t>68.20</w:t>
            </w:r>
            <w:r>
              <w:rPr>
                <w:rFonts w:hint="eastAsia" w:ascii="宋体" w:hAnsi="宋体"/>
                <w:color w:val="000000"/>
                <w:sz w:val="24"/>
              </w:rPr>
              <w:t>～</w:t>
            </w:r>
            <w:r>
              <w:rPr>
                <w:rFonts w:ascii="宋体" w:hAnsi="宋体"/>
                <w:color w:val="000000"/>
                <w:sz w:val="24"/>
              </w:rPr>
              <w:t>85.55m</w:t>
            </w:r>
            <w:r>
              <w:rPr>
                <w:rFonts w:hint="eastAsia" w:ascii="宋体" w:hAnsi="宋体"/>
                <w:color w:val="000000"/>
                <w:sz w:val="24"/>
              </w:rPr>
              <w:t>。</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根据《中国地震动参数区划图》（GB18306–2001）与《建筑抗震设计规范》（GB50011–2001）,本区域地震动小于0.05g,地震动反应谱特征周期为0.35s,建筑抗震设防烈度为6度。</w:t>
            </w:r>
          </w:p>
          <w:p>
            <w:pPr>
              <w:pStyle w:val="8"/>
              <w:spacing w:line="500" w:lineRule="exact"/>
              <w:ind w:firstLine="480" w:firstLineChars="200"/>
              <w:rPr>
                <w:rFonts w:ascii="宋体" w:hAnsi="宋体"/>
                <w:color w:val="000000"/>
                <w:sz w:val="24"/>
              </w:rPr>
            </w:pPr>
            <w:r>
              <w:rPr>
                <w:rFonts w:hint="eastAsia" w:ascii="宋体" w:hAnsi="宋体"/>
                <w:color w:val="000000"/>
                <w:sz w:val="24"/>
              </w:rPr>
              <w:t>3、气候气象</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公溪河流域属于典型亚热带季风性湿润气候，流域内缺少实测气象资料，在流域中下游段，其东侧，距河口处约15km处有安江气象站。根据安江气象站资料统计，其多年平均气温17</w:t>
            </w:r>
            <w:r>
              <w:rPr>
                <w:rFonts w:ascii="宋体" w:hAnsi="宋体"/>
                <w:color w:val="000000"/>
                <w:sz w:val="24"/>
              </w:rPr>
              <w:t>℃</w:t>
            </w:r>
            <w:r>
              <w:rPr>
                <w:rFonts w:hint="eastAsia" w:ascii="宋体" w:hAnsi="宋体"/>
                <w:color w:val="000000"/>
                <w:sz w:val="24"/>
              </w:rPr>
              <w:t>，极端最高气温39.7</w:t>
            </w:r>
            <w:r>
              <w:rPr>
                <w:rFonts w:ascii="宋体" w:hAnsi="宋体"/>
                <w:color w:val="000000"/>
                <w:sz w:val="24"/>
              </w:rPr>
              <w:t>℃</w:t>
            </w:r>
            <w:r>
              <w:rPr>
                <w:rFonts w:hint="eastAsia" w:ascii="宋体" w:hAnsi="宋体"/>
                <w:color w:val="000000"/>
                <w:sz w:val="24"/>
              </w:rPr>
              <w:t>，极端最高气温-11.1</w:t>
            </w:r>
            <w:r>
              <w:rPr>
                <w:rFonts w:ascii="宋体" w:hAnsi="宋体"/>
                <w:color w:val="000000"/>
                <w:sz w:val="24"/>
              </w:rPr>
              <w:t>℃</w:t>
            </w:r>
            <w:r>
              <w:rPr>
                <w:rFonts w:hint="eastAsia" w:ascii="宋体" w:hAnsi="宋体"/>
                <w:color w:val="000000"/>
                <w:sz w:val="24"/>
              </w:rPr>
              <w:t>；多年平均气压974.3hPa，多年平均降雨量1314mm；多年平均蒸发量1263mm；多年平均风速1.7m/s，年最大风速18m/s，最多风向NE。安江气象站建站时间长，资料较全，专业技术力量强，资料可靠，可资利用。但由于地域差异较大，降水等气象不尽相同，公溪河原深渡水文站实测多年平均降雨量为1384.3mm，流域内雪峰山内最大降雨量达1830mm，流域平均降雨量为1500mm左右。</w:t>
            </w:r>
          </w:p>
          <w:p>
            <w:pPr>
              <w:snapToGrid w:val="0"/>
              <w:spacing w:beforeLines="50" w:line="360" w:lineRule="auto"/>
              <w:ind w:firstLine="480" w:firstLineChars="200"/>
              <w:rPr>
                <w:rFonts w:ascii="宋体" w:hAnsi="宋体"/>
                <w:color w:val="000000"/>
                <w:sz w:val="24"/>
              </w:rPr>
            </w:pPr>
            <w:r>
              <w:rPr>
                <w:rFonts w:hint="eastAsia" w:ascii="宋体" w:hAnsi="宋体"/>
                <w:color w:val="000000"/>
                <w:sz w:val="24"/>
              </w:rPr>
              <w:t>据怀化市气象局提供资料显示:怀化市洪江市多年年平均风速1.8m/s,历年最大风速20.7m/s;静风频率较高,年出现频率达25.6%;主导风向随季节变化明显,春季盛行NNE风、频率16.8%,夏季盛行SSW风、频率18.8%,秋季盛行NE风、频率16.4%,冬季盛行NE风、频率20.6%。全年盛行风向以NE为主,频率17.4%。</w:t>
            </w:r>
          </w:p>
          <w:p>
            <w:pPr>
              <w:pStyle w:val="8"/>
              <w:spacing w:line="500" w:lineRule="exact"/>
              <w:ind w:firstLine="480" w:firstLineChars="200"/>
              <w:rPr>
                <w:rFonts w:ascii="宋体" w:hAnsi="宋体"/>
                <w:color w:val="000000"/>
                <w:sz w:val="24"/>
              </w:rPr>
            </w:pPr>
            <w:r>
              <w:rPr>
                <w:rFonts w:hint="eastAsia" w:ascii="宋体" w:hAnsi="宋体"/>
                <w:color w:val="000000"/>
                <w:sz w:val="24"/>
              </w:rPr>
              <w:t>4、水文</w:t>
            </w:r>
          </w:p>
          <w:p>
            <w:pPr>
              <w:pStyle w:val="8"/>
              <w:spacing w:line="500" w:lineRule="exact"/>
              <w:ind w:firstLine="480" w:firstLineChars="200"/>
              <w:rPr>
                <w:rFonts w:ascii="宋体" w:hAnsi="宋体"/>
                <w:color w:val="000000"/>
                <w:sz w:val="24"/>
              </w:rPr>
            </w:pPr>
            <w:r>
              <w:rPr>
                <w:rFonts w:hint="eastAsia" w:ascii="宋体" w:hAnsi="宋体"/>
                <w:color w:val="000000"/>
                <w:sz w:val="24"/>
              </w:rPr>
              <w:t>洪江市境内溪河纵横,沅水纵贯全境,舞水、舞水分别于托口、黔城注入沅水。</w:t>
            </w:r>
          </w:p>
          <w:p>
            <w:pPr>
              <w:pStyle w:val="8"/>
              <w:spacing w:line="500" w:lineRule="exact"/>
              <w:ind w:firstLine="480" w:firstLineChars="200"/>
              <w:rPr>
                <w:rFonts w:ascii="宋体" w:hAnsi="宋体"/>
                <w:color w:val="000000"/>
                <w:sz w:val="24"/>
              </w:rPr>
            </w:pPr>
            <w:r>
              <w:rPr>
                <w:rFonts w:hint="eastAsia" w:ascii="宋体" w:hAnsi="宋体"/>
                <w:color w:val="000000"/>
                <w:sz w:val="24"/>
              </w:rPr>
              <w:t>沅水发源于贵州省东南部,流经湖南省芷江县,由洪江市西部托口镇罗岩村入境,至托口汇舞水,始称沅水。蜿蜒于沅河、江市,流经沙湾、安江至茅渡栗子溪村出洪江境,再经怀化、溆浦（大江口）、辰溪、泸溪、沅陵、桃源、常德等县市注入洞庭湖。境内河床进口处海拔199米,出口入150米,境内平均坡降为0.36%,有白市至通州,黔城至洪江、黄狮洞至铜湾三段峡谷,分别为 30公里、20公里和30公里,其余流程两岸属丘岗地与河谷平原,是洪江稻谷和柑桔的主要产地。</w:t>
            </w:r>
          </w:p>
          <w:p>
            <w:pPr>
              <w:pStyle w:val="8"/>
              <w:spacing w:line="500" w:lineRule="exact"/>
              <w:ind w:firstLine="480" w:firstLineChars="200"/>
              <w:rPr>
                <w:rFonts w:ascii="宋体" w:hAnsi="宋体"/>
                <w:color w:val="000000"/>
                <w:sz w:val="24"/>
              </w:rPr>
            </w:pPr>
            <w:r>
              <w:rPr>
                <w:rFonts w:hint="eastAsia" w:ascii="宋体" w:hAnsi="宋体"/>
                <w:color w:val="000000"/>
                <w:sz w:val="24"/>
              </w:rPr>
              <w:t>公溪河属沅水一级支流，流域位于湖南西部，地理坐标：北纬27</w:t>
            </w:r>
            <w:r>
              <w:rPr>
                <w:rFonts w:ascii="宋体" w:hAnsi="宋体"/>
                <w:color w:val="000000"/>
                <w:sz w:val="24"/>
              </w:rPr>
              <w:t>°</w:t>
            </w:r>
            <w:r>
              <w:rPr>
                <w:rFonts w:hint="eastAsia" w:ascii="宋体" w:hAnsi="宋体"/>
                <w:color w:val="000000"/>
                <w:sz w:val="24"/>
              </w:rPr>
              <w:t>11</w:t>
            </w:r>
            <w:r>
              <w:rPr>
                <w:rFonts w:ascii="宋体" w:hAnsi="宋体"/>
                <w:color w:val="000000"/>
                <w:sz w:val="24"/>
              </w:rPr>
              <w:t>′</w:t>
            </w:r>
            <w:r>
              <w:rPr>
                <w:rFonts w:hint="eastAsia" w:ascii="宋体" w:hAnsi="宋体"/>
                <w:color w:val="000000"/>
                <w:sz w:val="24"/>
              </w:rPr>
              <w:t>35″～26</w:t>
            </w:r>
            <w:r>
              <w:rPr>
                <w:rFonts w:ascii="宋体" w:hAnsi="宋体"/>
                <w:color w:val="000000"/>
                <w:sz w:val="24"/>
              </w:rPr>
              <w:t>°</w:t>
            </w:r>
            <w:r>
              <w:rPr>
                <w:rFonts w:hint="eastAsia" w:ascii="宋体" w:hAnsi="宋体"/>
                <w:color w:val="000000"/>
                <w:sz w:val="24"/>
              </w:rPr>
              <w:t>55</w:t>
            </w:r>
            <w:r>
              <w:rPr>
                <w:rFonts w:ascii="宋体" w:hAnsi="宋体"/>
                <w:color w:val="000000"/>
                <w:sz w:val="24"/>
              </w:rPr>
              <w:t>′</w:t>
            </w:r>
            <w:r>
              <w:rPr>
                <w:rFonts w:hint="eastAsia" w:ascii="宋体" w:hAnsi="宋体"/>
                <w:color w:val="000000"/>
                <w:sz w:val="24"/>
              </w:rPr>
              <w:t>10″，东经110</w:t>
            </w:r>
            <w:r>
              <w:rPr>
                <w:rFonts w:ascii="宋体" w:hAnsi="宋体"/>
                <w:color w:val="000000"/>
                <w:sz w:val="24"/>
              </w:rPr>
              <w:t>°</w:t>
            </w:r>
            <w:r>
              <w:rPr>
                <w:rFonts w:hint="eastAsia" w:ascii="宋体" w:hAnsi="宋体"/>
                <w:color w:val="000000"/>
                <w:sz w:val="24"/>
              </w:rPr>
              <w:t>02</w:t>
            </w:r>
            <w:r>
              <w:rPr>
                <w:rFonts w:ascii="宋体" w:hAnsi="宋体"/>
                <w:color w:val="000000"/>
                <w:sz w:val="24"/>
              </w:rPr>
              <w:t>′</w:t>
            </w:r>
            <w:r>
              <w:rPr>
                <w:rFonts w:hint="eastAsia" w:ascii="宋体" w:hAnsi="宋体"/>
                <w:color w:val="000000"/>
                <w:sz w:val="24"/>
              </w:rPr>
              <w:t>30″～110</w:t>
            </w:r>
            <w:r>
              <w:rPr>
                <w:rFonts w:ascii="宋体" w:hAnsi="宋体"/>
                <w:color w:val="000000"/>
                <w:sz w:val="24"/>
              </w:rPr>
              <w:t>°</w:t>
            </w:r>
            <w:r>
              <w:rPr>
                <w:rFonts w:hint="eastAsia" w:ascii="宋体" w:hAnsi="宋体"/>
                <w:color w:val="000000"/>
                <w:sz w:val="24"/>
              </w:rPr>
              <w:t>17</w:t>
            </w:r>
            <w:r>
              <w:rPr>
                <w:rFonts w:ascii="宋体" w:hAnsi="宋体"/>
                <w:color w:val="000000"/>
                <w:sz w:val="24"/>
              </w:rPr>
              <w:t>′</w:t>
            </w:r>
            <w:r>
              <w:rPr>
                <w:rFonts w:hint="eastAsia" w:ascii="宋体" w:hAnsi="宋体"/>
                <w:color w:val="000000"/>
                <w:sz w:val="24"/>
              </w:rPr>
              <w:t>20″。公溪河流域面积488km2，河道干流长度64km，河流平均坡降7.35‰,多年平均流量13.25 m3/s,年径流量为4.18亿m3。</w:t>
            </w:r>
          </w:p>
          <w:p>
            <w:pPr>
              <w:pStyle w:val="8"/>
              <w:spacing w:line="500" w:lineRule="exact"/>
              <w:ind w:firstLine="480" w:firstLineChars="200"/>
              <w:rPr>
                <w:rFonts w:ascii="宋体" w:hAnsi="宋体"/>
                <w:color w:val="000000"/>
                <w:sz w:val="24"/>
              </w:rPr>
            </w:pPr>
            <w:r>
              <w:rPr>
                <w:rFonts w:hint="eastAsia" w:ascii="宋体" w:hAnsi="宋体"/>
                <w:color w:val="000000"/>
                <w:sz w:val="24"/>
              </w:rPr>
              <w:t>公溪河发源于绥宁县张家冲、流经绥宁县老毛冲、彭家（在彭家纳水口溪，于其下游2km处接纳田螺施河）等地，从源头至彭家段河流称为曲溪河，以下称为龙木坪河，流入洞口县至龙木坪，接纳趴头江，以下始称公溪河。公溪河自东南向西北流经茶路，纳铁山溪，在芋子塘后又接纳那溪、安顺溪、四季河（大麻溪）等支流，于芋子塘流出洞口县界进入洪江市境内，于龙口江接纳龙口江溪，流经龙船塘乡接纳翁浪溪、半冲溪，向下游经深渡乡接纳飞山溪、壮溪冲溪、公溪河，经寨头、于塘冲汇入沅水。为洪江第三大河流。工程区段支流公溪河控制集雨面积16km</w:t>
            </w:r>
            <w:r>
              <w:rPr>
                <w:rFonts w:hint="eastAsia" w:ascii="宋体" w:hAnsi="宋体"/>
                <w:color w:val="000000"/>
                <w:sz w:val="24"/>
                <w:vertAlign w:val="superscript"/>
              </w:rPr>
              <w:t>2</w:t>
            </w:r>
            <w:r>
              <w:rPr>
                <w:rFonts w:hint="eastAsia" w:ascii="宋体" w:hAnsi="宋体"/>
                <w:color w:val="000000"/>
                <w:sz w:val="24"/>
              </w:rPr>
              <w:t>，干流长7.6km，河流坡降23.4‰,公溪河有支流木头溪，木头溪控制集雨面积4.5km2，干流长3.1km，河流坡降44‰。</w:t>
            </w:r>
          </w:p>
          <w:p>
            <w:pPr>
              <w:pStyle w:val="8"/>
              <w:spacing w:line="500" w:lineRule="exact"/>
              <w:ind w:firstLine="480" w:firstLineChars="200"/>
              <w:rPr>
                <w:rFonts w:ascii="宋体" w:hAnsi="宋体"/>
                <w:color w:val="000000"/>
                <w:sz w:val="24"/>
              </w:rPr>
            </w:pPr>
            <w:r>
              <w:rPr>
                <w:rFonts w:hint="eastAsia" w:ascii="宋体" w:hAnsi="宋体"/>
                <w:color w:val="000000"/>
                <w:sz w:val="24"/>
              </w:rPr>
              <w:t>5、植被和生物多样性</w:t>
            </w:r>
          </w:p>
          <w:p>
            <w:pPr>
              <w:pStyle w:val="8"/>
              <w:spacing w:line="500" w:lineRule="exact"/>
              <w:ind w:firstLine="480" w:firstLineChars="200"/>
              <w:rPr>
                <w:rFonts w:ascii="宋体" w:hAnsi="宋体"/>
                <w:color w:val="000000"/>
                <w:sz w:val="24"/>
              </w:rPr>
            </w:pPr>
            <w:r>
              <w:rPr>
                <w:rFonts w:hint="eastAsia" w:ascii="宋体" w:hAnsi="宋体"/>
                <w:color w:val="000000"/>
                <w:sz w:val="24"/>
              </w:rPr>
              <w:t>洪江市区域内主要野生木本植物有杉木、马尾松、油茶、樟树、苦槠、白栎、槲树、朴树、青冈、化香、枫香、构树、槐树、冬青、构骨、檵木、山胡椒、苦楝、女贞、黄檀、花椒、野桐、盐肤木、乌泡、鸡桑、花竹等,草本植物主要有白茅、野古草、香茅草、狗尾草、车前草、野菊花、狗牙根、芒、浦公英等,另外还有多种蕨类和藤本植物,物种均为常见种,丰度一般。区域内野生动物较少,主要有常见动物蛇、鼠、蛙、昆虫类及野兔、黄鼠狼、麻雀、八哥等。鱼类主要有常见本地鱼类,鲤鱼、南方马口鱼、细鳞斜口鲴、鳤、岩原鲤、呆鲤、镜鲤、火鲤、银色颌须鮈、黄颡鱼、长吻鮠、胡鲶、青鱼、草鱼、鲢、鳙、鲫、鳊、鳜、鰔、鮊、白甲鱼、鸭鱼、刺鲃等24种,优势科为鲤科。区域内农作物主要有水稻、红薯、玉米等粮食作物以及白菜、萝卜等蔬菜。家畜主要有猪、牛、羊、兔、鸡、鸭等。</w:t>
            </w:r>
          </w:p>
          <w:p>
            <w:pPr>
              <w:pStyle w:val="8"/>
              <w:spacing w:line="500" w:lineRule="exact"/>
              <w:ind w:firstLine="480" w:firstLineChars="200"/>
              <w:rPr>
                <w:rFonts w:ascii="宋体" w:hAnsi="宋体"/>
                <w:b/>
                <w:color w:val="000000"/>
                <w:sz w:val="24"/>
              </w:rPr>
            </w:pPr>
            <w:r>
              <w:rPr>
                <w:rFonts w:hint="eastAsia" w:ascii="宋体" w:hAnsi="宋体"/>
                <w:color w:val="000000"/>
                <w:sz w:val="24"/>
              </w:rPr>
              <w:t>评价区域内目前尚没有发现珍稀野生保护动植物、无名木古树。</w:t>
            </w:r>
          </w:p>
          <w:p>
            <w:pPr>
              <w:pStyle w:val="8"/>
              <w:spacing w:line="500" w:lineRule="exact"/>
              <w:ind w:firstLine="480" w:firstLineChars="200"/>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513" w:hRule="atLeast"/>
          <w:jc w:val="center"/>
        </w:trPr>
        <w:tc>
          <w:tcPr>
            <w:tcW w:w="9287" w:type="dxa"/>
            <w:gridSpan w:val="2"/>
          </w:tcPr>
          <w:p>
            <w:pPr>
              <w:spacing w:line="360" w:lineRule="auto"/>
              <w:rPr>
                <w:rFonts w:ascii="宋体" w:hAnsi="宋体"/>
                <w:b/>
                <w:color w:val="000000"/>
                <w:sz w:val="28"/>
              </w:rPr>
            </w:pPr>
            <w:r>
              <w:rPr>
                <w:rFonts w:ascii="宋体" w:hAnsi="宋体"/>
                <w:b/>
                <w:color w:val="000000"/>
                <w:sz w:val="28"/>
              </w:rPr>
              <w:t>社会环境简况（社会经济、人口、文化、文物等）：</w:t>
            </w:r>
          </w:p>
          <w:p>
            <w:pPr>
              <w:spacing w:line="440" w:lineRule="exact"/>
              <w:ind w:firstLine="480" w:firstLineChars="200"/>
              <w:rPr>
                <w:rFonts w:ascii="宋体" w:hAnsi="宋体"/>
                <w:color w:val="000000"/>
                <w:sz w:val="24"/>
              </w:rPr>
            </w:pPr>
            <w:r>
              <w:rPr>
                <w:rFonts w:hint="eastAsia" w:ascii="宋体" w:hAnsi="宋体"/>
                <w:color w:val="000000"/>
                <w:sz w:val="24"/>
              </w:rPr>
              <w:t>1、社会经济结构</w:t>
            </w:r>
          </w:p>
          <w:p>
            <w:pPr>
              <w:spacing w:line="440" w:lineRule="exact"/>
              <w:ind w:firstLine="480" w:firstLineChars="200"/>
              <w:rPr>
                <w:rFonts w:ascii="宋体" w:hAnsi="宋体"/>
                <w:color w:val="000000"/>
                <w:sz w:val="24"/>
              </w:rPr>
            </w:pPr>
            <w:r>
              <w:rPr>
                <w:rFonts w:hint="eastAsia" w:ascii="宋体" w:hAnsi="宋体"/>
                <w:color w:val="000000"/>
                <w:sz w:val="24"/>
              </w:rPr>
              <w:t>洪江市现辖岔头、茅渡、大崇、熟坪、铁山、群峰、湾溪、洗马、沙湾、太平、岩垅11个乡，深渡苗族、龙船塘瑶族2个民族乡，黔城、安江、托口、沅河、江市、雪峰、塘湾7个镇，总面积2174平方千米。</w:t>
            </w:r>
          </w:p>
          <w:p>
            <w:pPr>
              <w:spacing w:line="440" w:lineRule="exact"/>
              <w:ind w:firstLine="480" w:firstLineChars="200"/>
              <w:rPr>
                <w:rFonts w:ascii="宋体" w:hAnsi="宋体"/>
                <w:color w:val="000000"/>
                <w:sz w:val="24"/>
              </w:rPr>
            </w:pPr>
            <w:r>
              <w:rPr>
                <w:rFonts w:hint="eastAsia" w:ascii="宋体" w:hAnsi="宋体"/>
                <w:color w:val="000000"/>
                <w:sz w:val="24"/>
              </w:rPr>
              <w:t>2017年，全市实现地区生产总值1072096万元，按可比价格计算，比上年增长7.4%，低于怀化市平均增速（8.1%）0.7个百分点。分产业看，第一产业实现增加值203258万元，增长3.2%；第二产业实现增加值369481万元，增长6.0%；第三产业实现增加值499357万元，增长10.3%。一、二、三产业之比为18.9：34.5：46.6，三次产业分别拉动经济增长0.6、2.2和4.6个百分点。按常住人口计算的人均地区生产总值为25002元。</w:t>
            </w:r>
          </w:p>
          <w:p>
            <w:pPr>
              <w:spacing w:line="440" w:lineRule="exact"/>
              <w:ind w:firstLine="480" w:firstLineChars="200"/>
              <w:rPr>
                <w:rFonts w:ascii="宋体" w:hAnsi="宋体"/>
                <w:color w:val="000000"/>
                <w:sz w:val="24"/>
              </w:rPr>
            </w:pPr>
            <w:r>
              <w:rPr>
                <w:rFonts w:hint="eastAsia" w:ascii="宋体" w:hAnsi="宋体"/>
                <w:color w:val="000000"/>
                <w:sz w:val="24"/>
              </w:rPr>
              <w:t>2、文教卫生及交通状况</w:t>
            </w:r>
          </w:p>
          <w:p>
            <w:pPr>
              <w:spacing w:line="440" w:lineRule="exact"/>
              <w:ind w:firstLine="480" w:firstLineChars="200"/>
              <w:rPr>
                <w:rFonts w:ascii="宋体" w:hAnsi="宋体"/>
                <w:color w:val="000000"/>
                <w:sz w:val="24"/>
              </w:rPr>
            </w:pPr>
            <w:r>
              <w:rPr>
                <w:rFonts w:hint="eastAsia" w:ascii="宋体" w:hAnsi="宋体"/>
                <w:color w:val="000000"/>
                <w:sz w:val="24"/>
              </w:rPr>
              <w:t>2017年，全市共有中小学校（幼儿园）87所，其中，普通高中2所、完全中学2所、中等职业学校3所、普通初中27所、小学20所、幼儿园32所、教师进修学校1所。在校普通高中生5360人、中等职业学校在校学生3679人、初中生9764人、小学生21482人、在园儿童10236人；现有中小学教职工3165人。高考本科自然上线人数498人，本科自然上线率为30.8％；本科、专科自然上线率为96.2％。其中一本录取75人，二本录取264人。</w:t>
            </w:r>
          </w:p>
          <w:p>
            <w:pPr>
              <w:spacing w:line="440" w:lineRule="exact"/>
              <w:ind w:firstLine="480" w:firstLineChars="200"/>
              <w:rPr>
                <w:rFonts w:ascii="宋体" w:hAnsi="宋体"/>
                <w:color w:val="000000"/>
                <w:sz w:val="24"/>
              </w:rPr>
            </w:pPr>
            <w:r>
              <w:rPr>
                <w:rFonts w:hint="eastAsia" w:ascii="宋体" w:hAnsi="宋体"/>
                <w:color w:val="000000"/>
                <w:sz w:val="24"/>
              </w:rPr>
              <w:t>2017年，全市共有各级各类医疗卫生机构34个，卫生从业人员1934人，乡村医生391人，各类卫生技术人员中，副高以上职称49人，中级职称351人，本科以上学历298人，大专学历1010人；病床2140张，每千人拥有病床4.9张。2017年，医疗机构总诊疗人数为76.59万人次，其中门诊人数为75万人次，住院人数为7.85万人次，医疗收入突破2.96亿元。全市儿童免疫规划疫苗11种，全市计划免疫接种率保持在95%以上；住院分娩率达99.98%,高危产妇管理率均达100%。2017年末，全市共有公交线路8条，营运公交车76台；营运出租车80辆，营运货车405辆，营运客车307辆，营运客船131艘。3、文物保护</w:t>
            </w:r>
          </w:p>
          <w:p>
            <w:pPr>
              <w:spacing w:line="440" w:lineRule="exact"/>
              <w:ind w:firstLine="480" w:firstLineChars="200"/>
              <w:rPr>
                <w:rFonts w:ascii="宋体" w:hAnsi="宋体"/>
                <w:color w:val="000000"/>
                <w:sz w:val="24"/>
              </w:rPr>
            </w:pPr>
            <w:r>
              <w:rPr>
                <w:rFonts w:hint="eastAsia" w:ascii="宋体" w:hAnsi="宋体"/>
                <w:color w:val="000000"/>
                <w:sz w:val="24"/>
              </w:rPr>
              <w:t>拟建场址周边200m范围内无文物保护单位分布。</w:t>
            </w:r>
          </w:p>
          <w:p>
            <w:pPr>
              <w:spacing w:line="440" w:lineRule="exact"/>
              <w:ind w:firstLine="480" w:firstLineChars="200"/>
              <w:rPr>
                <w:rFonts w:ascii="宋体" w:hAnsi="宋体"/>
                <w:color w:val="000000"/>
                <w:sz w:val="24"/>
              </w:rPr>
            </w:pPr>
            <w:r>
              <w:rPr>
                <w:rFonts w:hint="eastAsia" w:ascii="宋体" w:hAnsi="宋体"/>
                <w:color w:val="000000"/>
                <w:sz w:val="24"/>
              </w:rPr>
              <w:t>3、自然、文物保护单位</w:t>
            </w:r>
          </w:p>
          <w:p>
            <w:pPr>
              <w:spacing w:line="440" w:lineRule="exact"/>
              <w:ind w:firstLine="470" w:firstLineChars="196"/>
              <w:rPr>
                <w:rFonts w:ascii="宋体" w:hAnsi="宋体"/>
                <w:color w:val="000000"/>
                <w:sz w:val="24"/>
              </w:rPr>
            </w:pPr>
            <w:r>
              <w:rPr>
                <w:rFonts w:hint="eastAsia" w:ascii="宋体" w:hAnsi="宋体"/>
                <w:color w:val="000000"/>
                <w:sz w:val="24"/>
              </w:rPr>
              <w:t>根据实地调查,本项目评价区域内有无历史文物遗址和风景名胜区等需要特别保护的文化遗产、自然遗产、自然景观。</w:t>
            </w:r>
          </w:p>
        </w:tc>
      </w:tr>
    </w:tbl>
    <w:p>
      <w:pPr>
        <w:pStyle w:val="2"/>
        <w:keepLines/>
        <w:pageBreakBefore/>
        <w:rPr>
          <w:rFonts w:ascii="宋体" w:hAnsi="宋体"/>
          <w:b/>
          <w:color w:val="000000"/>
          <w:kern w:val="44"/>
          <w:szCs w:val="28"/>
        </w:rPr>
      </w:pPr>
      <w:bookmarkStart w:id="6" w:name="_Toc509236301"/>
      <w:bookmarkStart w:id="7" w:name="_Toc295374654"/>
      <w:r>
        <w:rPr>
          <w:rFonts w:ascii="宋体" w:hAnsi="宋体"/>
          <w:b/>
          <w:color w:val="000000"/>
          <w:kern w:val="44"/>
          <w:szCs w:val="28"/>
        </w:rPr>
        <w:t>环境质量状况</w:t>
      </w:r>
      <w:bookmarkEnd w:id="6"/>
      <w:bookmarkEnd w:id="7"/>
    </w:p>
    <w:tbl>
      <w:tblPr>
        <w:tblStyle w:val="42"/>
        <w:tblW w:w="9336" w:type="dxa"/>
        <w:jc w:val="center"/>
        <w:tblInd w:w="-34"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3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267" w:hRule="atLeast"/>
          <w:jc w:val="center"/>
        </w:trPr>
        <w:tc>
          <w:tcPr>
            <w:tcW w:w="9336" w:type="dxa"/>
          </w:tcPr>
          <w:p>
            <w:pPr>
              <w:pStyle w:val="8"/>
              <w:spacing w:line="560" w:lineRule="exact"/>
              <w:rPr>
                <w:rFonts w:ascii="宋体" w:hAnsi="宋体"/>
                <w:b/>
                <w:color w:val="000000"/>
                <w:szCs w:val="24"/>
              </w:rPr>
            </w:pPr>
            <w:r>
              <w:rPr>
                <w:rFonts w:hint="eastAsia" w:ascii="宋体" w:hAnsi="宋体"/>
                <w:b/>
                <w:color w:val="000000"/>
                <w:szCs w:val="24"/>
              </w:rPr>
              <w:t>一、建设项目所在地区域环境质量现状（地表水、地下水、环境空气、声环境、生态环境等）:</w:t>
            </w:r>
          </w:p>
          <w:p>
            <w:pPr>
              <w:spacing w:line="480" w:lineRule="exact"/>
              <w:ind w:firstLine="480" w:firstLineChars="200"/>
              <w:rPr>
                <w:color w:val="000000"/>
                <w:sz w:val="24"/>
                <w:szCs w:val="24"/>
              </w:rPr>
            </w:pPr>
            <w:r>
              <w:rPr>
                <w:rFonts w:hint="eastAsia"/>
                <w:color w:val="000000"/>
                <w:sz w:val="24"/>
                <w:szCs w:val="24"/>
              </w:rPr>
              <w:t>（一）环境空气质量现状</w:t>
            </w:r>
          </w:p>
          <w:p>
            <w:pPr>
              <w:spacing w:line="360" w:lineRule="auto"/>
              <w:ind w:firstLine="480" w:firstLineChars="200"/>
              <w:rPr>
                <w:color w:val="000000" w:themeColor="text1"/>
                <w:sz w:val="24"/>
              </w:rPr>
            </w:pPr>
            <w:r>
              <w:rPr>
                <w:rFonts w:hint="eastAsia"/>
                <w:color w:val="000000"/>
                <w:sz w:val="24"/>
              </w:rPr>
              <w:t>本次环境空气质量现状引用洪江市环境保护局门户网站公开的</w:t>
            </w:r>
            <w:r>
              <w:rPr>
                <w:color w:val="000000"/>
                <w:sz w:val="24"/>
              </w:rPr>
              <w:t>“</w:t>
            </w:r>
            <w:r>
              <w:rPr>
                <w:rFonts w:hint="eastAsia"/>
                <w:color w:val="000000"/>
                <w:sz w:val="24"/>
              </w:rPr>
              <w:t>洪江市</w:t>
            </w:r>
            <w:r>
              <w:rPr>
                <w:color w:val="000000"/>
                <w:sz w:val="24"/>
              </w:rPr>
              <w:t>201</w:t>
            </w:r>
            <w:r>
              <w:rPr>
                <w:rFonts w:hint="eastAsia"/>
                <w:color w:val="000000"/>
                <w:sz w:val="24"/>
              </w:rPr>
              <w:t>8年2月份大气自动站统计表</w:t>
            </w:r>
            <w:r>
              <w:rPr>
                <w:color w:val="000000"/>
                <w:sz w:val="24"/>
              </w:rPr>
              <w:t>”</w:t>
            </w:r>
            <w:r>
              <w:rPr>
                <w:rFonts w:hint="eastAsia"/>
                <w:color w:val="000000"/>
                <w:sz w:val="24"/>
              </w:rPr>
              <w:t>中监测数据进行评价</w:t>
            </w:r>
            <w:r>
              <w:rPr>
                <w:color w:val="000000"/>
                <w:sz w:val="24"/>
              </w:rPr>
              <w:t>,</w:t>
            </w:r>
            <w:r>
              <w:rPr>
                <w:rFonts w:hint="eastAsia"/>
                <w:color w:val="000000" w:themeColor="text1"/>
                <w:sz w:val="24"/>
              </w:rPr>
              <w:t>本项目位于洪江市环保局监测点位西南面约810</w:t>
            </w:r>
            <w:r>
              <w:rPr>
                <w:color w:val="000000" w:themeColor="text1"/>
                <w:sz w:val="24"/>
              </w:rPr>
              <w:t>m,</w:t>
            </w:r>
            <w:r>
              <w:rPr>
                <w:rFonts w:hint="eastAsia"/>
                <w:color w:val="000000"/>
                <w:sz w:val="24"/>
              </w:rPr>
              <w:t>具体监测点位见附图四。具体数据统计结</w:t>
            </w:r>
            <w:r>
              <w:rPr>
                <w:rFonts w:hint="eastAsia"/>
                <w:color w:val="000000" w:themeColor="text1"/>
                <w:sz w:val="24"/>
              </w:rPr>
              <w:t>果见表4。</w:t>
            </w:r>
          </w:p>
          <w:p>
            <w:pPr>
              <w:wordWrap w:val="0"/>
              <w:spacing w:line="500" w:lineRule="exact"/>
              <w:ind w:right="720"/>
              <w:jc w:val="right"/>
              <w:rPr>
                <w:color w:val="000000" w:themeColor="text1"/>
                <w:sz w:val="24"/>
              </w:rPr>
            </w:pPr>
            <w:r>
              <w:rPr>
                <w:rFonts w:hint="eastAsia"/>
                <w:bCs/>
                <w:color w:val="000000" w:themeColor="text1"/>
                <w:sz w:val="24"/>
              </w:rPr>
              <w:t>表4</w:t>
            </w:r>
            <w:r>
              <w:rPr>
                <w:bCs/>
                <w:color w:val="000000" w:themeColor="text1"/>
                <w:sz w:val="24"/>
              </w:rPr>
              <w:t xml:space="preserve">    </w:t>
            </w:r>
            <w:r>
              <w:rPr>
                <w:rFonts w:hint="eastAsia"/>
                <w:color w:val="000000" w:themeColor="text1"/>
                <w:sz w:val="24"/>
              </w:rPr>
              <w:t>环境空气质量现状监测及评价结果表</w:t>
            </w:r>
            <w:r>
              <w:rPr>
                <w:color w:val="000000" w:themeColor="text1"/>
                <w:sz w:val="24"/>
              </w:rPr>
              <w:t xml:space="preserve">      </w:t>
            </w:r>
            <w:r>
              <w:rPr>
                <w:rFonts w:hint="eastAsia"/>
                <w:color w:val="000000" w:themeColor="text1"/>
                <w:sz w:val="24"/>
              </w:rPr>
              <w:t>浓度单位</w:t>
            </w:r>
            <w:r>
              <w:rPr>
                <w:color w:val="000000" w:themeColor="text1"/>
                <w:sz w:val="24"/>
              </w:rPr>
              <w:t>:μg/m</w:t>
            </w:r>
            <w:r>
              <w:rPr>
                <w:color w:val="000000" w:themeColor="text1"/>
                <w:sz w:val="24"/>
                <w:vertAlign w:val="superscript"/>
              </w:rPr>
              <w:t>3</w:t>
            </w:r>
          </w:p>
          <w:tbl>
            <w:tblPr>
              <w:tblStyle w:val="42"/>
              <w:tblW w:w="89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5"/>
              <w:gridCol w:w="1849"/>
              <w:gridCol w:w="919"/>
              <w:gridCol w:w="982"/>
              <w:gridCol w:w="951"/>
              <w:gridCol w:w="966"/>
              <w:gridCol w:w="936"/>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jc w:val="center"/>
              </w:trPr>
              <w:tc>
                <w:tcPr>
                  <w:tcW w:w="335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ind w:firstLine="420" w:firstLineChars="200"/>
                    <w:jc w:val="center"/>
                    <w:rPr>
                      <w:rFonts w:ascii="宋体" w:hAnsi="宋体"/>
                      <w:color w:val="000000" w:themeColor="text1"/>
                      <w:szCs w:val="21"/>
                    </w:rPr>
                  </w:pPr>
                  <w:r>
                    <w:rPr>
                      <w:rFonts w:ascii="宋体" w:hAnsi="宋体"/>
                      <w:color w:val="000000" w:themeColor="text1"/>
                      <w:szCs w:val="21"/>
                    </w:rPr>
                    <w:pict>
                      <v:line id="直接连接符 49" o:spid="_x0000_s1077" o:spt="20" style="position:absolute;left:0pt;margin-left:-6.3pt;margin-top:2.3pt;height:45.1pt;width:55.9pt;z-index:25161932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74J1wEAAGIDAAAOAAAAZHJzL2Uyb0RvYy54bWysU81uEzEQviPxDpbvZDcpZckqmx5SlUuB&#10;SG0fwLG9WQvbY9lOdvMSvAASNzhx7J23oTxGx84PBW6IPYzWnpnP832fPbsYjCZb6YMC29DxqKRE&#10;Wg5C2XVD726vXrymJERmBdNgZUN3MtCL+fNns97VcgIdaCE9QRAb6t41tIvR1UUReCcNCyNw0mKy&#10;BW9YxKVfF8KzHtGNLiZl+arowQvngcsQcPdyn6TzjN+2ksf3bRtkJLqhOFvM0ee4SrGYz1i99sx1&#10;ih/GYP8whWHK4qEnqEsWGdl49ReUUdxDgDaOOJgC2lZxmTkgm3H5B5ubjjmZuaA4wZ1kCv8Plr/b&#10;Lj1RoqEvp5RYZtCjh0/3Pz5++fn9M8aHb18JZlCm3oUaqxd26RNRPtgbdw38QyAWFh2za5nHvd05&#10;hBinjuK3lrQIDg9b9W9BYA3bRMiaDa03CRLVIEO2ZneyRg6RcNysyun0DA3kmDqvJlWVrStYfWx2&#10;PsQ3EgxJPw3VyiblWM221yGmYVh9LEnbFq6U1tl9bUnf0LNxdZ4bAmglUjKVBb9eLbQnW5buT/4y&#10;M8w8LfOwsWJ/iLYH4onrXrUViN3SHwVBI/M0h0uXbsrTde7+9TTmjwAAAP//AwBQSwMEFAAGAAgA&#10;AAAhAK4dgEveAAAABwEAAA8AAABkcnMvZG93bnJldi54bWxMjkFLw0AUhO+C/2F5grd201BCm2ZT&#10;TNBDDwq2gva2zT6TYPZtzG7a+O99nuppGGaY+bLtZDtxxsG3jhQs5hEIpMqZlmoFb4en2QqED5qM&#10;7hyhgh/0sM1vbzKdGnehVzzvQy14hHyqFTQh9KmUvmrQaj93PRJnn26wOrAdamkGfeFx28k4ihJp&#10;dUv80Ogeywarr/1oFQT//vESxt13kRTPJR6KY/kod0rd300PGxABp3Atwx8+o0POTCc3kvGiUzBb&#10;xAlXFSxZOF+vYxAn1uUKZJ7J//z5LwAAAP//AwBQSwECLQAUAAYACAAAACEAtoM4kv4AAADhAQAA&#10;EwAAAAAAAAAAAAAAAAAAAAAAW0NvbnRlbnRfVHlwZXNdLnhtbFBLAQItABQABgAIAAAAIQA4/SH/&#10;1gAAAJQBAAALAAAAAAAAAAAAAAAAAC8BAABfcmVscy8ucmVsc1BLAQItABQABgAIAAAAIQBgc74J&#10;1wEAAGIDAAAOAAAAAAAAAAAAAAAAAC4CAABkcnMvZTJvRG9jLnhtbFBLAQItABQABgAIAAAAIQCu&#10;HYBL3gAAAAcBAAAPAAAAAAAAAAAAAAAAADEEAABkcnMvZG93bnJldi54bWxQSwUGAAAAAAQABADz&#10;AAAAPAUAAAAA&#10;">
                        <v:path arrowok="t"/>
                        <v:fill focussize="0,0"/>
                        <v:stroke weight="0.25pt"/>
                        <v:imagedata o:title=""/>
                        <o:lock v:ext="edit"/>
                      </v:line>
                    </w:pict>
                  </w:r>
                  <w:r>
                    <w:rPr>
                      <w:rFonts w:ascii="宋体" w:hAnsi="宋体"/>
                      <w:color w:val="000000" w:themeColor="text1"/>
                      <w:szCs w:val="21"/>
                    </w:rPr>
                    <w:pict>
                      <v:line id="直接连接符 48" o:spid="_x0000_s1076" o:spt="20" style="position:absolute;left:0pt;margin-left:-0.7pt;margin-top:2.55pt;height:43.05pt;width:160.4pt;z-index:2516183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6cE1gEAAGMDAAAOAAAAZHJzL2Uyb0RvYy54bWysU0uOEzEQ3SNxB8t70p1kMhm10plFRsNm&#10;gEgzHMCx3d0WtsuynXTnElwAiR2sWLLnNgzHoOx8YGCHyKIUu6pe1XvPvbgejCY76YMCW9PxqKRE&#10;Wg5C2bambx9uX1xREiKzgmmwsqZ7Gej18vmzRe8qOYEOtJCeIIgNVe9q2sXoqqIIvJOGhRE4aTHZ&#10;gDcs4tG3hfCsR3Sji0lZXhY9eOE8cBkC3t4cknSZ8ZtG8vimaYKMRNcUd4s5+hw3KRbLBataz1yn&#10;+HEN9g9bGKYsDj1D3bDIyNarv6CM4h4CNHHEwRTQNIrLzAHZjMs/2Nx3zMnMBcUJ7ixT+H+w/PVu&#10;7YkSNb1Apywz6NHjh6/f33/68e0jxscvnwlmUKbehQqrV3btE1E+2Ht3B/xdIBZWHbOtzOs+7B1C&#10;jFNH8aQlHYLDYZv+FQisYdsIWbOh8SZBohpkyNbsz9bIIRKOl5NyOi+v0EGOudnF5Xw6yyNYdep2&#10;PsSXEgxJf2qqlU3SsYrt7kJM27DqVJKuLdwqrbP92pK+ptPxfJYbAmglUjKVBd9uVtqTHUsPKP+O&#10;c5+UedhacRii7ZF5InuQbQNiv/YnRdDJvM3x1aWn8vs5d//6NpY/AQAA//8DAFBLAwQUAAYACAAA&#10;ACEAIEGxuN0AAAAHAQAADwAAAGRycy9kb3ducmV2LnhtbEyOwU7DMBBE70j8g7VI3FrHBSoa4lQk&#10;gkMPVKJFAm5uvCQR8TrEThv+nuUEx9GM3rxsPblOHHEIrScNap6AQKq8banW8LJ/nN2CCNGQNZ0n&#10;1PCNAdb5+VlmUutP9IzHXawFQyikRkMTY59KGaoGnQlz3yNx9+EHZyLHoZZ2MCeGu04ukmQpnWmJ&#10;HxrTY9lg9bkbnYYYXt+2cdx8FcviqcR98V4+yI3WlxfT/R2IiFP8G8OvPqtDzk4HP5INotMwU9e8&#10;1HCjQHB9pVacDxpWagEyz+R///wHAAD//wMAUEsBAi0AFAAGAAgAAAAhALaDOJL+AAAA4QEAABMA&#10;AAAAAAAAAAAAAAAAAAAAAFtDb250ZW50X1R5cGVzXS54bWxQSwECLQAUAAYACAAAACEAOP0h/9YA&#10;AACUAQAACwAAAAAAAAAAAAAAAAAvAQAAX3JlbHMvLnJlbHNQSwECLQAUAAYACAAAACEAhSOnBNYB&#10;AABjAwAADgAAAAAAAAAAAAAAAAAuAgAAZHJzL2Uyb0RvYy54bWxQSwECLQAUAAYACAAAACEAIEGx&#10;uN0AAAAHAQAADwAAAAAAAAAAAAAAAAAwBAAAZHJzL2Rvd25yZXYueG1sUEsFBgAAAAAEAAQA8wAA&#10;ADoFAAAAAA==&#10;">
                        <v:path arrowok="t"/>
                        <v:fill focussize="0,0"/>
                        <v:stroke weight="0.25pt"/>
                        <v:imagedata o:title=""/>
                        <o:lock v:ext="edit"/>
                      </v:line>
                    </w:pict>
                  </w:r>
                  <w:r>
                    <w:rPr>
                      <w:rFonts w:ascii="宋体" w:hAnsi="宋体"/>
                      <w:color w:val="000000" w:themeColor="text1"/>
                      <w:szCs w:val="21"/>
                    </w:rPr>
                    <w:t xml:space="preserve">                              </w:t>
                  </w:r>
                  <w:r>
                    <w:rPr>
                      <w:rFonts w:hint="eastAsia" w:ascii="宋体" w:hAnsi="宋体"/>
                      <w:color w:val="000000" w:themeColor="text1"/>
                      <w:szCs w:val="21"/>
                    </w:rPr>
                    <w:t xml:space="preserve">     监测项目        监测项目</w:t>
                  </w:r>
                </w:p>
                <w:p>
                  <w:pPr>
                    <w:spacing w:line="360" w:lineRule="exact"/>
                    <w:rPr>
                      <w:rFonts w:ascii="宋体" w:hAnsi="宋体"/>
                      <w:color w:val="000000" w:themeColor="text1"/>
                      <w:szCs w:val="21"/>
                    </w:rPr>
                  </w:pPr>
                  <w:r>
                    <w:rPr>
                      <w:rFonts w:hint="eastAsia" w:ascii="宋体" w:hAnsi="宋体"/>
                      <w:color w:val="000000" w:themeColor="text1"/>
                      <w:szCs w:val="21"/>
                    </w:rPr>
                    <w:t>指标</w:t>
                  </w:r>
                  <w:r>
                    <w:rPr>
                      <w:rFonts w:ascii="宋体" w:hAnsi="宋体"/>
                      <w:color w:val="000000" w:themeColor="text1"/>
                      <w:szCs w:val="21"/>
                    </w:rPr>
                    <w:t xml:space="preserve">                </w:t>
                  </w:r>
                  <w:r>
                    <w:rPr>
                      <w:rFonts w:hint="eastAsia" w:ascii="宋体" w:hAnsi="宋体"/>
                      <w:color w:val="000000" w:themeColor="text1"/>
                      <w:szCs w:val="21"/>
                    </w:rPr>
                    <w:t>数值</w:t>
                  </w:r>
                </w:p>
              </w:tc>
              <w:tc>
                <w:tcPr>
                  <w:tcW w:w="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themeColor="text1"/>
                      <w:szCs w:val="21"/>
                    </w:rPr>
                  </w:pPr>
                  <w:r>
                    <w:rPr>
                      <w:rFonts w:ascii="宋体" w:hAnsi="宋体"/>
                      <w:color w:val="000000" w:themeColor="text1"/>
                      <w:szCs w:val="21"/>
                    </w:rPr>
                    <w:t>SO</w:t>
                  </w:r>
                  <w:r>
                    <w:rPr>
                      <w:rFonts w:ascii="宋体" w:hAnsi="宋体"/>
                      <w:color w:val="000000" w:themeColor="text1"/>
                      <w:szCs w:val="21"/>
                      <w:vertAlign w:val="subscript"/>
                    </w:rPr>
                    <w:t>2</w:t>
                  </w:r>
                </w:p>
              </w:tc>
              <w:tc>
                <w:tcPr>
                  <w:tcW w:w="98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themeColor="text1"/>
                      <w:szCs w:val="21"/>
                    </w:rPr>
                  </w:pPr>
                  <w:r>
                    <w:rPr>
                      <w:rFonts w:ascii="宋体" w:hAnsi="宋体"/>
                      <w:color w:val="000000" w:themeColor="text1"/>
                      <w:szCs w:val="21"/>
                    </w:rPr>
                    <w:t>NO</w:t>
                  </w:r>
                  <w:r>
                    <w:rPr>
                      <w:rFonts w:ascii="宋体" w:hAnsi="宋体"/>
                      <w:color w:val="000000" w:themeColor="text1"/>
                      <w:szCs w:val="21"/>
                      <w:vertAlign w:val="subscript"/>
                    </w:rPr>
                    <w:t>2</w:t>
                  </w:r>
                </w:p>
              </w:tc>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themeColor="text1"/>
                      <w:szCs w:val="21"/>
                    </w:rPr>
                  </w:pPr>
                  <w:r>
                    <w:rPr>
                      <w:rFonts w:ascii="宋体" w:hAnsi="宋体"/>
                      <w:color w:val="000000" w:themeColor="text1"/>
                      <w:szCs w:val="21"/>
                    </w:rPr>
                    <w:t>PM</w:t>
                  </w:r>
                  <w:r>
                    <w:rPr>
                      <w:rFonts w:ascii="宋体" w:hAnsi="宋体"/>
                      <w:color w:val="000000" w:themeColor="text1"/>
                      <w:szCs w:val="21"/>
                      <w:vertAlign w:val="subscript"/>
                    </w:rPr>
                    <w:t>10</w:t>
                  </w:r>
                </w:p>
              </w:tc>
              <w:tc>
                <w:tcPr>
                  <w:tcW w:w="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themeColor="text1"/>
                      <w:szCs w:val="21"/>
                    </w:rPr>
                  </w:pPr>
                  <w:r>
                    <w:rPr>
                      <w:rFonts w:hint="eastAsia" w:ascii="宋体" w:hAnsi="宋体"/>
                      <w:color w:val="000000" w:themeColor="text1"/>
                      <w:szCs w:val="21"/>
                    </w:rPr>
                    <w:t>一氧化碳mg/m</w:t>
                  </w:r>
                  <w:r>
                    <w:rPr>
                      <w:rFonts w:hint="eastAsia" w:ascii="宋体" w:hAnsi="宋体"/>
                      <w:color w:val="000000" w:themeColor="text1"/>
                      <w:szCs w:val="21"/>
                      <w:vertAlign w:val="superscript"/>
                    </w:rPr>
                    <w:t>3</w:t>
                  </w:r>
                </w:p>
              </w:tc>
              <w:tc>
                <w:tcPr>
                  <w:tcW w:w="9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themeColor="text1"/>
                      <w:szCs w:val="21"/>
                    </w:rPr>
                  </w:pPr>
                  <w:r>
                    <w:rPr>
                      <w:rFonts w:hint="eastAsia" w:ascii="宋体" w:hAnsi="宋体"/>
                      <w:color w:val="000000" w:themeColor="text1"/>
                      <w:szCs w:val="21"/>
                    </w:rPr>
                    <w:t>臭氧</w:t>
                  </w:r>
                </w:p>
              </w:tc>
              <w:tc>
                <w:tcPr>
                  <w:tcW w:w="8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themeColor="text1"/>
                      <w:szCs w:val="21"/>
                    </w:rPr>
                  </w:pPr>
                  <w:r>
                    <w:rPr>
                      <w:rFonts w:ascii="宋体" w:hAnsi="宋体"/>
                      <w:color w:val="000000" w:themeColor="text1"/>
                      <w:szCs w:val="21"/>
                    </w:rPr>
                    <w:t>PM</w:t>
                  </w:r>
                  <w:r>
                    <w:rPr>
                      <w:rFonts w:hint="eastAsia" w:ascii="宋体" w:hAnsi="宋体"/>
                      <w:color w:val="000000" w:themeColor="text1"/>
                      <w:szCs w:val="21"/>
                      <w:vertAlign w:val="sub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exact"/>
                <w:jc w:val="center"/>
              </w:trPr>
              <w:tc>
                <w:tcPr>
                  <w:tcW w:w="1505"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洪江市环保局</w:t>
                  </w:r>
                </w:p>
                <w:p>
                  <w:pPr>
                    <w:spacing w:line="240" w:lineRule="exact"/>
                    <w:jc w:val="center"/>
                    <w:rPr>
                      <w:rFonts w:ascii="宋体" w:hAnsi="宋体"/>
                      <w:color w:val="000000" w:themeColor="text1"/>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最小值</w:t>
                  </w:r>
                </w:p>
              </w:tc>
              <w:tc>
                <w:tcPr>
                  <w:tcW w:w="9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3</w:t>
                  </w:r>
                </w:p>
              </w:tc>
              <w:tc>
                <w:tcPr>
                  <w:tcW w:w="98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2</w:t>
                  </w:r>
                </w:p>
              </w:tc>
              <w:tc>
                <w:tcPr>
                  <w:tcW w:w="95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23</w:t>
                  </w:r>
                </w:p>
              </w:tc>
              <w:tc>
                <w:tcPr>
                  <w:tcW w:w="9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0.8</w:t>
                  </w:r>
                </w:p>
              </w:tc>
              <w:tc>
                <w:tcPr>
                  <w:tcW w:w="9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15</w:t>
                  </w:r>
                </w:p>
              </w:tc>
              <w:tc>
                <w:tcPr>
                  <w:tcW w:w="87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exact"/>
                <w:jc w:val="center"/>
              </w:trPr>
              <w:tc>
                <w:tcPr>
                  <w:tcW w:w="150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jc w:val="center"/>
                    <w:rPr>
                      <w:rFonts w:ascii="宋体" w:hAnsi="宋体"/>
                      <w:color w:val="000000" w:themeColor="text1"/>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最大值</w:t>
                  </w:r>
                </w:p>
              </w:tc>
              <w:tc>
                <w:tcPr>
                  <w:tcW w:w="9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18</w:t>
                  </w:r>
                </w:p>
              </w:tc>
              <w:tc>
                <w:tcPr>
                  <w:tcW w:w="98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40</w:t>
                  </w:r>
                </w:p>
              </w:tc>
              <w:tc>
                <w:tcPr>
                  <w:tcW w:w="95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180</w:t>
                  </w:r>
                </w:p>
              </w:tc>
              <w:tc>
                <w:tcPr>
                  <w:tcW w:w="9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2.0</w:t>
                  </w:r>
                </w:p>
              </w:tc>
              <w:tc>
                <w:tcPr>
                  <w:tcW w:w="9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117</w:t>
                  </w:r>
                </w:p>
              </w:tc>
              <w:tc>
                <w:tcPr>
                  <w:tcW w:w="87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exact"/>
                <w:jc w:val="center"/>
              </w:trPr>
              <w:tc>
                <w:tcPr>
                  <w:tcW w:w="150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jc w:val="center"/>
                    <w:rPr>
                      <w:rFonts w:ascii="宋体" w:hAnsi="宋体"/>
                      <w:color w:val="000000" w:themeColor="text1"/>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月平均值</w:t>
                  </w:r>
                </w:p>
              </w:tc>
              <w:tc>
                <w:tcPr>
                  <w:tcW w:w="9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10</w:t>
                  </w:r>
                </w:p>
              </w:tc>
              <w:tc>
                <w:tcPr>
                  <w:tcW w:w="98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18</w:t>
                  </w:r>
                </w:p>
              </w:tc>
              <w:tc>
                <w:tcPr>
                  <w:tcW w:w="95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88</w:t>
                  </w:r>
                </w:p>
              </w:tc>
              <w:tc>
                <w:tcPr>
                  <w:tcW w:w="9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1.4</w:t>
                  </w:r>
                </w:p>
              </w:tc>
              <w:tc>
                <w:tcPr>
                  <w:tcW w:w="9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80</w:t>
                  </w:r>
                </w:p>
              </w:tc>
              <w:tc>
                <w:tcPr>
                  <w:tcW w:w="87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exact"/>
                <w:jc w:val="center"/>
              </w:trPr>
              <w:tc>
                <w:tcPr>
                  <w:tcW w:w="150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jc w:val="center"/>
                    <w:rPr>
                      <w:rFonts w:ascii="宋体" w:hAnsi="宋体"/>
                      <w:color w:val="000000" w:themeColor="text1"/>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监测有效天数</w:t>
                  </w:r>
                </w:p>
              </w:tc>
              <w:tc>
                <w:tcPr>
                  <w:tcW w:w="5631"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themeColor="text1"/>
                      <w:szCs w:val="21"/>
                    </w:rPr>
                  </w:pPr>
                  <w:r>
                    <w:rPr>
                      <w:rFonts w:hint="eastAsia" w:ascii="宋体" w:hAnsi="宋体"/>
                      <w:color w:val="000000" w:themeColor="text1"/>
                      <w:szCs w:val="21"/>
                    </w:rPr>
                    <w:t xml:space="preserve">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exact"/>
                <w:jc w:val="center"/>
              </w:trPr>
              <w:tc>
                <w:tcPr>
                  <w:tcW w:w="150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jc w:val="center"/>
                    <w:rPr>
                      <w:rFonts w:ascii="宋体" w:hAnsi="宋体"/>
                      <w:color w:val="000000"/>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优等级天数</w:t>
                  </w:r>
                </w:p>
              </w:tc>
              <w:tc>
                <w:tcPr>
                  <w:tcW w:w="5631"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exact"/>
                <w:jc w:val="center"/>
              </w:trPr>
              <w:tc>
                <w:tcPr>
                  <w:tcW w:w="150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jc w:val="center"/>
                    <w:rPr>
                      <w:rFonts w:ascii="宋体" w:hAnsi="宋体"/>
                      <w:color w:val="000000"/>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rPr>
                      <w:rFonts w:ascii="宋体" w:hAnsi="宋体"/>
                      <w:color w:val="000000"/>
                      <w:szCs w:val="21"/>
                    </w:rPr>
                  </w:pPr>
                  <w:r>
                    <w:rPr>
                      <w:rFonts w:hint="eastAsia" w:ascii="宋体" w:hAnsi="宋体"/>
                      <w:color w:val="000000"/>
                      <w:szCs w:val="21"/>
                    </w:rPr>
                    <w:t>良等级天数</w:t>
                  </w:r>
                </w:p>
              </w:tc>
              <w:tc>
                <w:tcPr>
                  <w:tcW w:w="5631"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21</w:t>
                  </w:r>
                </w:p>
                <w:p>
                  <w:pPr>
                    <w:spacing w:line="2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exact"/>
                <w:jc w:val="center"/>
              </w:trPr>
              <w:tc>
                <w:tcPr>
                  <w:tcW w:w="150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轻度污染天数</w:t>
                  </w:r>
                </w:p>
              </w:tc>
              <w:tc>
                <w:tcPr>
                  <w:tcW w:w="5631"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exact"/>
                <w:jc w:val="center"/>
              </w:trPr>
              <w:tc>
                <w:tcPr>
                  <w:tcW w:w="150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环境空气优良率</w:t>
                  </w:r>
                </w:p>
              </w:tc>
              <w:tc>
                <w:tcPr>
                  <w:tcW w:w="5631"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1" w:hRule="exact"/>
                <w:jc w:val="center"/>
              </w:trPr>
              <w:tc>
                <w:tcPr>
                  <w:tcW w:w="150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GB3095-2012</w:t>
                  </w:r>
                  <w:r>
                    <w:rPr>
                      <w:rFonts w:hint="eastAsia" w:ascii="宋体" w:hAnsi="宋体"/>
                      <w:color w:val="000000"/>
                      <w:szCs w:val="21"/>
                    </w:rPr>
                    <w:t>中</w:t>
                  </w:r>
                </w:p>
                <w:p>
                  <w:pPr>
                    <w:spacing w:line="240" w:lineRule="exact"/>
                    <w:jc w:val="center"/>
                    <w:rPr>
                      <w:rFonts w:ascii="宋体" w:hAnsi="宋体"/>
                      <w:color w:val="000000"/>
                      <w:szCs w:val="21"/>
                    </w:rPr>
                  </w:pPr>
                  <w:r>
                    <w:rPr>
                      <w:rFonts w:hint="eastAsia" w:ascii="宋体" w:hAnsi="宋体"/>
                      <w:color w:val="000000"/>
                      <w:szCs w:val="21"/>
                    </w:rPr>
                    <w:t>二级标准限值</w:t>
                  </w:r>
                </w:p>
              </w:tc>
              <w:tc>
                <w:tcPr>
                  <w:tcW w:w="184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日均浓度</w:t>
                  </w:r>
                </w:p>
              </w:tc>
              <w:tc>
                <w:tcPr>
                  <w:tcW w:w="9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≤150</w:t>
                  </w:r>
                </w:p>
              </w:tc>
              <w:tc>
                <w:tcPr>
                  <w:tcW w:w="98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≤80</w:t>
                  </w:r>
                </w:p>
              </w:tc>
              <w:tc>
                <w:tcPr>
                  <w:tcW w:w="95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≤150</w:t>
                  </w:r>
                </w:p>
              </w:tc>
              <w:tc>
                <w:tcPr>
                  <w:tcW w:w="9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w:t>
                  </w:r>
                  <w:r>
                    <w:rPr>
                      <w:rFonts w:hint="eastAsia" w:ascii="宋体" w:hAnsi="宋体"/>
                      <w:color w:val="000000"/>
                      <w:szCs w:val="21"/>
                    </w:rPr>
                    <w:t>4</w:t>
                  </w:r>
                </w:p>
              </w:tc>
              <w:tc>
                <w:tcPr>
                  <w:tcW w:w="9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w:t>
                  </w:r>
                  <w:r>
                    <w:rPr>
                      <w:rFonts w:hint="eastAsia" w:ascii="宋体" w:hAnsi="宋体"/>
                      <w:color w:val="000000"/>
                      <w:szCs w:val="21"/>
                    </w:rPr>
                    <w:t>160（8小时）</w:t>
                  </w:r>
                </w:p>
              </w:tc>
              <w:tc>
                <w:tcPr>
                  <w:tcW w:w="87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w:t>
                  </w:r>
                  <w:r>
                    <w:rPr>
                      <w:rFonts w:hint="eastAsia" w:ascii="宋体" w:hAnsi="宋体"/>
                      <w:color w:val="000000"/>
                      <w:szCs w:val="21"/>
                    </w:rPr>
                    <w:t>75</w:t>
                  </w:r>
                </w:p>
              </w:tc>
            </w:tr>
          </w:tbl>
          <w:p>
            <w:pPr>
              <w:spacing w:line="360" w:lineRule="auto"/>
              <w:ind w:firstLine="480" w:firstLineChars="200"/>
              <w:rPr>
                <w:color w:val="000000"/>
                <w:sz w:val="24"/>
              </w:rPr>
            </w:pPr>
            <w:r>
              <w:rPr>
                <w:rFonts w:hint="eastAsia"/>
                <w:color w:val="000000"/>
                <w:sz w:val="24"/>
              </w:rPr>
              <w:t>由表4可知，拟建项目所在区域环境空气质量良好。</w:t>
            </w:r>
          </w:p>
          <w:p>
            <w:pPr>
              <w:spacing w:line="360" w:lineRule="auto"/>
              <w:ind w:firstLine="480" w:firstLineChars="200"/>
              <w:rPr>
                <w:color w:val="000000"/>
                <w:sz w:val="24"/>
              </w:rPr>
            </w:pPr>
            <w:r>
              <w:rPr>
                <w:rFonts w:hint="eastAsia"/>
                <w:color w:val="000000"/>
                <w:sz w:val="24"/>
              </w:rPr>
              <w:t>（二）地表水环境质量状况</w:t>
            </w:r>
          </w:p>
          <w:p>
            <w:pPr>
              <w:spacing w:line="480" w:lineRule="exact"/>
              <w:ind w:firstLine="480" w:firstLineChars="200"/>
              <w:rPr>
                <w:color w:val="000000"/>
                <w:sz w:val="24"/>
              </w:rPr>
            </w:pPr>
            <w:r>
              <w:rPr>
                <w:rFonts w:hint="eastAsia"/>
                <w:color w:val="000000"/>
                <w:sz w:val="24"/>
              </w:rPr>
              <w:t>本次地表水环境质量现状引用洪江市环境保护局门户网站公开的“2018年2月洪江市黔城二水厂饮用水水源水质监测结果统计表”</w:t>
            </w:r>
            <w:r>
              <w:rPr>
                <w:rFonts w:hint="eastAsia"/>
                <w:color w:val="000000" w:themeColor="text1"/>
                <w:sz w:val="24"/>
              </w:rPr>
              <w:t>中监测数据进行评价</w:t>
            </w:r>
            <w:r>
              <w:rPr>
                <w:rFonts w:hint="eastAsia"/>
                <w:color w:val="000000"/>
                <w:sz w:val="24"/>
              </w:rPr>
              <w:t>，具体情况见表5。</w:t>
            </w:r>
          </w:p>
          <w:p>
            <w:pPr>
              <w:spacing w:line="500" w:lineRule="exact"/>
              <w:ind w:right="240"/>
              <w:jc w:val="right"/>
              <w:rPr>
                <w:color w:val="000000"/>
                <w:sz w:val="24"/>
              </w:rPr>
            </w:pPr>
            <w:r>
              <w:rPr>
                <w:rFonts w:hint="eastAsia"/>
                <w:bCs/>
                <w:color w:val="000000"/>
                <w:sz w:val="24"/>
              </w:rPr>
              <w:t>表5</w:t>
            </w:r>
            <w:r>
              <w:rPr>
                <w:bCs/>
                <w:color w:val="000000"/>
                <w:sz w:val="24"/>
              </w:rPr>
              <w:t xml:space="preserve">    </w:t>
            </w:r>
            <w:r>
              <w:rPr>
                <w:rFonts w:hint="eastAsia"/>
                <w:color w:val="000000"/>
                <w:sz w:val="24"/>
              </w:rPr>
              <w:t>地表水质量现状监测及评价结果表</w:t>
            </w:r>
            <w:r>
              <w:rPr>
                <w:color w:val="000000"/>
                <w:sz w:val="24"/>
              </w:rPr>
              <w:t xml:space="preserve">    </w:t>
            </w:r>
            <w:r>
              <w:rPr>
                <w:rFonts w:hint="eastAsia"/>
                <w:color w:val="000000"/>
                <w:sz w:val="24"/>
              </w:rPr>
              <w:t>单位</w:t>
            </w:r>
            <w:r>
              <w:rPr>
                <w:color w:val="000000"/>
                <w:sz w:val="24"/>
              </w:rPr>
              <w:t>:mg/L</w:t>
            </w:r>
            <w:r>
              <w:rPr>
                <w:rFonts w:hint="eastAsia"/>
                <w:color w:val="000000"/>
                <w:sz w:val="24"/>
              </w:rPr>
              <w:t>（</w:t>
            </w:r>
            <w:r>
              <w:rPr>
                <w:color w:val="000000"/>
                <w:sz w:val="24"/>
              </w:rPr>
              <w:t>pH</w:t>
            </w:r>
            <w:r>
              <w:rPr>
                <w:rFonts w:hint="eastAsia"/>
                <w:color w:val="000000"/>
                <w:sz w:val="24"/>
              </w:rPr>
              <w:t>、粪大肠菌群除外）</w:t>
            </w:r>
          </w:p>
          <w:tbl>
            <w:tblPr>
              <w:tblStyle w:val="42"/>
              <w:tblW w:w="9219" w:type="dxa"/>
              <w:jc w:val="center"/>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24"/>
              <w:gridCol w:w="1179"/>
              <w:gridCol w:w="859"/>
              <w:gridCol w:w="854"/>
              <w:gridCol w:w="856"/>
              <w:gridCol w:w="1142"/>
              <w:gridCol w:w="998"/>
              <w:gridCol w:w="1093"/>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1"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宋体" w:hAnsi="宋体"/>
                      <w:color w:val="000000"/>
                      <w:szCs w:val="21"/>
                    </w:rPr>
                  </w:pPr>
                  <w:r>
                    <w:rPr>
                      <w:rFonts w:hint="eastAsia" w:ascii="宋体" w:hAnsi="宋体"/>
                      <w:color w:val="000000"/>
                      <w:szCs w:val="21"/>
                    </w:rPr>
                    <w:t>监测</w:t>
                  </w:r>
                </w:p>
                <w:p>
                  <w:pPr>
                    <w:spacing w:line="220" w:lineRule="exact"/>
                    <w:jc w:val="center"/>
                    <w:rPr>
                      <w:rFonts w:ascii="宋体" w:hAnsi="宋体"/>
                      <w:color w:val="000000"/>
                      <w:szCs w:val="21"/>
                    </w:rPr>
                  </w:pPr>
                  <w:r>
                    <w:rPr>
                      <w:rFonts w:hint="eastAsia" w:ascii="宋体" w:hAnsi="宋体"/>
                      <w:color w:val="000000"/>
                      <w:szCs w:val="21"/>
                    </w:rPr>
                    <w:t>断面</w:t>
                  </w:r>
                </w:p>
              </w:tc>
              <w:tc>
                <w:tcPr>
                  <w:tcW w:w="1179"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宋体" w:hAnsi="宋体"/>
                      <w:color w:val="000000"/>
                      <w:szCs w:val="21"/>
                    </w:rPr>
                  </w:pPr>
                  <w:r>
                    <w:rPr>
                      <w:rFonts w:hint="eastAsia" w:ascii="宋体" w:hAnsi="宋体"/>
                      <w:color w:val="000000"/>
                      <w:szCs w:val="21"/>
                    </w:rPr>
                    <w:t>项目</w:t>
                  </w:r>
                </w:p>
              </w:tc>
              <w:tc>
                <w:tcPr>
                  <w:tcW w:w="859"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PH</w:t>
                  </w:r>
                </w:p>
              </w:tc>
              <w:tc>
                <w:tcPr>
                  <w:tcW w:w="854"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hint="eastAsia" w:ascii="宋体" w:hAnsi="宋体"/>
                      <w:color w:val="000000"/>
                      <w:kern w:val="0"/>
                      <w:szCs w:val="21"/>
                    </w:rPr>
                    <w:t>石油类</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C</w:t>
                  </w:r>
                  <w:r>
                    <w:rPr>
                      <w:rFonts w:hint="eastAsia" w:ascii="宋体" w:hAnsi="宋体"/>
                      <w:color w:val="000000"/>
                      <w:kern w:val="0"/>
                      <w:szCs w:val="21"/>
                    </w:rPr>
                    <w:t>O</w:t>
                  </w:r>
                  <w:r>
                    <w:rPr>
                      <w:rFonts w:ascii="宋体" w:hAnsi="宋体"/>
                      <w:color w:val="000000"/>
                      <w:kern w:val="0"/>
                      <w:szCs w:val="21"/>
                    </w:rPr>
                    <w:t>Dcr</w:t>
                  </w:r>
                </w:p>
              </w:tc>
              <w:tc>
                <w:tcPr>
                  <w:tcW w:w="114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bCs/>
                      <w:color w:val="000000"/>
                      <w:szCs w:val="21"/>
                    </w:rPr>
                    <w:t>BOD</w:t>
                  </w:r>
                  <w:r>
                    <w:rPr>
                      <w:rFonts w:ascii="宋体" w:hAnsi="宋体"/>
                      <w:bCs/>
                      <w:color w:val="000000"/>
                      <w:szCs w:val="21"/>
                      <w:vertAlign w:val="subscript"/>
                    </w:rPr>
                    <w:t>5</w:t>
                  </w:r>
                </w:p>
              </w:tc>
              <w:tc>
                <w:tcPr>
                  <w:tcW w:w="998"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hint="eastAsia" w:ascii="宋体" w:hAnsi="宋体"/>
                      <w:color w:val="000000"/>
                      <w:kern w:val="0"/>
                      <w:szCs w:val="21"/>
                    </w:rPr>
                    <w:t>氨氮</w:t>
                  </w:r>
                </w:p>
              </w:tc>
              <w:tc>
                <w:tcPr>
                  <w:tcW w:w="1093" w:type="dxa"/>
                  <w:tcBorders>
                    <w:top w:val="single" w:color="auto" w:sz="4" w:space="0"/>
                    <w:left w:val="single" w:color="auto" w:sz="4" w:space="0"/>
                    <w:bottom w:val="single" w:color="auto" w:sz="4" w:space="0"/>
                    <w:right w:val="single" w:color="auto" w:sz="4" w:space="0"/>
                  </w:tcBorders>
                  <w:vAlign w:val="center"/>
                </w:tcPr>
                <w:p>
                  <w:pPr>
                    <w:spacing w:line="220" w:lineRule="exact"/>
                    <w:ind w:right="-105" w:rightChars="-50"/>
                    <w:jc w:val="center"/>
                    <w:rPr>
                      <w:rFonts w:ascii="宋体" w:hAnsi="宋体"/>
                      <w:color w:val="000000"/>
                      <w:kern w:val="0"/>
                      <w:szCs w:val="21"/>
                    </w:rPr>
                  </w:pPr>
                  <w:r>
                    <w:rPr>
                      <w:rFonts w:hint="eastAsia" w:ascii="宋体" w:hAnsi="宋体"/>
                      <w:bCs/>
                      <w:color w:val="000000"/>
                      <w:szCs w:val="21"/>
                    </w:rPr>
                    <w:t>总磷</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hint="eastAsia" w:ascii="宋体" w:hAnsi="宋体"/>
                      <w:color w:val="000000"/>
                      <w:kern w:val="0"/>
                      <w:szCs w:val="21"/>
                    </w:rPr>
                    <w:t>粪大肠菌群</w:t>
                  </w:r>
                </w:p>
                <w:p>
                  <w:pPr>
                    <w:widowControl/>
                    <w:spacing w:line="220" w:lineRule="exact"/>
                    <w:ind w:right="-105" w:rightChars="-50"/>
                    <w:rPr>
                      <w:rFonts w:ascii="宋体" w:hAnsi="宋体"/>
                      <w:color w:val="000000"/>
                      <w:kern w:val="0"/>
                      <w:szCs w:val="21"/>
                    </w:rPr>
                  </w:pPr>
                  <w:r>
                    <w:rPr>
                      <w:rFonts w:hint="eastAsia" w:ascii="宋体" w:hAnsi="宋体"/>
                      <w:color w:val="000000"/>
                      <w:kern w:val="0"/>
                      <w:szCs w:val="21"/>
                    </w:rPr>
                    <w:t>（MPN</w:t>
                  </w:r>
                  <w:r>
                    <w:rPr>
                      <w:rFonts w:ascii="宋体" w:hAnsi="宋体"/>
                      <w:color w:val="000000"/>
                      <w:kern w:val="0"/>
                      <w:szCs w:val="21"/>
                    </w:rPr>
                    <w:t>/L</w:t>
                  </w:r>
                  <w:r>
                    <w:rPr>
                      <w:rFonts w:hint="eastAsia" w:ascii="宋体" w:hAnsi="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32" w:hRule="atLeast"/>
                <w:jc w:val="center"/>
              </w:trPr>
              <w:tc>
                <w:tcPr>
                  <w:tcW w:w="82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szCs w:val="21"/>
                    </w:rPr>
                  </w:pPr>
                  <w:r>
                    <w:rPr>
                      <w:rFonts w:hint="eastAsia" w:ascii="宋体" w:hAnsi="宋体"/>
                      <w:color w:val="000000"/>
                      <w:szCs w:val="21"/>
                    </w:rPr>
                    <w:t>舞水入河口</w:t>
                  </w:r>
                </w:p>
                <w:p>
                  <w:pPr>
                    <w:widowControl/>
                    <w:spacing w:line="220" w:lineRule="exact"/>
                    <w:ind w:left="-105" w:leftChars="-50" w:right="-105" w:rightChars="-50"/>
                    <w:jc w:val="center"/>
                    <w:rPr>
                      <w:rFonts w:ascii="宋体" w:hAnsi="宋体"/>
                      <w:color w:val="000000"/>
                      <w:kern w:val="0"/>
                      <w:szCs w:val="21"/>
                    </w:rPr>
                  </w:pPr>
                  <w:r>
                    <w:rPr>
                      <w:rFonts w:hint="eastAsia" w:ascii="宋体" w:hAnsi="宋体"/>
                      <w:color w:val="000000"/>
                      <w:szCs w:val="21"/>
                    </w:rPr>
                    <w:t>（黔城二水厂）</w:t>
                  </w:r>
                </w:p>
              </w:tc>
              <w:tc>
                <w:tcPr>
                  <w:tcW w:w="1179" w:type="dxa"/>
                  <w:tcBorders>
                    <w:top w:val="single" w:color="auto" w:sz="4" w:space="0"/>
                    <w:left w:val="single" w:color="auto" w:sz="4" w:space="0"/>
                    <w:bottom w:val="single" w:color="auto" w:sz="4" w:space="0"/>
                    <w:right w:val="single" w:color="auto" w:sz="4" w:space="0"/>
                  </w:tcBorders>
                  <w:vAlign w:val="center"/>
                </w:tcPr>
                <w:p>
                  <w:pPr>
                    <w:spacing w:line="220" w:lineRule="exact"/>
                    <w:ind w:left="-105" w:leftChars="-50" w:right="-105" w:rightChars="-50"/>
                    <w:jc w:val="center"/>
                    <w:rPr>
                      <w:rFonts w:ascii="宋体" w:hAnsi="宋体"/>
                      <w:color w:val="000000"/>
                      <w:kern w:val="0"/>
                      <w:szCs w:val="21"/>
                    </w:rPr>
                  </w:pPr>
                  <w:r>
                    <w:rPr>
                      <w:rFonts w:hint="eastAsia" w:ascii="宋体" w:hAnsi="宋体"/>
                      <w:color w:val="000000"/>
                      <w:kern w:val="0"/>
                      <w:szCs w:val="21"/>
                    </w:rPr>
                    <w:t>平均值</w:t>
                  </w:r>
                </w:p>
              </w:tc>
              <w:tc>
                <w:tcPr>
                  <w:tcW w:w="859" w:type="dxa"/>
                  <w:tcBorders>
                    <w:top w:val="single" w:color="auto" w:sz="4" w:space="0"/>
                    <w:left w:val="single" w:color="auto" w:sz="4" w:space="0"/>
                    <w:bottom w:val="single" w:color="auto" w:sz="4" w:space="0"/>
                    <w:right w:val="single" w:color="auto" w:sz="4" w:space="0"/>
                  </w:tcBorders>
                  <w:vAlign w:val="center"/>
                </w:tcPr>
                <w:p>
                  <w:pPr>
                    <w:spacing w:line="220" w:lineRule="exact"/>
                    <w:ind w:left="-105" w:leftChars="-50" w:right="-105" w:rightChars="-50"/>
                    <w:jc w:val="center"/>
                    <w:rPr>
                      <w:rFonts w:ascii="宋体" w:hAnsi="宋体"/>
                      <w:color w:val="000000"/>
                      <w:kern w:val="0"/>
                      <w:szCs w:val="21"/>
                      <w:u w:val="single"/>
                    </w:rPr>
                  </w:pPr>
                  <w:r>
                    <w:rPr>
                      <w:rFonts w:ascii="宋体" w:hAnsi="宋体"/>
                      <w:color w:val="000000"/>
                      <w:kern w:val="0"/>
                      <w:szCs w:val="21"/>
                    </w:rPr>
                    <w:t>7.</w:t>
                  </w:r>
                  <w:r>
                    <w:rPr>
                      <w:rFonts w:hint="eastAsia" w:ascii="宋体" w:hAnsi="宋体"/>
                      <w:color w:val="000000"/>
                      <w:kern w:val="0"/>
                      <w:szCs w:val="21"/>
                    </w:rPr>
                    <w:t>82</w:t>
                  </w:r>
                </w:p>
              </w:tc>
              <w:tc>
                <w:tcPr>
                  <w:tcW w:w="854" w:type="dxa"/>
                  <w:tcBorders>
                    <w:top w:val="single" w:color="auto" w:sz="4" w:space="0"/>
                    <w:left w:val="single" w:color="auto" w:sz="4" w:space="0"/>
                    <w:bottom w:val="single" w:color="auto" w:sz="4" w:space="0"/>
                    <w:right w:val="single" w:color="auto" w:sz="4" w:space="0"/>
                  </w:tcBorders>
                  <w:vAlign w:val="center"/>
                </w:tcPr>
                <w:p>
                  <w:pPr>
                    <w:spacing w:line="220" w:lineRule="exact"/>
                    <w:ind w:right="-105" w:rightChars="-50"/>
                    <w:jc w:val="center"/>
                    <w:rPr>
                      <w:rFonts w:ascii="宋体" w:hAnsi="宋体"/>
                      <w:color w:val="000000"/>
                      <w:kern w:val="0"/>
                      <w:szCs w:val="21"/>
                      <w:u w:val="single"/>
                    </w:rPr>
                  </w:pPr>
                  <w:r>
                    <w:rPr>
                      <w:rFonts w:ascii="宋体" w:hAnsi="宋体"/>
                      <w:color w:val="000000"/>
                      <w:kern w:val="0"/>
                      <w:szCs w:val="21"/>
                    </w:rPr>
                    <w:t>0.01L</w:t>
                  </w:r>
                </w:p>
              </w:tc>
              <w:tc>
                <w:tcPr>
                  <w:tcW w:w="856" w:type="dxa"/>
                  <w:tcBorders>
                    <w:top w:val="single" w:color="auto" w:sz="4" w:space="0"/>
                    <w:left w:val="single" w:color="auto" w:sz="4" w:space="0"/>
                    <w:bottom w:val="single" w:color="auto" w:sz="4" w:space="0"/>
                    <w:right w:val="single" w:color="auto" w:sz="4" w:space="0"/>
                  </w:tcBorders>
                  <w:vAlign w:val="center"/>
                </w:tcPr>
                <w:p>
                  <w:pPr>
                    <w:spacing w:line="220" w:lineRule="exact"/>
                    <w:ind w:right="-105" w:rightChars="-50"/>
                    <w:jc w:val="center"/>
                    <w:rPr>
                      <w:rFonts w:ascii="宋体" w:hAnsi="宋体"/>
                      <w:color w:val="000000"/>
                      <w:kern w:val="0"/>
                      <w:szCs w:val="21"/>
                      <w:u w:val="single"/>
                    </w:rPr>
                  </w:pPr>
                  <w:r>
                    <w:rPr>
                      <w:rFonts w:hint="eastAsia" w:ascii="宋体" w:hAnsi="宋体"/>
                      <w:color w:val="000000"/>
                      <w:kern w:val="0"/>
                      <w:szCs w:val="21"/>
                    </w:rPr>
                    <w:t>9.07</w:t>
                  </w:r>
                </w:p>
              </w:tc>
              <w:tc>
                <w:tcPr>
                  <w:tcW w:w="1142" w:type="dxa"/>
                  <w:tcBorders>
                    <w:top w:val="single" w:color="auto" w:sz="4" w:space="0"/>
                    <w:left w:val="single" w:color="auto" w:sz="4" w:space="0"/>
                    <w:bottom w:val="single" w:color="auto" w:sz="4" w:space="0"/>
                    <w:right w:val="single" w:color="auto" w:sz="4" w:space="0"/>
                  </w:tcBorders>
                  <w:vAlign w:val="center"/>
                </w:tcPr>
                <w:p>
                  <w:pPr>
                    <w:spacing w:line="220" w:lineRule="exact"/>
                    <w:ind w:left="-105" w:leftChars="-50" w:right="-105" w:rightChars="-50"/>
                    <w:jc w:val="center"/>
                    <w:rPr>
                      <w:rFonts w:ascii="宋体" w:hAnsi="宋体"/>
                      <w:color w:val="000000"/>
                      <w:kern w:val="0"/>
                      <w:szCs w:val="21"/>
                      <w:u w:val="single"/>
                    </w:rPr>
                  </w:pPr>
                  <w:r>
                    <w:rPr>
                      <w:rFonts w:ascii="宋体" w:hAnsi="宋体"/>
                      <w:color w:val="000000"/>
                      <w:kern w:val="0"/>
                      <w:szCs w:val="21"/>
                    </w:rPr>
                    <w:t>2.</w:t>
                  </w:r>
                  <w:r>
                    <w:rPr>
                      <w:rFonts w:hint="eastAsia" w:ascii="宋体" w:hAnsi="宋体"/>
                      <w:color w:val="000000"/>
                      <w:kern w:val="0"/>
                      <w:szCs w:val="21"/>
                    </w:rPr>
                    <w:t>19</w:t>
                  </w:r>
                </w:p>
              </w:tc>
              <w:tc>
                <w:tcPr>
                  <w:tcW w:w="99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宋体" w:hAnsi="宋体"/>
                      <w:color w:val="000000"/>
                      <w:kern w:val="0"/>
                      <w:szCs w:val="21"/>
                      <w:u w:val="single"/>
                    </w:rPr>
                  </w:pPr>
                  <w:r>
                    <w:rPr>
                      <w:rFonts w:ascii="宋体" w:hAnsi="宋体"/>
                      <w:color w:val="000000"/>
                      <w:szCs w:val="21"/>
                    </w:rPr>
                    <w:t>0.</w:t>
                  </w:r>
                  <w:r>
                    <w:rPr>
                      <w:rFonts w:hint="eastAsia" w:ascii="宋体" w:hAnsi="宋体"/>
                      <w:color w:val="000000"/>
                      <w:szCs w:val="21"/>
                    </w:rPr>
                    <w:t>100</w:t>
                  </w:r>
                </w:p>
              </w:tc>
              <w:tc>
                <w:tcPr>
                  <w:tcW w:w="1093"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宋体" w:hAnsi="宋体"/>
                      <w:color w:val="000000"/>
                      <w:kern w:val="0"/>
                      <w:szCs w:val="21"/>
                      <w:u w:val="single"/>
                    </w:rPr>
                  </w:pPr>
                  <w:r>
                    <w:rPr>
                      <w:rFonts w:ascii="宋体" w:hAnsi="宋体"/>
                      <w:color w:val="000000"/>
                      <w:kern w:val="0"/>
                      <w:szCs w:val="21"/>
                    </w:rPr>
                    <w:t>0.</w:t>
                  </w:r>
                  <w:r>
                    <w:rPr>
                      <w:rFonts w:hint="eastAsia" w:ascii="宋体" w:hAnsi="宋体"/>
                      <w:color w:val="000000"/>
                      <w:kern w:val="0"/>
                      <w:szCs w:val="21"/>
                    </w:rPr>
                    <w:t>028</w:t>
                  </w:r>
                </w:p>
              </w:tc>
              <w:tc>
                <w:tcPr>
                  <w:tcW w:w="1414" w:type="dxa"/>
                  <w:tcBorders>
                    <w:top w:val="single" w:color="auto" w:sz="4" w:space="0"/>
                    <w:left w:val="single" w:color="auto" w:sz="4" w:space="0"/>
                    <w:bottom w:val="single" w:color="auto" w:sz="4" w:space="0"/>
                    <w:right w:val="single" w:color="auto" w:sz="4" w:space="0"/>
                  </w:tcBorders>
                  <w:vAlign w:val="center"/>
                </w:tcPr>
                <w:p>
                  <w:pPr>
                    <w:spacing w:line="220" w:lineRule="exact"/>
                    <w:ind w:left="-105" w:leftChars="-50" w:right="-105" w:rightChars="-50"/>
                    <w:jc w:val="center"/>
                    <w:rPr>
                      <w:rFonts w:ascii="宋体" w:hAnsi="宋体"/>
                      <w:color w:val="000000"/>
                      <w:kern w:val="0"/>
                      <w:szCs w:val="21"/>
                      <w:u w:val="single"/>
                    </w:rPr>
                  </w:pPr>
                  <w:r>
                    <w:rPr>
                      <w:rFonts w:hint="eastAsia" w:ascii="宋体" w:hAnsi="宋体"/>
                      <w:color w:val="000000"/>
                      <w:kern w:val="0"/>
                      <w:szCs w:val="21"/>
                      <w:u w:val="singl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14" w:hRule="atLeast"/>
                <w:jc w:val="center"/>
              </w:trPr>
              <w:tc>
                <w:tcPr>
                  <w:tcW w:w="82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p>
              </w:tc>
              <w:tc>
                <w:tcPr>
                  <w:tcW w:w="1179"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hint="eastAsia" w:ascii="宋体" w:hAnsi="宋体"/>
                      <w:color w:val="000000"/>
                      <w:kern w:val="0"/>
                      <w:szCs w:val="21"/>
                    </w:rPr>
                    <w:t>超标率（</w:t>
                  </w:r>
                  <w:r>
                    <w:rPr>
                      <w:rFonts w:ascii="宋体" w:hAnsi="宋体"/>
                      <w:color w:val="000000"/>
                      <w:kern w:val="0"/>
                      <w:szCs w:val="21"/>
                    </w:rPr>
                    <w:t>%</w:t>
                  </w:r>
                  <w:r>
                    <w:rPr>
                      <w:rFonts w:hint="eastAsia" w:ascii="宋体" w:hAnsi="宋体"/>
                      <w:color w:val="000000"/>
                      <w:kern w:val="0"/>
                      <w:szCs w:val="21"/>
                    </w:rPr>
                    <w:t>）</w:t>
                  </w:r>
                </w:p>
              </w:tc>
              <w:tc>
                <w:tcPr>
                  <w:tcW w:w="859"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0</w:t>
                  </w:r>
                </w:p>
              </w:tc>
              <w:tc>
                <w:tcPr>
                  <w:tcW w:w="854"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114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0</w:t>
                  </w:r>
                </w:p>
              </w:tc>
              <w:tc>
                <w:tcPr>
                  <w:tcW w:w="998"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1093" w:type="dxa"/>
                  <w:tcBorders>
                    <w:top w:val="single" w:color="auto" w:sz="4" w:space="0"/>
                    <w:left w:val="single" w:color="auto" w:sz="4" w:space="0"/>
                    <w:bottom w:val="single" w:color="auto" w:sz="4" w:space="0"/>
                    <w:right w:val="single" w:color="auto" w:sz="4" w:space="0"/>
                  </w:tcBorders>
                  <w:vAlign w:val="center"/>
                </w:tcPr>
                <w:p>
                  <w:pPr>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1" w:hRule="atLeast"/>
                <w:jc w:val="center"/>
              </w:trPr>
              <w:tc>
                <w:tcPr>
                  <w:tcW w:w="82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p>
              </w:tc>
              <w:tc>
                <w:tcPr>
                  <w:tcW w:w="1179"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hint="eastAsia" w:ascii="宋体" w:hAnsi="宋体"/>
                      <w:color w:val="000000"/>
                      <w:kern w:val="0"/>
                      <w:szCs w:val="21"/>
                    </w:rPr>
                    <w:t>最大超标</w:t>
                  </w:r>
                </w:p>
                <w:p>
                  <w:pPr>
                    <w:widowControl/>
                    <w:spacing w:line="220" w:lineRule="exact"/>
                    <w:ind w:left="-105" w:leftChars="-50" w:right="-105" w:rightChars="-50"/>
                    <w:jc w:val="center"/>
                    <w:rPr>
                      <w:rFonts w:ascii="宋体" w:hAnsi="宋体"/>
                      <w:color w:val="000000"/>
                      <w:kern w:val="0"/>
                      <w:szCs w:val="21"/>
                    </w:rPr>
                  </w:pPr>
                  <w:r>
                    <w:rPr>
                      <w:rFonts w:hint="eastAsia" w:ascii="宋体" w:hAnsi="宋体"/>
                      <w:color w:val="000000"/>
                      <w:kern w:val="0"/>
                      <w:szCs w:val="21"/>
                    </w:rPr>
                    <w:t>倍数</w:t>
                  </w:r>
                </w:p>
              </w:tc>
              <w:tc>
                <w:tcPr>
                  <w:tcW w:w="859"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0</w:t>
                  </w:r>
                </w:p>
              </w:tc>
              <w:tc>
                <w:tcPr>
                  <w:tcW w:w="854"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114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0</w:t>
                  </w:r>
                </w:p>
              </w:tc>
              <w:tc>
                <w:tcPr>
                  <w:tcW w:w="998"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1093" w:type="dxa"/>
                  <w:tcBorders>
                    <w:top w:val="single" w:color="auto" w:sz="4" w:space="0"/>
                    <w:left w:val="single" w:color="auto" w:sz="4" w:space="0"/>
                    <w:bottom w:val="single" w:color="auto" w:sz="4" w:space="0"/>
                    <w:right w:val="single" w:color="auto" w:sz="4" w:space="0"/>
                  </w:tcBorders>
                  <w:vAlign w:val="center"/>
                </w:tcPr>
                <w:p>
                  <w:pPr>
                    <w:spacing w:line="220" w:lineRule="exact"/>
                    <w:ind w:right="-105" w:rightChars="-50"/>
                    <w:jc w:val="center"/>
                    <w:rPr>
                      <w:rFonts w:ascii="宋体" w:hAnsi="宋体"/>
                      <w:color w:val="000000"/>
                      <w:kern w:val="0"/>
                      <w:szCs w:val="21"/>
                    </w:rPr>
                  </w:pPr>
                  <w:r>
                    <w:rPr>
                      <w:rFonts w:ascii="宋体" w:hAnsi="宋体"/>
                      <w:color w:val="000000"/>
                      <w:kern w:val="0"/>
                      <w:szCs w:val="21"/>
                    </w:rPr>
                    <w:t>0</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1" w:hRule="atLeast"/>
                <w:jc w:val="center"/>
              </w:trPr>
              <w:tc>
                <w:tcPr>
                  <w:tcW w:w="200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GB3838</w:t>
                  </w:r>
                  <w:r>
                    <w:rPr>
                      <w:rFonts w:hint="eastAsia" w:ascii="宋体" w:hAnsi="宋体"/>
                      <w:color w:val="000000"/>
                      <w:szCs w:val="21"/>
                    </w:rPr>
                    <w:t>－</w:t>
                  </w:r>
                  <w:r>
                    <w:rPr>
                      <w:rFonts w:ascii="宋体" w:hAnsi="宋体"/>
                      <w:color w:val="000000"/>
                      <w:szCs w:val="21"/>
                    </w:rPr>
                    <w:t>2002</w:t>
                  </w:r>
                  <w:r>
                    <w:rPr>
                      <w:rFonts w:hint="eastAsia" w:ascii="宋体" w:hAnsi="宋体"/>
                      <w:color w:val="000000"/>
                      <w:szCs w:val="21"/>
                    </w:rPr>
                    <w:t>中</w:t>
                  </w:r>
                </w:p>
                <w:p>
                  <w:pPr>
                    <w:widowControl/>
                    <w:spacing w:line="220" w:lineRule="exact"/>
                    <w:ind w:left="-105" w:leftChars="-50" w:right="-105" w:rightChars="-50"/>
                    <w:jc w:val="center"/>
                    <w:rPr>
                      <w:rFonts w:ascii="宋体" w:hAnsi="宋体"/>
                      <w:color w:val="000000"/>
                      <w:kern w:val="0"/>
                      <w:szCs w:val="21"/>
                    </w:rPr>
                  </w:pPr>
                  <w:r>
                    <w:rPr>
                      <w:rFonts w:hint="eastAsia" w:ascii="宋体" w:hAnsi="宋体" w:cs="宋体"/>
                      <w:color w:val="000000"/>
                      <w:szCs w:val="21"/>
                    </w:rPr>
                    <w:t>Ⅱ</w:t>
                  </w:r>
                  <w:r>
                    <w:rPr>
                      <w:rFonts w:hint="eastAsia" w:ascii="宋体" w:hAnsi="宋体"/>
                      <w:color w:val="000000"/>
                      <w:szCs w:val="21"/>
                    </w:rPr>
                    <w:t>类标准</w:t>
                  </w:r>
                </w:p>
              </w:tc>
              <w:tc>
                <w:tcPr>
                  <w:tcW w:w="859"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left="-105" w:leftChars="-50" w:right="-105" w:rightChars="-50"/>
                    <w:jc w:val="center"/>
                    <w:rPr>
                      <w:rFonts w:ascii="宋体" w:hAnsi="宋体"/>
                      <w:color w:val="000000"/>
                      <w:kern w:val="0"/>
                      <w:szCs w:val="21"/>
                    </w:rPr>
                  </w:pPr>
                  <w:r>
                    <w:rPr>
                      <w:rFonts w:ascii="宋体" w:hAnsi="宋体"/>
                      <w:color w:val="000000"/>
                      <w:szCs w:val="21"/>
                    </w:rPr>
                    <w:t>6</w:t>
                  </w:r>
                  <w:r>
                    <w:rPr>
                      <w:rFonts w:hint="eastAsia" w:ascii="宋体" w:hAnsi="宋体"/>
                      <w:color w:val="000000"/>
                      <w:szCs w:val="21"/>
                    </w:rPr>
                    <w:t>～</w:t>
                  </w:r>
                  <w:r>
                    <w:rPr>
                      <w:rFonts w:ascii="宋体" w:hAnsi="宋体"/>
                      <w:color w:val="000000"/>
                      <w:szCs w:val="21"/>
                    </w:rPr>
                    <w:t>9</w:t>
                  </w:r>
                </w:p>
              </w:tc>
              <w:tc>
                <w:tcPr>
                  <w:tcW w:w="854"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szCs w:val="21"/>
                    </w:rPr>
                    <w:t>≤0.05</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szCs w:val="21"/>
                    </w:rPr>
                    <w:t>≤15</w:t>
                  </w:r>
                </w:p>
              </w:tc>
              <w:tc>
                <w:tcPr>
                  <w:tcW w:w="1142" w:type="dxa"/>
                  <w:tcBorders>
                    <w:top w:val="single" w:color="auto" w:sz="4" w:space="0"/>
                    <w:left w:val="single" w:color="auto" w:sz="4" w:space="0"/>
                    <w:bottom w:val="single" w:color="auto" w:sz="4" w:space="0"/>
                    <w:right w:val="single" w:color="auto" w:sz="4" w:space="0"/>
                  </w:tcBorders>
                  <w:vAlign w:val="center"/>
                </w:tcPr>
                <w:p>
                  <w:pPr>
                    <w:widowControl/>
                    <w:spacing w:line="220" w:lineRule="exact"/>
                    <w:ind w:right="-105" w:rightChars="-50"/>
                    <w:jc w:val="center"/>
                    <w:rPr>
                      <w:rFonts w:ascii="宋体" w:hAnsi="宋体"/>
                      <w:color w:val="000000"/>
                      <w:kern w:val="0"/>
                      <w:szCs w:val="21"/>
                    </w:rPr>
                  </w:pPr>
                  <w:r>
                    <w:rPr>
                      <w:rFonts w:ascii="宋体" w:hAnsi="宋体"/>
                      <w:color w:val="000000"/>
                      <w:szCs w:val="21"/>
                    </w:rPr>
                    <w:t>≤3</w:t>
                  </w:r>
                </w:p>
              </w:tc>
              <w:tc>
                <w:tcPr>
                  <w:tcW w:w="998" w:type="dxa"/>
                  <w:tcBorders>
                    <w:top w:val="single" w:color="auto" w:sz="4" w:space="0"/>
                    <w:left w:val="single" w:color="auto" w:sz="4" w:space="0"/>
                    <w:bottom w:val="single" w:color="auto" w:sz="4" w:space="0"/>
                    <w:right w:val="single" w:color="auto" w:sz="4" w:space="0"/>
                  </w:tcBorders>
                  <w:vAlign w:val="center"/>
                </w:tcPr>
                <w:p>
                  <w:pPr>
                    <w:spacing w:line="220" w:lineRule="exact"/>
                    <w:ind w:right="-105" w:rightChars="-50"/>
                    <w:jc w:val="center"/>
                    <w:rPr>
                      <w:rFonts w:ascii="宋体" w:hAnsi="宋体"/>
                      <w:color w:val="000000"/>
                      <w:kern w:val="0"/>
                      <w:szCs w:val="21"/>
                    </w:rPr>
                  </w:pPr>
                  <w:r>
                    <w:rPr>
                      <w:rFonts w:ascii="宋体" w:hAnsi="宋体"/>
                      <w:color w:val="000000"/>
                      <w:szCs w:val="21"/>
                    </w:rPr>
                    <w:t>≤0.5</w:t>
                  </w:r>
                </w:p>
              </w:tc>
              <w:tc>
                <w:tcPr>
                  <w:tcW w:w="1093" w:type="dxa"/>
                  <w:tcBorders>
                    <w:top w:val="single" w:color="auto" w:sz="4" w:space="0"/>
                    <w:left w:val="single" w:color="auto" w:sz="4" w:space="0"/>
                    <w:bottom w:val="single" w:color="auto" w:sz="4" w:space="0"/>
                    <w:right w:val="single" w:color="auto" w:sz="4" w:space="0"/>
                  </w:tcBorders>
                  <w:vAlign w:val="center"/>
                </w:tcPr>
                <w:p>
                  <w:pPr>
                    <w:spacing w:line="220" w:lineRule="exact"/>
                    <w:ind w:left="-105" w:leftChars="-50" w:right="-105" w:rightChars="-50"/>
                    <w:jc w:val="center"/>
                    <w:rPr>
                      <w:rFonts w:ascii="宋体" w:hAnsi="宋体"/>
                      <w:color w:val="000000"/>
                      <w:kern w:val="0"/>
                      <w:szCs w:val="21"/>
                    </w:rPr>
                  </w:pPr>
                  <w:r>
                    <w:rPr>
                      <w:rFonts w:ascii="宋体" w:hAnsi="宋体"/>
                      <w:color w:val="000000"/>
                      <w:szCs w:val="21"/>
                    </w:rPr>
                    <w:t>≤0.1</w:t>
                  </w:r>
                </w:p>
              </w:tc>
              <w:tc>
                <w:tcPr>
                  <w:tcW w:w="1414" w:type="dxa"/>
                  <w:tcBorders>
                    <w:top w:val="single" w:color="auto" w:sz="4" w:space="0"/>
                    <w:left w:val="single" w:color="auto" w:sz="4" w:space="0"/>
                    <w:bottom w:val="single" w:color="auto" w:sz="4" w:space="0"/>
                    <w:right w:val="single" w:color="auto" w:sz="4" w:space="0"/>
                  </w:tcBorders>
                  <w:vAlign w:val="center"/>
                </w:tcPr>
                <w:p>
                  <w:pPr>
                    <w:spacing w:line="220" w:lineRule="exact"/>
                    <w:ind w:left="-105" w:leftChars="-50" w:right="-105" w:rightChars="-50"/>
                    <w:jc w:val="center"/>
                    <w:rPr>
                      <w:rFonts w:ascii="宋体" w:hAnsi="宋体"/>
                      <w:color w:val="000000"/>
                      <w:kern w:val="0"/>
                      <w:szCs w:val="21"/>
                    </w:rPr>
                  </w:pPr>
                  <w:r>
                    <w:rPr>
                      <w:rFonts w:ascii="宋体" w:hAnsi="宋体"/>
                      <w:color w:val="000000"/>
                      <w:szCs w:val="21"/>
                    </w:rPr>
                    <w:t>≤2000</w:t>
                  </w:r>
                </w:p>
              </w:tc>
            </w:tr>
          </w:tbl>
          <w:p>
            <w:pPr>
              <w:spacing w:line="420" w:lineRule="exact"/>
              <w:ind w:firstLine="480" w:firstLineChars="200"/>
              <w:rPr>
                <w:color w:val="000000"/>
                <w:sz w:val="24"/>
                <w:u w:val="single"/>
              </w:rPr>
            </w:pPr>
            <w:r>
              <w:rPr>
                <w:rFonts w:hint="eastAsia"/>
                <w:color w:val="000000"/>
                <w:sz w:val="24"/>
              </w:rPr>
              <w:t>由表5-可知，</w:t>
            </w:r>
            <w:r>
              <w:rPr>
                <w:rFonts w:hint="eastAsia"/>
                <w:bCs/>
                <w:color w:val="000000"/>
                <w:sz w:val="24"/>
              </w:rPr>
              <w:t>监测断面均达到《地表水环境质量标准》（</w:t>
            </w:r>
            <w:r>
              <w:rPr>
                <w:bCs/>
                <w:color w:val="000000"/>
                <w:sz w:val="24"/>
              </w:rPr>
              <w:t>GB3838-2002</w:t>
            </w:r>
            <w:r>
              <w:rPr>
                <w:rFonts w:hint="eastAsia"/>
                <w:bCs/>
                <w:color w:val="000000"/>
                <w:sz w:val="24"/>
              </w:rPr>
              <w:t>）中</w:t>
            </w:r>
            <w:r>
              <w:rPr>
                <w:rFonts w:hint="eastAsia" w:ascii="宋体" w:hAnsi="宋体" w:cs="宋体"/>
                <w:color w:val="000000"/>
                <w:sz w:val="24"/>
              </w:rPr>
              <w:t>Ⅱ</w:t>
            </w:r>
            <w:r>
              <w:rPr>
                <w:rFonts w:hint="eastAsia"/>
                <w:bCs/>
                <w:color w:val="000000"/>
                <w:sz w:val="24"/>
              </w:rPr>
              <w:t>类水质标准，</w:t>
            </w:r>
            <w:r>
              <w:rPr>
                <w:rFonts w:hint="eastAsia"/>
                <w:color w:val="000000"/>
                <w:sz w:val="24"/>
              </w:rPr>
              <w:t>项目地地表水环境质量良好</w:t>
            </w:r>
          </w:p>
          <w:p>
            <w:pPr>
              <w:spacing w:line="420" w:lineRule="exact"/>
              <w:ind w:firstLine="480" w:firstLineChars="200"/>
              <w:rPr>
                <w:color w:val="000000"/>
                <w:sz w:val="24"/>
              </w:rPr>
            </w:pPr>
            <w:r>
              <w:rPr>
                <w:rFonts w:hint="eastAsia"/>
                <w:color w:val="000000"/>
                <w:sz w:val="24"/>
              </w:rPr>
              <w:t>（三）声环境质量现状</w:t>
            </w:r>
          </w:p>
          <w:p>
            <w:pPr>
              <w:spacing w:line="420" w:lineRule="exact"/>
              <w:ind w:firstLine="480" w:firstLineChars="200"/>
              <w:rPr>
                <w:color w:val="000000"/>
                <w:sz w:val="24"/>
              </w:rPr>
            </w:pPr>
            <w:r>
              <w:rPr>
                <w:rFonts w:hint="eastAsia"/>
                <w:color w:val="000000"/>
                <w:sz w:val="24"/>
              </w:rPr>
              <w:t>本次声环境质量现状评价采用现场监测数据</w:t>
            </w:r>
            <w:r>
              <w:rPr>
                <w:color w:val="000000"/>
                <w:sz w:val="24"/>
              </w:rPr>
              <w:t>,</w:t>
            </w:r>
            <w:r>
              <w:rPr>
                <w:rFonts w:hint="eastAsia"/>
                <w:color w:val="000000"/>
                <w:sz w:val="24"/>
              </w:rPr>
              <w:t>共布设4个监测点位</w:t>
            </w:r>
            <w:r>
              <w:rPr>
                <w:rFonts w:hint="eastAsia"/>
                <w:color w:val="000000" w:themeColor="text1"/>
                <w:sz w:val="24"/>
              </w:rPr>
              <w:t>（见附图三）</w:t>
            </w:r>
            <w:r>
              <w:rPr>
                <w:color w:val="000000"/>
                <w:sz w:val="24"/>
              </w:rPr>
              <w:t>,</w:t>
            </w:r>
            <w:r>
              <w:rPr>
                <w:rFonts w:hint="eastAsia"/>
                <w:color w:val="000000"/>
                <w:sz w:val="24"/>
              </w:rPr>
              <w:t>即</w:t>
            </w:r>
            <w:r>
              <w:rPr>
                <w:color w:val="000000"/>
                <w:sz w:val="24"/>
              </w:rPr>
              <w:t>1#</w:t>
            </w:r>
            <w:r>
              <w:rPr>
                <w:rFonts w:hint="eastAsia"/>
                <w:color w:val="000000"/>
              </w:rPr>
              <w:t>项目东侧</w:t>
            </w:r>
            <w:r>
              <w:rPr>
                <w:rFonts w:hint="eastAsia"/>
                <w:color w:val="000000"/>
                <w:sz w:val="24"/>
              </w:rPr>
              <w:t>、</w:t>
            </w:r>
            <w:r>
              <w:rPr>
                <w:color w:val="000000"/>
                <w:sz w:val="24"/>
              </w:rPr>
              <w:t>2#</w:t>
            </w:r>
            <w:r>
              <w:rPr>
                <w:rFonts w:hint="eastAsia"/>
                <w:color w:val="000000"/>
              </w:rPr>
              <w:t>项目南侧、</w:t>
            </w:r>
            <w:r>
              <w:rPr>
                <w:color w:val="000000"/>
                <w:sz w:val="24"/>
              </w:rPr>
              <w:t>3#</w:t>
            </w:r>
            <w:r>
              <w:rPr>
                <w:rFonts w:hint="eastAsia"/>
                <w:color w:val="000000"/>
                <w:sz w:val="24"/>
              </w:rPr>
              <w:t>项目西侧、4#项目北侧，4个监测点位</w:t>
            </w:r>
            <w:r>
              <w:rPr>
                <w:color w:val="000000"/>
                <w:sz w:val="24"/>
              </w:rPr>
              <w:t>,</w:t>
            </w:r>
            <w:r>
              <w:rPr>
                <w:rFonts w:hint="eastAsia"/>
                <w:color w:val="000000"/>
                <w:sz w:val="24"/>
              </w:rPr>
              <w:t>环评单位委托芷江侗族自治县环境保护监测站于</w:t>
            </w:r>
            <w:r>
              <w:rPr>
                <w:color w:val="000000" w:themeColor="text1"/>
                <w:sz w:val="24"/>
              </w:rPr>
              <w:t>201</w:t>
            </w:r>
            <w:r>
              <w:rPr>
                <w:rFonts w:hint="eastAsia"/>
                <w:color w:val="000000" w:themeColor="text1"/>
                <w:sz w:val="24"/>
              </w:rPr>
              <w:t>8年4月</w:t>
            </w:r>
            <w:r>
              <w:rPr>
                <w:rFonts w:hint="eastAsia"/>
                <w:color w:val="000000" w:themeColor="text1"/>
                <w:sz w:val="24"/>
                <w:lang w:val="en-US" w:eastAsia="zh-CN"/>
              </w:rPr>
              <w:t>2</w:t>
            </w:r>
            <w:r>
              <w:rPr>
                <w:rFonts w:hint="eastAsia"/>
                <w:color w:val="000000" w:themeColor="text1"/>
                <w:sz w:val="24"/>
              </w:rPr>
              <w:t>日至4月</w:t>
            </w:r>
            <w:r>
              <w:rPr>
                <w:rFonts w:hint="eastAsia"/>
                <w:color w:val="000000" w:themeColor="text1"/>
                <w:sz w:val="24"/>
                <w:lang w:val="en-US" w:eastAsia="zh-CN"/>
              </w:rPr>
              <w:t>3</w:t>
            </w:r>
            <w:r>
              <w:rPr>
                <w:rFonts w:hint="eastAsia"/>
                <w:color w:val="000000" w:themeColor="text1"/>
                <w:sz w:val="24"/>
              </w:rPr>
              <w:t>日</w:t>
            </w:r>
            <w:r>
              <w:rPr>
                <w:rFonts w:hint="eastAsia"/>
                <w:color w:val="000000"/>
                <w:sz w:val="24"/>
              </w:rPr>
              <w:t>连续监测</w:t>
            </w:r>
            <w:r>
              <w:rPr>
                <w:color w:val="000000"/>
                <w:sz w:val="24"/>
              </w:rPr>
              <w:t>2</w:t>
            </w:r>
            <w:r>
              <w:rPr>
                <w:rFonts w:hint="eastAsia"/>
                <w:color w:val="000000"/>
                <w:sz w:val="24"/>
              </w:rPr>
              <w:t>天</w:t>
            </w:r>
            <w:r>
              <w:rPr>
                <w:color w:val="000000"/>
                <w:sz w:val="24"/>
              </w:rPr>
              <w:t>,</w:t>
            </w:r>
            <w:r>
              <w:rPr>
                <w:rFonts w:hint="eastAsia"/>
                <w:color w:val="000000"/>
                <w:sz w:val="24"/>
              </w:rPr>
              <w:t>昼、夜间各监测一次</w:t>
            </w:r>
            <w:r>
              <w:rPr>
                <w:color w:val="000000"/>
                <w:sz w:val="24"/>
              </w:rPr>
              <w:t>,</w:t>
            </w:r>
            <w:r>
              <w:rPr>
                <w:rFonts w:hint="eastAsia"/>
                <w:color w:val="000000"/>
                <w:sz w:val="24"/>
              </w:rPr>
              <w:t>每次连续测量</w:t>
            </w:r>
            <w:r>
              <w:rPr>
                <w:color w:val="000000"/>
                <w:sz w:val="24"/>
              </w:rPr>
              <w:t>20</w:t>
            </w:r>
            <w:r>
              <w:rPr>
                <w:rFonts w:hint="eastAsia"/>
                <w:color w:val="000000"/>
                <w:sz w:val="24"/>
              </w:rPr>
              <w:t>分钟</w:t>
            </w:r>
            <w:r>
              <w:rPr>
                <w:color w:val="000000"/>
                <w:sz w:val="24"/>
              </w:rPr>
              <w:t>,</w:t>
            </w:r>
            <w:r>
              <w:rPr>
                <w:rFonts w:hint="eastAsia"/>
                <w:color w:val="000000"/>
                <w:sz w:val="24"/>
              </w:rPr>
              <w:t>测量仪器为积分式声级计。具体监测统计结果见表6。</w:t>
            </w:r>
          </w:p>
          <w:p>
            <w:pPr>
              <w:spacing w:line="420" w:lineRule="exact"/>
              <w:ind w:firstLine="480" w:firstLineChars="200"/>
              <w:rPr>
                <w:color w:val="000000"/>
                <w:sz w:val="24"/>
              </w:rPr>
            </w:pPr>
            <w:r>
              <w:rPr>
                <w:color w:val="000000"/>
                <w:sz w:val="24"/>
              </w:rPr>
              <w:t xml:space="preserve">       </w:t>
            </w:r>
            <w:r>
              <w:rPr>
                <w:rFonts w:hint="eastAsia"/>
                <w:color w:val="000000"/>
                <w:sz w:val="24"/>
              </w:rPr>
              <w:t>表6</w:t>
            </w:r>
            <w:r>
              <w:rPr>
                <w:color w:val="000000"/>
                <w:sz w:val="24"/>
              </w:rPr>
              <w:t xml:space="preserve">        </w:t>
            </w:r>
            <w:r>
              <w:rPr>
                <w:rFonts w:hint="eastAsia"/>
                <w:color w:val="000000"/>
                <w:sz w:val="24"/>
              </w:rPr>
              <w:t>声环境大质量现状监测结果</w:t>
            </w:r>
          </w:p>
          <w:tbl>
            <w:tblPr>
              <w:tblStyle w:val="42"/>
              <w:tblW w:w="91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2"/>
              <w:gridCol w:w="1645"/>
              <w:gridCol w:w="2987"/>
              <w:gridCol w:w="2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1682" w:type="dxa"/>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监测点位</w:t>
                  </w:r>
                </w:p>
              </w:tc>
              <w:tc>
                <w:tcPr>
                  <w:tcW w:w="1645" w:type="dxa"/>
                  <w:vMerge w:val="restart"/>
                  <w:tcBorders>
                    <w:top w:val="single" w:color="auto" w:sz="4" w:space="0"/>
                    <w:left w:val="single" w:color="auto" w:sz="4" w:space="0"/>
                    <w:bottom w:val="single" w:color="auto" w:sz="4" w:space="0"/>
                    <w:right w:val="single" w:color="auto" w:sz="4" w:space="0"/>
                  </w:tcBorders>
                </w:tcPr>
                <w:p>
                  <w:pPr>
                    <w:pStyle w:val="228"/>
                    <w:spacing w:line="360" w:lineRule="auto"/>
                    <w:rPr>
                      <w:rFonts w:ascii="宋体" w:hAnsi="宋体"/>
                      <w:color w:val="000000"/>
                    </w:rPr>
                  </w:pPr>
                  <w:r>
                    <w:rPr>
                      <w:rFonts w:hint="eastAsia" w:ascii="宋体" w:hAnsi="宋体"/>
                      <w:color w:val="000000"/>
                    </w:rPr>
                    <w:t>监测时间</w:t>
                  </w:r>
                </w:p>
              </w:tc>
              <w:tc>
                <w:tcPr>
                  <w:tcW w:w="5805"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噪声值</w:t>
                  </w:r>
                  <w:r>
                    <w:rPr>
                      <w:rFonts w:ascii="宋体" w:hAnsi="宋体"/>
                      <w:color w:val="000000"/>
                    </w:rPr>
                    <w:t>dB</w:t>
                  </w:r>
                  <w:r>
                    <w:rPr>
                      <w:rFonts w:hint="eastAsia" w:ascii="宋体" w:hAnsi="宋体"/>
                      <w:color w:val="000000"/>
                    </w:rPr>
                    <w:t>（</w:t>
                  </w:r>
                  <w:r>
                    <w:rPr>
                      <w:rFonts w:ascii="宋体" w:hAnsi="宋体"/>
                      <w:color w:val="000000"/>
                    </w:rPr>
                    <w:t>A</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1682" w:type="dxa"/>
                  <w:vMerge w:val="continue"/>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p>
              </w:tc>
              <w:tc>
                <w:tcPr>
                  <w:tcW w:w="1645" w:type="dxa"/>
                  <w:vMerge w:val="continue"/>
                  <w:tcBorders>
                    <w:top w:val="single" w:color="auto" w:sz="4" w:space="0"/>
                    <w:left w:val="single" w:color="auto" w:sz="4" w:space="0"/>
                    <w:bottom w:val="single" w:color="auto" w:sz="4" w:space="0"/>
                    <w:right w:val="single" w:color="auto" w:sz="4" w:space="0"/>
                  </w:tcBorders>
                </w:tcPr>
                <w:p>
                  <w:pPr>
                    <w:pStyle w:val="228"/>
                    <w:spacing w:line="360" w:lineRule="auto"/>
                    <w:rPr>
                      <w:rFonts w:ascii="宋体" w:hAnsi="宋体"/>
                      <w:color w:val="000000"/>
                    </w:rPr>
                  </w:pP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昼间</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682" w:type="dxa"/>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项目北侧</w:t>
                  </w:r>
                </w:p>
              </w:tc>
              <w:tc>
                <w:tcPr>
                  <w:tcW w:w="1645"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2018.4.</w:t>
                  </w:r>
                  <w:r>
                    <w:rPr>
                      <w:rFonts w:hint="eastAsia" w:ascii="宋体" w:hAnsi="宋体"/>
                      <w:color w:val="000000"/>
                      <w:lang w:val="en-US" w:eastAsia="zh-CN"/>
                    </w:rPr>
                    <w:t>2</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65</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682" w:type="dxa"/>
                  <w:vMerge w:val="continue"/>
                  <w:tcBorders>
                    <w:top w:val="single" w:color="auto" w:sz="4" w:space="0"/>
                    <w:left w:val="single" w:color="auto" w:sz="4" w:space="0"/>
                    <w:bottom w:val="single" w:color="auto" w:sz="4" w:space="0"/>
                    <w:right w:val="single" w:color="auto" w:sz="4" w:space="0"/>
                  </w:tcBorders>
                </w:tcPr>
                <w:p>
                  <w:pPr>
                    <w:spacing w:line="360" w:lineRule="auto"/>
                    <w:ind w:firstLine="210" w:firstLineChars="100"/>
                    <w:jc w:val="center"/>
                    <w:rPr>
                      <w:rFonts w:ascii="宋体" w:hAnsi="宋体"/>
                      <w:color w:val="000000"/>
                    </w:rPr>
                  </w:pPr>
                </w:p>
              </w:tc>
              <w:tc>
                <w:tcPr>
                  <w:tcW w:w="1645"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2018.4.</w:t>
                  </w:r>
                  <w:r>
                    <w:rPr>
                      <w:rFonts w:hint="eastAsia" w:ascii="宋体" w:hAnsi="宋体"/>
                      <w:color w:val="000000"/>
                      <w:lang w:val="en-US" w:eastAsia="zh-CN"/>
                    </w:rPr>
                    <w:t>3</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64</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jc w:val="center"/>
              </w:trPr>
              <w:tc>
                <w:tcPr>
                  <w:tcW w:w="1682" w:type="dxa"/>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项目东侧</w:t>
                  </w:r>
                </w:p>
              </w:tc>
              <w:tc>
                <w:tcPr>
                  <w:tcW w:w="164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000000"/>
                    </w:rPr>
                  </w:pPr>
                  <w:r>
                    <w:rPr>
                      <w:rFonts w:hint="eastAsia" w:ascii="宋体" w:hAnsi="宋体"/>
                      <w:color w:val="000000"/>
                    </w:rPr>
                    <w:t>2018.4.</w:t>
                  </w:r>
                  <w:r>
                    <w:rPr>
                      <w:rFonts w:hint="eastAsia" w:ascii="宋体" w:hAnsi="宋体"/>
                      <w:color w:val="000000"/>
                      <w:lang w:val="en-US" w:eastAsia="zh-CN"/>
                    </w:rPr>
                    <w:t>2</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62</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1682" w:type="dxa"/>
                  <w:vMerge w:val="continue"/>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u w:val="single"/>
                    </w:rPr>
                  </w:pPr>
                </w:p>
              </w:tc>
              <w:tc>
                <w:tcPr>
                  <w:tcW w:w="164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000000"/>
                    </w:rPr>
                  </w:pPr>
                  <w:r>
                    <w:rPr>
                      <w:rFonts w:hint="eastAsia" w:ascii="宋体" w:hAnsi="宋体"/>
                      <w:color w:val="000000"/>
                    </w:rPr>
                    <w:t>2018.4.</w:t>
                  </w:r>
                  <w:r>
                    <w:rPr>
                      <w:rFonts w:hint="eastAsia" w:ascii="宋体" w:hAnsi="宋体"/>
                      <w:color w:val="000000"/>
                      <w:lang w:val="en-US" w:eastAsia="zh-CN"/>
                    </w:rPr>
                    <w:t>3</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65</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332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color w:val="000000"/>
                    </w:rPr>
                  </w:pPr>
                  <w:r>
                    <w:rPr>
                      <w:rFonts w:hint="eastAsia" w:ascii="宋体" w:hAnsi="宋体"/>
                      <w:color w:val="000000"/>
                    </w:rPr>
                    <w:t>《声环境质量标准》（</w:t>
                  </w:r>
                  <w:r>
                    <w:rPr>
                      <w:rFonts w:ascii="宋体" w:hAnsi="宋体"/>
                      <w:color w:val="000000"/>
                    </w:rPr>
                    <w:t>GB3096-2008</w:t>
                  </w:r>
                  <w:r>
                    <w:rPr>
                      <w:rFonts w:hint="eastAsia" w:ascii="宋体" w:hAnsi="宋体"/>
                      <w:color w:val="000000"/>
                    </w:rPr>
                    <w:t>）中4a类标准</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themeColor="text1"/>
                    </w:rPr>
                  </w:pPr>
                  <w:r>
                    <w:rPr>
                      <w:rFonts w:ascii="宋体" w:hAnsi="宋体"/>
                      <w:color w:val="000000" w:themeColor="text1"/>
                    </w:rPr>
                    <w:t>70</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themeColor="text1"/>
                    </w:rPr>
                  </w:pPr>
                  <w:r>
                    <w:rPr>
                      <w:rFonts w:ascii="宋体" w:hAnsi="宋体"/>
                      <w:color w:val="000000" w:themeColor="text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1682" w:type="dxa"/>
                  <w:vMerge w:val="restart"/>
                  <w:tcBorders>
                    <w:top w:val="single" w:color="auto" w:sz="4" w:space="0"/>
                    <w:left w:val="single" w:color="auto" w:sz="4" w:space="0"/>
                    <w:right w:val="single" w:color="auto" w:sz="4" w:space="0"/>
                  </w:tcBorders>
                </w:tcPr>
                <w:p>
                  <w:pPr>
                    <w:spacing w:line="360" w:lineRule="auto"/>
                    <w:jc w:val="center"/>
                    <w:rPr>
                      <w:rFonts w:ascii="宋体" w:hAnsi="宋体"/>
                      <w:color w:val="000000"/>
                    </w:rPr>
                  </w:pPr>
                  <w:r>
                    <w:rPr>
                      <w:rFonts w:hint="eastAsia" w:ascii="宋体" w:hAnsi="宋体"/>
                      <w:color w:val="000000"/>
                    </w:rPr>
                    <w:t>项目西面</w:t>
                  </w:r>
                </w:p>
              </w:tc>
              <w:tc>
                <w:tcPr>
                  <w:tcW w:w="164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000000"/>
                    </w:rPr>
                  </w:pPr>
                  <w:r>
                    <w:rPr>
                      <w:rFonts w:hint="eastAsia" w:ascii="宋体" w:hAnsi="宋体"/>
                      <w:color w:val="000000"/>
                    </w:rPr>
                    <w:t>2018.4.</w:t>
                  </w:r>
                  <w:r>
                    <w:rPr>
                      <w:rFonts w:hint="eastAsia" w:ascii="宋体" w:hAnsi="宋体"/>
                      <w:color w:val="000000"/>
                      <w:lang w:val="en-US" w:eastAsia="zh-CN"/>
                    </w:rPr>
                    <w:t>2</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55</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1682" w:type="dxa"/>
                  <w:vMerge w:val="continue"/>
                  <w:tcBorders>
                    <w:left w:val="single" w:color="auto" w:sz="4" w:space="0"/>
                    <w:bottom w:val="single" w:color="auto" w:sz="4" w:space="0"/>
                    <w:right w:val="single" w:color="auto" w:sz="4" w:space="0"/>
                  </w:tcBorders>
                </w:tcPr>
                <w:p>
                  <w:pPr>
                    <w:spacing w:line="360" w:lineRule="auto"/>
                    <w:jc w:val="center"/>
                    <w:rPr>
                      <w:rFonts w:ascii="宋体" w:hAnsi="宋体"/>
                      <w:color w:val="FF0000"/>
                    </w:rPr>
                  </w:pPr>
                </w:p>
              </w:tc>
              <w:tc>
                <w:tcPr>
                  <w:tcW w:w="164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FF0000"/>
                    </w:rPr>
                  </w:pPr>
                  <w:r>
                    <w:rPr>
                      <w:rFonts w:hint="eastAsia" w:ascii="宋体" w:hAnsi="宋体"/>
                      <w:color w:val="000000"/>
                    </w:rPr>
                    <w:t>2018.4.</w:t>
                  </w:r>
                  <w:r>
                    <w:rPr>
                      <w:rFonts w:hint="eastAsia" w:ascii="宋体" w:hAnsi="宋体"/>
                      <w:color w:val="000000"/>
                      <w:lang w:val="en-US" w:eastAsia="zh-CN"/>
                    </w:rPr>
                    <w:t>3</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56</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1682" w:type="dxa"/>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u w:val="single"/>
                    </w:rPr>
                  </w:pPr>
                  <w:r>
                    <w:rPr>
                      <w:rFonts w:hint="eastAsia" w:ascii="宋体" w:hAnsi="宋体"/>
                      <w:color w:val="000000"/>
                    </w:rPr>
                    <w:t>项目南侧</w:t>
                  </w:r>
                </w:p>
              </w:tc>
              <w:tc>
                <w:tcPr>
                  <w:tcW w:w="164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000000"/>
                    </w:rPr>
                  </w:pPr>
                  <w:r>
                    <w:rPr>
                      <w:rFonts w:hint="eastAsia" w:ascii="宋体" w:hAnsi="宋体"/>
                      <w:color w:val="000000"/>
                    </w:rPr>
                    <w:t>2018.4.</w:t>
                  </w:r>
                  <w:r>
                    <w:rPr>
                      <w:rFonts w:hint="eastAsia" w:ascii="宋体" w:hAnsi="宋体"/>
                      <w:color w:val="000000"/>
                      <w:lang w:val="en-US" w:eastAsia="zh-CN"/>
                    </w:rPr>
                    <w:t>2</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58</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1682" w:type="dxa"/>
                  <w:vMerge w:val="continue"/>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u w:val="single"/>
                    </w:rPr>
                  </w:pPr>
                </w:p>
              </w:tc>
              <w:tc>
                <w:tcPr>
                  <w:tcW w:w="164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000000"/>
                    </w:rPr>
                  </w:pPr>
                  <w:r>
                    <w:rPr>
                      <w:rFonts w:hint="eastAsia" w:ascii="宋体" w:hAnsi="宋体"/>
                      <w:color w:val="000000"/>
                    </w:rPr>
                    <w:t>2018.4.</w:t>
                  </w:r>
                  <w:r>
                    <w:rPr>
                      <w:rFonts w:hint="eastAsia" w:ascii="宋体" w:hAnsi="宋体"/>
                      <w:color w:val="000000"/>
                      <w:lang w:val="en-US" w:eastAsia="zh-CN"/>
                    </w:rPr>
                    <w:t>3</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56</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eastAsia="宋体"/>
                      <w:color w:val="000000" w:themeColor="text1"/>
                      <w:lang w:eastAsia="zh-CN"/>
                    </w:rPr>
                  </w:pPr>
                  <w:r>
                    <w:rPr>
                      <w:rFonts w:hint="eastAsia" w:ascii="宋体" w:hAnsi="宋体"/>
                      <w:color w:val="000000" w:themeColor="text1"/>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332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color w:val="000000"/>
                    </w:rPr>
                  </w:pPr>
                  <w:r>
                    <w:rPr>
                      <w:rFonts w:hint="eastAsia" w:ascii="宋体" w:hAnsi="宋体"/>
                      <w:color w:val="000000"/>
                    </w:rPr>
                    <w:t>《声环境质量标准》（</w:t>
                  </w:r>
                  <w:r>
                    <w:rPr>
                      <w:rFonts w:ascii="宋体" w:hAnsi="宋体"/>
                      <w:color w:val="000000"/>
                    </w:rPr>
                    <w:t>GB3096-2008</w:t>
                  </w:r>
                  <w:r>
                    <w:rPr>
                      <w:rFonts w:hint="eastAsia" w:ascii="宋体" w:hAnsi="宋体"/>
                      <w:color w:val="000000"/>
                    </w:rPr>
                    <w:t>）中2类标准</w:t>
                  </w:r>
                </w:p>
              </w:tc>
              <w:tc>
                <w:tcPr>
                  <w:tcW w:w="2987"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themeColor="text1"/>
                    </w:rPr>
                  </w:pPr>
                  <w:r>
                    <w:rPr>
                      <w:rFonts w:ascii="宋体" w:hAnsi="宋体"/>
                      <w:color w:val="000000" w:themeColor="text1"/>
                    </w:rPr>
                    <w:t>60</w:t>
                  </w:r>
                </w:p>
              </w:tc>
              <w:tc>
                <w:tcPr>
                  <w:tcW w:w="2818"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themeColor="text1"/>
                    </w:rPr>
                  </w:pPr>
                  <w:r>
                    <w:rPr>
                      <w:rFonts w:ascii="宋体" w:hAnsi="宋体"/>
                      <w:color w:val="000000" w:themeColor="text1"/>
                    </w:rPr>
                    <w:t>50</w:t>
                  </w:r>
                </w:p>
              </w:tc>
            </w:tr>
          </w:tbl>
          <w:p>
            <w:pPr>
              <w:spacing w:line="420" w:lineRule="exact"/>
              <w:ind w:firstLine="480" w:firstLineChars="200"/>
              <w:rPr>
                <w:color w:val="000000"/>
                <w:sz w:val="24"/>
              </w:rPr>
            </w:pPr>
            <w:r>
              <w:rPr>
                <w:rFonts w:hint="eastAsia"/>
                <w:color w:val="000000" w:themeColor="text1"/>
                <w:sz w:val="24"/>
              </w:rPr>
              <w:t>从表6</w:t>
            </w:r>
            <w:r>
              <w:rPr>
                <w:rFonts w:hint="eastAsia"/>
                <w:color w:val="000000"/>
                <w:sz w:val="24"/>
              </w:rPr>
              <w:t>可知</w:t>
            </w:r>
            <w:r>
              <w:rPr>
                <w:color w:val="000000"/>
                <w:sz w:val="24"/>
              </w:rPr>
              <w:t>,</w:t>
            </w:r>
            <w:r>
              <w:rPr>
                <w:rFonts w:hint="eastAsia"/>
                <w:color w:val="000000"/>
                <w:sz w:val="24"/>
              </w:rPr>
              <w:t>拟建项目地西侧、北侧监测点位昼夜噪声监测值均符合《声环境质量标准》（</w:t>
            </w:r>
            <w:r>
              <w:rPr>
                <w:color w:val="000000"/>
                <w:sz w:val="24"/>
              </w:rPr>
              <w:t>GB3096-2008</w:t>
            </w:r>
            <w:r>
              <w:rPr>
                <w:rFonts w:hint="eastAsia"/>
                <w:color w:val="000000"/>
                <w:sz w:val="24"/>
              </w:rPr>
              <w:t>）中</w:t>
            </w:r>
            <w:r>
              <w:rPr>
                <w:color w:val="000000"/>
                <w:sz w:val="24"/>
              </w:rPr>
              <w:t>2</w:t>
            </w:r>
            <w:r>
              <w:rPr>
                <w:rFonts w:hint="eastAsia"/>
                <w:color w:val="000000"/>
                <w:sz w:val="24"/>
              </w:rPr>
              <w:t>类标准，东、南侧监测点位昼夜噪声监测值符合《声环境质量标准》（</w:t>
            </w:r>
            <w:r>
              <w:rPr>
                <w:color w:val="000000"/>
                <w:sz w:val="24"/>
              </w:rPr>
              <w:t>GB3096-2008</w:t>
            </w:r>
            <w:r>
              <w:rPr>
                <w:rFonts w:hint="eastAsia"/>
                <w:color w:val="000000"/>
                <w:sz w:val="24"/>
              </w:rPr>
              <w:t>）中</w:t>
            </w:r>
            <w:r>
              <w:rPr>
                <w:color w:val="000000"/>
                <w:sz w:val="24"/>
                <w:szCs w:val="24"/>
              </w:rPr>
              <w:t>4a</w:t>
            </w:r>
            <w:r>
              <w:rPr>
                <w:rFonts w:hint="eastAsia"/>
                <w:color w:val="000000"/>
                <w:sz w:val="24"/>
              </w:rPr>
              <w:t>类标准，项目区域声环境质量现状较好。</w:t>
            </w:r>
          </w:p>
          <w:p>
            <w:pPr>
              <w:spacing w:line="360" w:lineRule="auto"/>
              <w:rPr>
                <w:rFonts w:ascii="宋体" w:hAnsi="宋体"/>
                <w:b/>
                <w:color w:val="000000" w:themeColor="text1"/>
                <w:sz w:val="24"/>
              </w:rPr>
            </w:pPr>
            <w:r>
              <w:rPr>
                <w:rFonts w:hint="eastAsia" w:ascii="宋体" w:hAnsi="宋体"/>
                <w:b/>
                <w:color w:val="000000" w:themeColor="text1"/>
                <w:sz w:val="24"/>
              </w:rPr>
              <w:t>二、主要环境保护目标</w:t>
            </w:r>
          </w:p>
          <w:p>
            <w:pPr>
              <w:spacing w:line="480" w:lineRule="exact"/>
              <w:ind w:firstLine="480" w:firstLineChars="200"/>
              <w:rPr>
                <w:rFonts w:ascii="宋体" w:hAnsi="宋体"/>
                <w:color w:val="000000"/>
                <w:sz w:val="24"/>
              </w:rPr>
            </w:pPr>
            <w:r>
              <w:rPr>
                <w:rFonts w:hint="eastAsia" w:ascii="宋体" w:hAnsi="宋体"/>
                <w:color w:val="000000"/>
                <w:sz w:val="24"/>
              </w:rPr>
              <w:t>根据项目建设内容及周边环境状况，确定本项目主要环境保护目标如下：</w:t>
            </w:r>
          </w:p>
          <w:p>
            <w:pPr>
              <w:spacing w:line="360" w:lineRule="auto"/>
              <w:ind w:firstLine="240" w:firstLineChars="100"/>
              <w:jc w:val="center"/>
              <w:rPr>
                <w:rFonts w:ascii="宋体" w:hAnsi="宋体"/>
                <w:color w:val="000000" w:themeColor="text1"/>
                <w:sz w:val="24"/>
              </w:rPr>
            </w:pPr>
          </w:p>
          <w:p>
            <w:pPr>
              <w:spacing w:line="360" w:lineRule="auto"/>
              <w:ind w:firstLine="240" w:firstLineChars="100"/>
              <w:jc w:val="center"/>
              <w:rPr>
                <w:rFonts w:ascii="宋体" w:hAnsi="宋体"/>
                <w:color w:val="000000" w:themeColor="text1"/>
                <w:sz w:val="24"/>
              </w:rPr>
            </w:pPr>
          </w:p>
          <w:p>
            <w:pPr>
              <w:spacing w:line="360" w:lineRule="auto"/>
              <w:ind w:firstLine="240" w:firstLineChars="100"/>
              <w:jc w:val="center"/>
              <w:rPr>
                <w:rFonts w:ascii="宋体" w:hAnsi="宋体"/>
                <w:color w:val="000000" w:themeColor="text1"/>
                <w:sz w:val="24"/>
              </w:rPr>
            </w:pPr>
          </w:p>
          <w:p>
            <w:pPr>
              <w:spacing w:line="360" w:lineRule="auto"/>
              <w:ind w:firstLine="240" w:firstLineChars="100"/>
              <w:jc w:val="center"/>
              <w:rPr>
                <w:rFonts w:ascii="宋体" w:hAnsi="宋体"/>
                <w:color w:val="000000" w:themeColor="text1"/>
                <w:sz w:val="24"/>
              </w:rPr>
            </w:pPr>
          </w:p>
          <w:p>
            <w:pPr>
              <w:spacing w:line="360" w:lineRule="auto"/>
              <w:ind w:firstLine="240" w:firstLineChars="100"/>
              <w:jc w:val="center"/>
              <w:rPr>
                <w:rFonts w:ascii="宋体" w:hAnsi="宋体"/>
                <w:color w:val="000000" w:themeColor="text1"/>
                <w:sz w:val="24"/>
              </w:rPr>
            </w:pPr>
          </w:p>
          <w:p>
            <w:pPr>
              <w:spacing w:line="360" w:lineRule="auto"/>
              <w:ind w:firstLine="240" w:firstLineChars="100"/>
              <w:jc w:val="center"/>
              <w:rPr>
                <w:rFonts w:ascii="宋体" w:hAnsi="宋体"/>
                <w:color w:val="000000" w:themeColor="text1"/>
                <w:sz w:val="24"/>
              </w:rPr>
            </w:pPr>
          </w:p>
          <w:p>
            <w:pPr>
              <w:spacing w:line="360" w:lineRule="auto"/>
              <w:ind w:firstLine="240" w:firstLineChars="100"/>
              <w:jc w:val="center"/>
              <w:rPr>
                <w:rFonts w:ascii="宋体" w:hAnsi="宋体"/>
                <w:color w:val="000000" w:themeColor="text1"/>
                <w:sz w:val="24"/>
              </w:rPr>
            </w:pPr>
            <w:r>
              <w:rPr>
                <w:rFonts w:hint="eastAsia" w:ascii="宋体" w:hAnsi="宋体"/>
                <w:color w:val="000000" w:themeColor="text1"/>
                <w:sz w:val="24"/>
              </w:rPr>
              <w:t>表7    环境保护目标表</w:t>
            </w:r>
          </w:p>
          <w:tbl>
            <w:tblPr>
              <w:tblStyle w:val="42"/>
              <w:tblW w:w="9093" w:type="dxa"/>
              <w:jc w:val="center"/>
              <w:tblInd w:w="0" w:type="dxa"/>
              <w:tblLayout w:type="fixed"/>
              <w:tblCellMar>
                <w:top w:w="0" w:type="dxa"/>
                <w:left w:w="0" w:type="dxa"/>
                <w:bottom w:w="0" w:type="dxa"/>
                <w:right w:w="0" w:type="dxa"/>
              </w:tblCellMar>
            </w:tblPr>
            <w:tblGrid>
              <w:gridCol w:w="777"/>
              <w:gridCol w:w="1907"/>
              <w:gridCol w:w="1600"/>
              <w:gridCol w:w="2366"/>
              <w:gridCol w:w="2443"/>
            </w:tblGrid>
            <w:tr>
              <w:tblPrEx>
                <w:tblLayout w:type="fixed"/>
                <w:tblCellMar>
                  <w:top w:w="0" w:type="dxa"/>
                  <w:left w:w="0" w:type="dxa"/>
                  <w:bottom w:w="0" w:type="dxa"/>
                  <w:right w:w="0" w:type="dxa"/>
                </w:tblCellMar>
              </w:tblPrEx>
              <w:trPr>
                <w:trHeight w:val="437" w:hRule="exact"/>
                <w:jc w:val="center"/>
              </w:trPr>
              <w:tc>
                <w:tcPr>
                  <w:tcW w:w="777" w:type="dxa"/>
                  <w:tcBorders>
                    <w:top w:val="single" w:color="auto" w:sz="4" w:space="0"/>
                    <w:left w:val="single" w:color="auto" w:sz="4" w:space="0"/>
                  </w:tcBorders>
                  <w:shd w:val="clear" w:color="auto" w:fill="FFFFFF"/>
                </w:tcPr>
                <w:p>
                  <w:pPr>
                    <w:pStyle w:val="95"/>
                    <w:spacing w:line="240" w:lineRule="auto"/>
                    <w:ind w:firstLine="0"/>
                    <w:jc w:val="center"/>
                    <w:rPr>
                      <w:rFonts w:hAnsi="宋体"/>
                      <w:color w:val="000000" w:themeColor="text1"/>
                      <w:szCs w:val="21"/>
                    </w:rPr>
                  </w:pPr>
                  <w:r>
                    <w:rPr>
                      <w:rStyle w:val="229"/>
                      <w:rFonts w:ascii="宋体" w:hAnsi="宋体" w:eastAsia="宋体"/>
                      <w:color w:val="000000" w:themeColor="text1"/>
                      <w:szCs w:val="21"/>
                    </w:rPr>
                    <w:t>项目</w:t>
                  </w:r>
                </w:p>
              </w:tc>
              <w:tc>
                <w:tcPr>
                  <w:tcW w:w="1907" w:type="dxa"/>
                  <w:tcBorders>
                    <w:top w:val="single" w:color="auto" w:sz="4" w:space="0"/>
                    <w:left w:val="single" w:color="auto" w:sz="4" w:space="0"/>
                  </w:tcBorders>
                  <w:shd w:val="clear" w:color="auto" w:fill="FFFFFF"/>
                </w:tcPr>
                <w:p>
                  <w:pPr>
                    <w:pStyle w:val="95"/>
                    <w:spacing w:line="320" w:lineRule="exact"/>
                    <w:ind w:firstLine="0"/>
                    <w:jc w:val="center"/>
                    <w:rPr>
                      <w:rFonts w:hAnsi="宋体"/>
                      <w:color w:val="000000" w:themeColor="text1"/>
                      <w:szCs w:val="21"/>
                    </w:rPr>
                  </w:pPr>
                  <w:r>
                    <w:rPr>
                      <w:rStyle w:val="229"/>
                      <w:rFonts w:ascii="宋体" w:hAnsi="宋体" w:eastAsia="宋体"/>
                      <w:color w:val="000000" w:themeColor="text1"/>
                      <w:szCs w:val="21"/>
                    </w:rPr>
                    <w:t>环境保护目标</w:t>
                  </w:r>
                </w:p>
              </w:tc>
              <w:tc>
                <w:tcPr>
                  <w:tcW w:w="1600" w:type="dxa"/>
                  <w:tcBorders>
                    <w:top w:val="single" w:color="auto" w:sz="4" w:space="0"/>
                    <w:left w:val="single" w:color="auto" w:sz="4" w:space="0"/>
                  </w:tcBorders>
                  <w:shd w:val="clear" w:color="auto" w:fill="FFFFFF"/>
                </w:tcPr>
                <w:p>
                  <w:pPr>
                    <w:pStyle w:val="95"/>
                    <w:spacing w:line="320" w:lineRule="exact"/>
                    <w:ind w:firstLine="0"/>
                    <w:jc w:val="center"/>
                    <w:rPr>
                      <w:rFonts w:hAnsi="宋体"/>
                      <w:color w:val="000000" w:themeColor="text1"/>
                      <w:szCs w:val="21"/>
                    </w:rPr>
                  </w:pPr>
                  <w:r>
                    <w:rPr>
                      <w:rStyle w:val="229"/>
                      <w:rFonts w:ascii="宋体" w:hAnsi="宋体" w:eastAsia="宋体"/>
                      <w:color w:val="000000" w:themeColor="text1"/>
                      <w:szCs w:val="21"/>
                    </w:rPr>
                    <w:t>相对方位及距离</w:t>
                  </w:r>
                </w:p>
              </w:tc>
              <w:tc>
                <w:tcPr>
                  <w:tcW w:w="2366" w:type="dxa"/>
                  <w:tcBorders>
                    <w:top w:val="single" w:color="auto" w:sz="4" w:space="0"/>
                    <w:left w:val="single" w:color="auto" w:sz="4" w:space="0"/>
                  </w:tcBorders>
                  <w:shd w:val="clear" w:color="auto" w:fill="FFFFFF"/>
                </w:tcPr>
                <w:p>
                  <w:pPr>
                    <w:pStyle w:val="95"/>
                    <w:spacing w:line="320" w:lineRule="exact"/>
                    <w:ind w:firstLine="0"/>
                    <w:jc w:val="center"/>
                    <w:rPr>
                      <w:rFonts w:hAnsi="宋体"/>
                      <w:color w:val="000000" w:themeColor="text1"/>
                      <w:szCs w:val="21"/>
                    </w:rPr>
                  </w:pPr>
                  <w:r>
                    <w:rPr>
                      <w:rFonts w:hint="eastAsia" w:hAnsi="宋体"/>
                      <w:color w:val="000000" w:themeColor="text1"/>
                      <w:szCs w:val="21"/>
                    </w:rPr>
                    <w:t>功能规模</w:t>
                  </w:r>
                </w:p>
              </w:tc>
              <w:tc>
                <w:tcPr>
                  <w:tcW w:w="2443" w:type="dxa"/>
                  <w:tcBorders>
                    <w:top w:val="single" w:color="auto" w:sz="4" w:space="0"/>
                    <w:left w:val="single" w:color="auto" w:sz="4" w:space="0"/>
                    <w:right w:val="single" w:color="auto" w:sz="4" w:space="0"/>
                  </w:tcBorders>
                  <w:shd w:val="clear" w:color="auto" w:fill="FFFFFF"/>
                </w:tcPr>
                <w:p>
                  <w:pPr>
                    <w:pStyle w:val="95"/>
                    <w:spacing w:line="240" w:lineRule="auto"/>
                    <w:ind w:firstLine="0"/>
                    <w:jc w:val="center"/>
                    <w:rPr>
                      <w:rFonts w:hAnsi="宋体"/>
                      <w:color w:val="000000" w:themeColor="text1"/>
                      <w:szCs w:val="21"/>
                    </w:rPr>
                  </w:pPr>
                  <w:r>
                    <w:rPr>
                      <w:rStyle w:val="229"/>
                      <w:rFonts w:ascii="宋体" w:hAnsi="宋体" w:eastAsia="宋体"/>
                      <w:color w:val="000000" w:themeColor="text1"/>
                      <w:szCs w:val="21"/>
                    </w:rPr>
                    <w:t>保护级别</w:t>
                  </w:r>
                </w:p>
              </w:tc>
            </w:tr>
            <w:tr>
              <w:tblPrEx>
                <w:tblLayout w:type="fixed"/>
                <w:tblCellMar>
                  <w:top w:w="0" w:type="dxa"/>
                  <w:left w:w="0" w:type="dxa"/>
                  <w:bottom w:w="0" w:type="dxa"/>
                  <w:right w:w="0" w:type="dxa"/>
                </w:tblCellMar>
              </w:tblPrEx>
              <w:trPr>
                <w:trHeight w:val="368" w:hRule="atLeast"/>
                <w:jc w:val="center"/>
              </w:trPr>
              <w:tc>
                <w:tcPr>
                  <w:tcW w:w="777" w:type="dxa"/>
                  <w:vMerge w:val="restart"/>
                  <w:tcBorders>
                    <w:top w:val="single" w:color="auto" w:sz="4" w:space="0"/>
                    <w:left w:val="single" w:color="auto" w:sz="4" w:space="0"/>
                  </w:tcBorders>
                  <w:shd w:val="clear" w:color="auto" w:fill="FFFFFF"/>
                  <w:vAlign w:val="center"/>
                </w:tcPr>
                <w:p>
                  <w:pPr>
                    <w:pStyle w:val="95"/>
                    <w:spacing w:line="240" w:lineRule="auto"/>
                    <w:ind w:firstLine="0"/>
                    <w:jc w:val="center"/>
                    <w:rPr>
                      <w:rStyle w:val="229"/>
                      <w:rFonts w:ascii="宋体" w:hAnsi="宋体" w:eastAsia="宋体"/>
                      <w:color w:val="FF0000"/>
                      <w:szCs w:val="21"/>
                      <w:lang w:eastAsia="zh-CN"/>
                    </w:rPr>
                  </w:pPr>
                </w:p>
                <w:p>
                  <w:pPr>
                    <w:pStyle w:val="95"/>
                    <w:spacing w:line="240" w:lineRule="auto"/>
                    <w:ind w:firstLine="0"/>
                    <w:jc w:val="center"/>
                    <w:rPr>
                      <w:rStyle w:val="229"/>
                      <w:rFonts w:ascii="宋体" w:hAnsi="宋体" w:eastAsia="宋体"/>
                      <w:color w:val="FF0000"/>
                      <w:szCs w:val="21"/>
                      <w:lang w:eastAsia="zh-CN"/>
                    </w:rPr>
                  </w:pPr>
                </w:p>
                <w:p>
                  <w:pPr>
                    <w:pStyle w:val="95"/>
                    <w:spacing w:line="240" w:lineRule="auto"/>
                    <w:ind w:firstLine="0"/>
                    <w:jc w:val="center"/>
                    <w:rPr>
                      <w:rStyle w:val="229"/>
                      <w:rFonts w:ascii="宋体" w:hAnsi="宋体" w:eastAsia="宋体"/>
                      <w:color w:val="FF0000"/>
                      <w:szCs w:val="21"/>
                      <w:lang w:eastAsia="zh-CN"/>
                    </w:rPr>
                  </w:pPr>
                </w:p>
                <w:p>
                  <w:pPr>
                    <w:pStyle w:val="95"/>
                    <w:spacing w:line="240" w:lineRule="auto"/>
                    <w:ind w:firstLine="0"/>
                    <w:jc w:val="center"/>
                    <w:rPr>
                      <w:rStyle w:val="229"/>
                      <w:rFonts w:ascii="宋体" w:hAnsi="宋体" w:eastAsia="宋体"/>
                      <w:color w:val="000000" w:themeColor="text1"/>
                      <w:szCs w:val="21"/>
                    </w:rPr>
                  </w:pPr>
                  <w:r>
                    <w:rPr>
                      <w:rStyle w:val="229"/>
                      <w:rFonts w:ascii="宋体" w:hAnsi="宋体" w:eastAsia="宋体"/>
                      <w:color w:val="000000" w:themeColor="text1"/>
                      <w:szCs w:val="21"/>
                    </w:rPr>
                    <w:t>大</w:t>
                  </w:r>
                </w:p>
                <w:p>
                  <w:pPr>
                    <w:pStyle w:val="95"/>
                    <w:spacing w:line="240" w:lineRule="auto"/>
                    <w:ind w:firstLine="0"/>
                    <w:jc w:val="center"/>
                    <w:rPr>
                      <w:rFonts w:hAnsi="宋体"/>
                      <w:color w:val="000000" w:themeColor="text1"/>
                      <w:szCs w:val="21"/>
                    </w:rPr>
                  </w:pPr>
                  <w:r>
                    <w:rPr>
                      <w:rStyle w:val="229"/>
                      <w:rFonts w:ascii="宋体" w:hAnsi="宋体" w:eastAsia="宋体"/>
                      <w:color w:val="000000" w:themeColor="text1"/>
                      <w:szCs w:val="21"/>
                    </w:rPr>
                    <w:t>气</w:t>
                  </w:r>
                </w:p>
                <w:p>
                  <w:pPr>
                    <w:pStyle w:val="95"/>
                    <w:spacing w:line="240" w:lineRule="auto"/>
                    <w:ind w:firstLine="0"/>
                    <w:jc w:val="center"/>
                    <w:rPr>
                      <w:rFonts w:hAnsi="宋体"/>
                      <w:color w:val="000000" w:themeColor="text1"/>
                      <w:szCs w:val="21"/>
                    </w:rPr>
                  </w:pPr>
                  <w:r>
                    <w:rPr>
                      <w:rStyle w:val="229"/>
                      <w:rFonts w:ascii="宋体" w:hAnsi="宋体" w:eastAsia="宋体"/>
                      <w:color w:val="000000" w:themeColor="text1"/>
                      <w:szCs w:val="21"/>
                    </w:rPr>
                    <w:t>环</w:t>
                  </w:r>
                </w:p>
                <w:p>
                  <w:pPr>
                    <w:pStyle w:val="95"/>
                    <w:spacing w:line="240" w:lineRule="auto"/>
                    <w:ind w:firstLine="0"/>
                    <w:jc w:val="center"/>
                    <w:rPr>
                      <w:rFonts w:hAnsi="宋体"/>
                      <w:color w:val="000000" w:themeColor="text1"/>
                      <w:szCs w:val="21"/>
                    </w:rPr>
                  </w:pPr>
                  <w:r>
                    <w:rPr>
                      <w:rStyle w:val="229"/>
                      <w:rFonts w:ascii="宋体" w:hAnsi="宋体" w:eastAsia="宋体"/>
                      <w:color w:val="000000" w:themeColor="text1"/>
                      <w:szCs w:val="21"/>
                    </w:rPr>
                    <w:t>境</w:t>
                  </w:r>
                </w:p>
                <w:p>
                  <w:pPr>
                    <w:pStyle w:val="95"/>
                    <w:spacing w:line="240" w:lineRule="auto"/>
                    <w:jc w:val="center"/>
                    <w:rPr>
                      <w:rFonts w:hAnsi="宋体"/>
                      <w:color w:val="FF0000"/>
                      <w:szCs w:val="21"/>
                    </w:rPr>
                  </w:pPr>
                </w:p>
                <w:p>
                  <w:pPr>
                    <w:pStyle w:val="95"/>
                    <w:spacing w:line="240" w:lineRule="auto"/>
                    <w:ind w:firstLine="0"/>
                    <w:jc w:val="center"/>
                    <w:rPr>
                      <w:rStyle w:val="229"/>
                      <w:rFonts w:ascii="宋体" w:hAnsi="宋体" w:eastAsia="宋体"/>
                      <w:color w:val="FF0000"/>
                      <w:szCs w:val="21"/>
                      <w:lang w:eastAsia="zh-CN"/>
                    </w:rPr>
                  </w:pPr>
                </w:p>
                <w:p>
                  <w:pPr>
                    <w:pStyle w:val="95"/>
                    <w:ind w:left="0" w:leftChars="0" w:firstLine="0" w:firstLineChars="0"/>
                    <w:jc w:val="both"/>
                    <w:rPr>
                      <w:rFonts w:hAnsi="宋体"/>
                      <w:color w:val="FF0000"/>
                      <w:szCs w:val="21"/>
                    </w:rPr>
                  </w:pPr>
                </w:p>
              </w:tc>
              <w:tc>
                <w:tcPr>
                  <w:tcW w:w="1907" w:type="dxa"/>
                  <w:tcBorders>
                    <w:top w:val="single" w:color="auto" w:sz="4" w:space="0"/>
                    <w:lef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洪江市人民医院桑逸医养结合养老</w:t>
                  </w:r>
                  <w:r>
                    <w:rPr>
                      <w:rFonts w:hint="eastAsia" w:ascii="宋体" w:hAnsi="宋体"/>
                      <w:color w:val="000000" w:themeColor="text1"/>
                      <w:szCs w:val="21"/>
                      <w:lang w:eastAsia="zh-CN"/>
                    </w:rPr>
                    <w:t>中心</w:t>
                  </w:r>
                </w:p>
              </w:tc>
              <w:tc>
                <w:tcPr>
                  <w:tcW w:w="1600" w:type="dxa"/>
                  <w:tcBorders>
                    <w:top w:val="single" w:color="auto" w:sz="4" w:space="0"/>
                    <w:left w:val="single" w:color="auto" w:sz="4" w:space="0"/>
                  </w:tcBorders>
                  <w:shd w:val="clear" w:color="auto" w:fill="FFFFFF"/>
                  <w:vAlign w:val="center"/>
                </w:tcPr>
                <w:p>
                  <w:pPr>
                    <w:spacing w:line="360" w:lineRule="auto"/>
                    <w:jc w:val="center"/>
                    <w:rPr>
                      <w:rFonts w:ascii="宋体" w:hAnsi="宋体"/>
                      <w:bCs/>
                      <w:color w:val="000000" w:themeColor="text1"/>
                      <w:szCs w:val="21"/>
                    </w:rPr>
                  </w:pPr>
                  <w:r>
                    <w:rPr>
                      <w:rFonts w:hint="eastAsia" w:ascii="宋体" w:hAnsi="宋体"/>
                      <w:bCs/>
                      <w:color w:val="000000" w:themeColor="text1"/>
                      <w:szCs w:val="21"/>
                    </w:rPr>
                    <w:t>SE300m</w:t>
                  </w:r>
                </w:p>
              </w:tc>
              <w:tc>
                <w:tcPr>
                  <w:tcW w:w="2366" w:type="dxa"/>
                  <w:tcBorders>
                    <w:top w:val="single" w:color="auto" w:sz="4" w:space="0"/>
                    <w:left w:val="single" w:color="auto" w:sz="4" w:space="0"/>
                  </w:tcBorders>
                  <w:shd w:val="clear" w:color="auto" w:fill="FFFFFF"/>
                  <w:vAlign w:val="center"/>
                </w:tcPr>
                <w:p>
                  <w:pPr>
                    <w:spacing w:line="360" w:lineRule="auto"/>
                    <w:jc w:val="center"/>
                    <w:rPr>
                      <w:rFonts w:hint="eastAsia" w:ascii="宋体" w:hAnsi="宋体"/>
                      <w:bCs/>
                      <w:color w:val="auto"/>
                      <w:szCs w:val="21"/>
                    </w:rPr>
                  </w:pPr>
                  <w:r>
                    <w:rPr>
                      <w:rFonts w:hint="eastAsia" w:ascii="宋体" w:hAnsi="宋体"/>
                      <w:bCs/>
                      <w:color w:val="auto"/>
                      <w:szCs w:val="21"/>
                    </w:rPr>
                    <w:t>工作人员15人</w:t>
                  </w:r>
                </w:p>
                <w:p>
                  <w:pPr>
                    <w:spacing w:line="360" w:lineRule="auto"/>
                    <w:jc w:val="center"/>
                    <w:rPr>
                      <w:rFonts w:ascii="宋体" w:hAnsi="宋体"/>
                      <w:bCs/>
                      <w:color w:val="auto"/>
                      <w:szCs w:val="21"/>
                    </w:rPr>
                  </w:pPr>
                  <w:r>
                    <w:rPr>
                      <w:rFonts w:hint="eastAsia" w:ascii="宋体" w:hAnsi="宋体"/>
                      <w:bCs/>
                      <w:color w:val="auto"/>
                      <w:szCs w:val="21"/>
                    </w:rPr>
                    <w:t>院内人员</w:t>
                  </w:r>
                  <w:r>
                    <w:rPr>
                      <w:rFonts w:hint="eastAsia" w:ascii="宋体" w:hAnsi="宋体"/>
                      <w:bCs/>
                      <w:color w:val="auto"/>
                      <w:szCs w:val="21"/>
                      <w:lang w:val="en-US" w:eastAsia="zh-CN"/>
                    </w:rPr>
                    <w:t>3</w:t>
                  </w:r>
                  <w:r>
                    <w:rPr>
                      <w:rFonts w:hint="eastAsia" w:ascii="宋体" w:hAnsi="宋体"/>
                      <w:bCs/>
                      <w:color w:val="auto"/>
                      <w:szCs w:val="21"/>
                    </w:rPr>
                    <w:t>5人</w:t>
                  </w:r>
                </w:p>
              </w:tc>
              <w:tc>
                <w:tcPr>
                  <w:tcW w:w="2443"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color w:val="000000" w:themeColor="text1"/>
                      <w:szCs w:val="21"/>
                    </w:rPr>
                  </w:pPr>
                  <w:r>
                    <w:rPr>
                      <w:rFonts w:hint="eastAsia" w:ascii="宋体" w:hAnsi="宋体"/>
                      <w:color w:val="000000" w:themeColor="text1"/>
                      <w:szCs w:val="21"/>
                    </w:rPr>
                    <w:t>《环境空气质量标准》</w:t>
                  </w:r>
                  <w:r>
                    <w:rPr>
                      <w:rFonts w:ascii="宋体" w:hAnsi="宋体"/>
                      <w:color w:val="000000" w:themeColor="text1"/>
                      <w:szCs w:val="21"/>
                    </w:rPr>
                    <w:t>GB3095-2012二级标准</w:t>
                  </w:r>
                </w:p>
              </w:tc>
            </w:tr>
            <w:tr>
              <w:tblPrEx>
                <w:tblLayout w:type="fixed"/>
                <w:tblCellMar>
                  <w:top w:w="0" w:type="dxa"/>
                  <w:left w:w="0" w:type="dxa"/>
                  <w:bottom w:w="0" w:type="dxa"/>
                  <w:right w:w="0" w:type="dxa"/>
                </w:tblCellMar>
              </w:tblPrEx>
              <w:trPr>
                <w:trHeight w:val="397" w:hRule="atLeast"/>
                <w:jc w:val="center"/>
              </w:trPr>
              <w:tc>
                <w:tcPr>
                  <w:tcW w:w="777" w:type="dxa"/>
                  <w:vMerge w:val="continue"/>
                  <w:tcBorders>
                    <w:left w:val="single" w:color="auto" w:sz="4" w:space="0"/>
                  </w:tcBorders>
                  <w:shd w:val="clear" w:color="auto" w:fill="FFFFFF"/>
                </w:tcPr>
                <w:p>
                  <w:pPr>
                    <w:pStyle w:val="95"/>
                    <w:spacing w:line="240" w:lineRule="auto"/>
                    <w:ind w:firstLine="0"/>
                    <w:jc w:val="center"/>
                    <w:rPr>
                      <w:rFonts w:hAnsi="宋体"/>
                      <w:color w:val="FF0000"/>
                      <w:szCs w:val="21"/>
                    </w:rPr>
                  </w:pPr>
                </w:p>
              </w:tc>
              <w:tc>
                <w:tcPr>
                  <w:tcW w:w="1907" w:type="dxa"/>
                  <w:tcBorders>
                    <w:top w:val="single" w:color="auto" w:sz="4" w:space="0"/>
                    <w:lef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洪江市人民医院</w:t>
                  </w:r>
                </w:p>
              </w:tc>
              <w:tc>
                <w:tcPr>
                  <w:tcW w:w="1600" w:type="dxa"/>
                  <w:tcBorders>
                    <w:top w:val="single" w:color="auto" w:sz="4" w:space="0"/>
                    <w:left w:val="single" w:color="auto" w:sz="4" w:space="0"/>
                  </w:tcBorders>
                  <w:shd w:val="clear" w:color="auto" w:fill="FFFFFF"/>
                  <w:vAlign w:val="center"/>
                </w:tcPr>
                <w:p>
                  <w:pPr>
                    <w:spacing w:line="360" w:lineRule="auto"/>
                    <w:jc w:val="center"/>
                    <w:rPr>
                      <w:rFonts w:ascii="宋体" w:hAnsi="宋体"/>
                      <w:bCs/>
                      <w:color w:val="000000" w:themeColor="text1"/>
                      <w:szCs w:val="21"/>
                    </w:rPr>
                  </w:pPr>
                  <w:r>
                    <w:rPr>
                      <w:rFonts w:hint="eastAsia" w:ascii="宋体" w:hAnsi="宋体"/>
                      <w:bCs/>
                      <w:color w:val="000000" w:themeColor="text1"/>
                      <w:szCs w:val="21"/>
                    </w:rPr>
                    <w:t>SE400m</w:t>
                  </w:r>
                </w:p>
              </w:tc>
              <w:tc>
                <w:tcPr>
                  <w:tcW w:w="2366" w:type="dxa"/>
                  <w:tcBorders>
                    <w:top w:val="single" w:color="auto" w:sz="4" w:space="0"/>
                    <w:left w:val="single" w:color="auto" w:sz="4" w:space="0"/>
                    <w:bottom w:val="single" w:color="auto" w:sz="4" w:space="0"/>
                  </w:tcBorders>
                  <w:shd w:val="clear" w:color="auto" w:fill="FFFFFF"/>
                  <w:vAlign w:val="center"/>
                </w:tcPr>
                <w:p>
                  <w:pPr>
                    <w:spacing w:line="360" w:lineRule="auto"/>
                    <w:jc w:val="center"/>
                    <w:rPr>
                      <w:rFonts w:hint="eastAsia" w:ascii="宋体" w:hAnsi="宋体"/>
                      <w:bCs/>
                      <w:color w:val="auto"/>
                      <w:spacing w:val="-10"/>
                      <w:szCs w:val="21"/>
                    </w:rPr>
                  </w:pPr>
                  <w:r>
                    <w:rPr>
                      <w:rFonts w:hint="eastAsia" w:ascii="宋体" w:hAnsi="宋体"/>
                      <w:bCs/>
                      <w:color w:val="auto"/>
                      <w:spacing w:val="-10"/>
                      <w:szCs w:val="21"/>
                    </w:rPr>
                    <w:t>工作人员</w:t>
                  </w:r>
                  <w:r>
                    <w:rPr>
                      <w:rFonts w:hint="eastAsia" w:ascii="宋体" w:hAnsi="宋体"/>
                      <w:bCs/>
                      <w:color w:val="auto"/>
                      <w:spacing w:val="-10"/>
                      <w:szCs w:val="21"/>
                      <w:lang w:val="en-US" w:eastAsia="zh-CN"/>
                    </w:rPr>
                    <w:t>80</w:t>
                  </w:r>
                  <w:r>
                    <w:rPr>
                      <w:rFonts w:hint="eastAsia" w:ascii="宋体" w:hAnsi="宋体"/>
                      <w:bCs/>
                      <w:color w:val="auto"/>
                      <w:spacing w:val="-10"/>
                      <w:szCs w:val="21"/>
                    </w:rPr>
                    <w:t>人</w:t>
                  </w:r>
                </w:p>
                <w:p>
                  <w:pPr>
                    <w:spacing w:line="360" w:lineRule="auto"/>
                    <w:jc w:val="center"/>
                    <w:rPr>
                      <w:rFonts w:ascii="宋体" w:hAnsi="宋体"/>
                      <w:bCs/>
                      <w:color w:val="auto"/>
                      <w:szCs w:val="21"/>
                    </w:rPr>
                  </w:pPr>
                  <w:r>
                    <w:rPr>
                      <w:rFonts w:hint="eastAsia" w:ascii="宋体" w:hAnsi="宋体"/>
                      <w:bCs/>
                      <w:color w:val="auto"/>
                      <w:spacing w:val="-10"/>
                      <w:szCs w:val="21"/>
                    </w:rPr>
                    <w:t>院内人员200人</w:t>
                  </w:r>
                </w:p>
              </w:tc>
              <w:tc>
                <w:tcPr>
                  <w:tcW w:w="2443" w:type="dxa"/>
                  <w:vMerge w:val="continue"/>
                  <w:tcBorders>
                    <w:left w:val="single" w:color="auto" w:sz="4" w:space="0"/>
                    <w:bottom w:val="single" w:color="auto" w:sz="4" w:space="0"/>
                    <w:right w:val="single" w:color="auto" w:sz="4" w:space="0"/>
                  </w:tcBorders>
                  <w:shd w:val="clear" w:color="auto" w:fill="FFFFFF"/>
                  <w:vAlign w:val="center"/>
                </w:tcPr>
                <w:p>
                  <w:pPr>
                    <w:jc w:val="center"/>
                    <w:rPr>
                      <w:rFonts w:ascii="宋体" w:hAnsi="宋体"/>
                      <w:color w:val="FF0000"/>
                      <w:szCs w:val="21"/>
                    </w:rPr>
                  </w:pPr>
                </w:p>
              </w:tc>
            </w:tr>
            <w:tr>
              <w:tblPrEx>
                <w:tblLayout w:type="fixed"/>
                <w:tblCellMar>
                  <w:top w:w="0" w:type="dxa"/>
                  <w:left w:w="0" w:type="dxa"/>
                  <w:bottom w:w="0" w:type="dxa"/>
                  <w:right w:w="0" w:type="dxa"/>
                </w:tblCellMar>
              </w:tblPrEx>
              <w:trPr>
                <w:trHeight w:val="460" w:hRule="exact"/>
                <w:jc w:val="center"/>
              </w:trPr>
              <w:tc>
                <w:tcPr>
                  <w:tcW w:w="777" w:type="dxa"/>
                  <w:vMerge w:val="restart"/>
                  <w:tcBorders>
                    <w:top w:val="single" w:color="auto" w:sz="4" w:space="0"/>
                    <w:left w:val="single" w:color="auto" w:sz="4" w:space="0"/>
                  </w:tcBorders>
                  <w:shd w:val="clear" w:color="auto" w:fill="FFFFFF"/>
                </w:tcPr>
                <w:p>
                  <w:pPr>
                    <w:pStyle w:val="95"/>
                    <w:spacing w:line="240" w:lineRule="auto"/>
                    <w:ind w:firstLine="0"/>
                    <w:jc w:val="center"/>
                    <w:rPr>
                      <w:rStyle w:val="229"/>
                      <w:rFonts w:ascii="宋体" w:hAnsi="宋体" w:eastAsia="宋体"/>
                      <w:color w:val="000000" w:themeColor="text1"/>
                      <w:szCs w:val="21"/>
                    </w:rPr>
                  </w:pPr>
                  <w:r>
                    <w:rPr>
                      <w:rStyle w:val="229"/>
                      <w:rFonts w:ascii="宋体" w:hAnsi="宋体" w:eastAsia="宋体"/>
                      <w:color w:val="000000" w:themeColor="text1"/>
                      <w:szCs w:val="21"/>
                    </w:rPr>
                    <w:t>水</w:t>
                  </w:r>
                </w:p>
                <w:p>
                  <w:pPr>
                    <w:pStyle w:val="95"/>
                    <w:spacing w:line="240" w:lineRule="auto"/>
                    <w:ind w:firstLine="0"/>
                    <w:jc w:val="center"/>
                    <w:rPr>
                      <w:rStyle w:val="229"/>
                      <w:rFonts w:ascii="宋体" w:hAnsi="宋体" w:eastAsia="宋体"/>
                      <w:color w:val="000000" w:themeColor="text1"/>
                      <w:szCs w:val="21"/>
                    </w:rPr>
                  </w:pPr>
                  <w:r>
                    <w:rPr>
                      <w:rStyle w:val="229"/>
                      <w:rFonts w:ascii="宋体" w:hAnsi="宋体" w:eastAsia="宋体"/>
                      <w:color w:val="000000" w:themeColor="text1"/>
                      <w:szCs w:val="21"/>
                    </w:rPr>
                    <w:t>环</w:t>
                  </w:r>
                </w:p>
                <w:p>
                  <w:pPr>
                    <w:pStyle w:val="95"/>
                    <w:spacing w:line="240" w:lineRule="auto"/>
                    <w:ind w:firstLine="0"/>
                    <w:jc w:val="center"/>
                    <w:rPr>
                      <w:rFonts w:hAnsi="宋体"/>
                      <w:color w:val="000000" w:themeColor="text1"/>
                      <w:szCs w:val="21"/>
                    </w:rPr>
                  </w:pPr>
                  <w:r>
                    <w:rPr>
                      <w:rStyle w:val="229"/>
                      <w:rFonts w:ascii="宋体" w:hAnsi="宋体" w:eastAsia="宋体"/>
                      <w:color w:val="000000" w:themeColor="text1"/>
                      <w:szCs w:val="21"/>
                    </w:rPr>
                    <w:t>境</w:t>
                  </w:r>
                </w:p>
                <w:p>
                  <w:pPr>
                    <w:pStyle w:val="95"/>
                    <w:spacing w:line="240" w:lineRule="auto"/>
                    <w:ind w:firstLine="0"/>
                    <w:jc w:val="center"/>
                    <w:rPr>
                      <w:rFonts w:hAnsi="宋体"/>
                      <w:color w:val="000000" w:themeColor="text1"/>
                      <w:szCs w:val="21"/>
                    </w:rPr>
                  </w:pPr>
                </w:p>
              </w:tc>
              <w:tc>
                <w:tcPr>
                  <w:tcW w:w="1907" w:type="dxa"/>
                  <w:tcBorders>
                    <w:top w:val="single" w:color="auto" w:sz="4" w:space="0"/>
                    <w:left w:val="single" w:color="auto" w:sz="4" w:space="0"/>
                    <w:bottom w:val="single" w:color="auto" w:sz="4" w:space="0"/>
                  </w:tcBorders>
                  <w:shd w:val="clear" w:color="auto" w:fill="FFFFFF"/>
                  <w:vAlign w:val="center"/>
                </w:tcPr>
                <w:p>
                  <w:pPr>
                    <w:pStyle w:val="95"/>
                    <w:spacing w:line="320" w:lineRule="exact"/>
                    <w:ind w:firstLine="0"/>
                    <w:jc w:val="center"/>
                    <w:rPr>
                      <w:rFonts w:hAnsi="宋体"/>
                      <w:color w:val="000000" w:themeColor="text1"/>
                      <w:szCs w:val="21"/>
                    </w:rPr>
                  </w:pPr>
                  <w:r>
                    <w:rPr>
                      <w:rStyle w:val="229"/>
                      <w:rFonts w:ascii="宋体" w:hAnsi="宋体" w:eastAsia="宋体"/>
                      <w:color w:val="000000" w:themeColor="text1"/>
                      <w:szCs w:val="21"/>
                    </w:rPr>
                    <w:t>舞水</w:t>
                  </w:r>
                </w:p>
              </w:tc>
              <w:tc>
                <w:tcPr>
                  <w:tcW w:w="1600" w:type="dxa"/>
                  <w:tcBorders>
                    <w:top w:val="single" w:color="auto" w:sz="4" w:space="0"/>
                    <w:left w:val="single" w:color="auto" w:sz="4" w:space="0"/>
                    <w:bottom w:val="single" w:color="auto" w:sz="4" w:space="0"/>
                  </w:tcBorders>
                  <w:shd w:val="clear" w:color="auto" w:fill="FFFFFF"/>
                  <w:vAlign w:val="center"/>
                </w:tcPr>
                <w:p>
                  <w:pPr>
                    <w:pStyle w:val="95"/>
                    <w:spacing w:line="320" w:lineRule="exact"/>
                    <w:ind w:firstLine="0"/>
                    <w:jc w:val="center"/>
                    <w:rPr>
                      <w:rStyle w:val="229"/>
                      <w:rFonts w:ascii="宋体" w:hAnsi="宋体" w:eastAsia="宋体"/>
                      <w:color w:val="000000" w:themeColor="text1"/>
                      <w:szCs w:val="21"/>
                    </w:rPr>
                  </w:pPr>
                  <w:r>
                    <w:rPr>
                      <w:rFonts w:hint="eastAsia" w:hAnsi="宋体"/>
                      <w:color w:val="000000" w:themeColor="text1"/>
                      <w:szCs w:val="21"/>
                    </w:rPr>
                    <w:t>N</w:t>
                  </w:r>
                  <w:r>
                    <w:rPr>
                      <w:rFonts w:hAnsi="宋体"/>
                      <w:color w:val="000000" w:themeColor="text1"/>
                      <w:szCs w:val="21"/>
                    </w:rPr>
                    <w:t>约</w:t>
                  </w:r>
                  <w:r>
                    <w:rPr>
                      <w:rFonts w:hint="eastAsia" w:hAnsi="宋体"/>
                      <w:color w:val="000000" w:themeColor="text1"/>
                      <w:szCs w:val="21"/>
                    </w:rPr>
                    <w:t>100</w:t>
                  </w:r>
                  <w:r>
                    <w:rPr>
                      <w:rFonts w:hAnsi="宋体"/>
                      <w:color w:val="000000" w:themeColor="text1"/>
                      <w:szCs w:val="21"/>
                    </w:rPr>
                    <w:t>m</w:t>
                  </w:r>
                </w:p>
              </w:tc>
              <w:tc>
                <w:tcPr>
                  <w:tcW w:w="236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5"/>
                    <w:spacing w:line="320" w:lineRule="exact"/>
                    <w:ind w:firstLine="0"/>
                    <w:jc w:val="center"/>
                    <w:rPr>
                      <w:rFonts w:hAnsi="宋体"/>
                      <w:bCs/>
                      <w:color w:val="000000" w:themeColor="text1"/>
                      <w:spacing w:val="-10"/>
                      <w:szCs w:val="21"/>
                    </w:rPr>
                  </w:pPr>
                  <w:r>
                    <w:rPr>
                      <w:rFonts w:hAnsi="宋体"/>
                      <w:bCs/>
                      <w:color w:val="000000" w:themeColor="text1"/>
                    </w:rPr>
                    <w:t>渔业用水</w:t>
                  </w:r>
                </w:p>
              </w:tc>
              <w:tc>
                <w:tcPr>
                  <w:tcW w:w="2443"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color w:val="000000" w:themeColor="text1"/>
                      <w:szCs w:val="21"/>
                    </w:rPr>
                  </w:pPr>
                  <w:r>
                    <w:rPr>
                      <w:rFonts w:hint="eastAsia" w:ascii="宋体" w:hAnsi="宋体"/>
                      <w:color w:val="000000" w:themeColor="text1"/>
                      <w:szCs w:val="21"/>
                    </w:rPr>
                    <w:t>《地表水环境质量标准》</w:t>
                  </w:r>
                  <w:r>
                    <w:rPr>
                      <w:rFonts w:ascii="宋体" w:hAnsi="宋体"/>
                      <w:color w:val="000000" w:themeColor="text1"/>
                      <w:szCs w:val="21"/>
                    </w:rPr>
                    <w:t>GB3838-2002</w:t>
                  </w:r>
                  <w:r>
                    <w:rPr>
                      <w:rFonts w:hint="eastAsia" w:ascii="宋体" w:hAnsi="宋体" w:cs="宋体"/>
                      <w:color w:val="000000" w:themeColor="text1"/>
                      <w:szCs w:val="21"/>
                      <w:lang w:val="zh-TW" w:eastAsia="zh-TW"/>
                    </w:rPr>
                    <w:t>Ⅲ</w:t>
                  </w:r>
                  <w:r>
                    <w:rPr>
                      <w:rFonts w:ascii="宋体" w:hAnsi="宋体"/>
                      <w:color w:val="000000" w:themeColor="text1"/>
                      <w:szCs w:val="21"/>
                    </w:rPr>
                    <w:t>类水质标准</w:t>
                  </w:r>
                </w:p>
              </w:tc>
            </w:tr>
            <w:tr>
              <w:tblPrEx>
                <w:tblLayout w:type="fixed"/>
                <w:tblCellMar>
                  <w:top w:w="0" w:type="dxa"/>
                  <w:left w:w="0" w:type="dxa"/>
                  <w:bottom w:w="0" w:type="dxa"/>
                  <w:right w:w="0" w:type="dxa"/>
                </w:tblCellMar>
              </w:tblPrEx>
              <w:trPr>
                <w:trHeight w:val="550" w:hRule="exact"/>
                <w:jc w:val="center"/>
              </w:trPr>
              <w:tc>
                <w:tcPr>
                  <w:tcW w:w="777" w:type="dxa"/>
                  <w:vMerge w:val="continue"/>
                  <w:tcBorders>
                    <w:left w:val="single" w:color="auto" w:sz="4" w:space="0"/>
                    <w:bottom w:val="single" w:color="auto" w:sz="4" w:space="0"/>
                  </w:tcBorders>
                  <w:shd w:val="clear" w:color="auto" w:fill="FFFFFF"/>
                </w:tcPr>
                <w:p>
                  <w:pPr>
                    <w:pStyle w:val="95"/>
                    <w:spacing w:line="240" w:lineRule="auto"/>
                    <w:ind w:firstLine="0"/>
                    <w:jc w:val="center"/>
                    <w:rPr>
                      <w:rStyle w:val="229"/>
                      <w:rFonts w:ascii="宋体" w:hAnsi="宋体" w:eastAsia="宋体"/>
                      <w:color w:val="000000" w:themeColor="text1"/>
                      <w:szCs w:val="21"/>
                      <w:lang w:eastAsia="zh-CN"/>
                    </w:rPr>
                  </w:pPr>
                </w:p>
              </w:tc>
              <w:tc>
                <w:tcPr>
                  <w:tcW w:w="1907" w:type="dxa"/>
                  <w:tcBorders>
                    <w:top w:val="single" w:color="auto" w:sz="4" w:space="0"/>
                    <w:left w:val="single" w:color="auto" w:sz="4" w:space="0"/>
                    <w:bottom w:val="single" w:color="auto" w:sz="4" w:space="0"/>
                  </w:tcBorders>
                  <w:shd w:val="clear" w:color="auto" w:fill="FFFFFF"/>
                  <w:vAlign w:val="center"/>
                </w:tcPr>
                <w:p>
                  <w:pPr>
                    <w:pStyle w:val="95"/>
                    <w:spacing w:line="320" w:lineRule="exact"/>
                    <w:ind w:firstLine="0"/>
                    <w:jc w:val="center"/>
                    <w:rPr>
                      <w:rStyle w:val="229"/>
                      <w:rFonts w:ascii="宋体" w:hAnsi="宋体" w:eastAsia="宋体"/>
                      <w:color w:val="000000" w:themeColor="text1"/>
                      <w:szCs w:val="21"/>
                    </w:rPr>
                  </w:pPr>
                  <w:r>
                    <w:rPr>
                      <w:rStyle w:val="229"/>
                      <w:rFonts w:hint="eastAsia" w:ascii="宋体" w:hAnsi="宋体" w:eastAsia="宋体"/>
                      <w:color w:val="000000" w:themeColor="text1"/>
                      <w:szCs w:val="21"/>
                    </w:rPr>
                    <w:t>沅水</w:t>
                  </w:r>
                </w:p>
              </w:tc>
              <w:tc>
                <w:tcPr>
                  <w:tcW w:w="1600" w:type="dxa"/>
                  <w:tcBorders>
                    <w:top w:val="single" w:color="auto" w:sz="4" w:space="0"/>
                    <w:left w:val="single" w:color="auto" w:sz="4" w:space="0"/>
                    <w:bottom w:val="single" w:color="auto" w:sz="4" w:space="0"/>
                  </w:tcBorders>
                  <w:shd w:val="clear" w:color="auto" w:fill="FFFFFF"/>
                  <w:vAlign w:val="center"/>
                </w:tcPr>
                <w:p>
                  <w:pPr>
                    <w:pStyle w:val="95"/>
                    <w:spacing w:line="320" w:lineRule="exact"/>
                    <w:ind w:firstLine="0"/>
                    <w:jc w:val="center"/>
                    <w:rPr>
                      <w:rFonts w:hAnsi="宋体"/>
                      <w:color w:val="000000" w:themeColor="text1"/>
                      <w:szCs w:val="21"/>
                    </w:rPr>
                  </w:pPr>
                  <w:r>
                    <w:rPr>
                      <w:rFonts w:hint="eastAsia" w:hAnsi="宋体"/>
                      <w:color w:val="000000" w:themeColor="text1"/>
                      <w:szCs w:val="21"/>
                    </w:rPr>
                    <w:t>S</w:t>
                  </w:r>
                  <w:r>
                    <w:rPr>
                      <w:rFonts w:hAnsi="宋体"/>
                      <w:color w:val="000000" w:themeColor="text1"/>
                      <w:szCs w:val="21"/>
                    </w:rPr>
                    <w:t>约</w:t>
                  </w:r>
                  <w:r>
                    <w:rPr>
                      <w:rFonts w:hint="eastAsia" w:hAnsi="宋体"/>
                      <w:color w:val="000000" w:themeColor="text1"/>
                      <w:szCs w:val="21"/>
                    </w:rPr>
                    <w:t>3000</w:t>
                  </w:r>
                  <w:r>
                    <w:rPr>
                      <w:rFonts w:hAnsi="宋体"/>
                      <w:color w:val="000000" w:themeColor="text1"/>
                      <w:szCs w:val="21"/>
                    </w:rPr>
                    <w:t>m</w:t>
                  </w:r>
                </w:p>
              </w:tc>
              <w:tc>
                <w:tcPr>
                  <w:tcW w:w="236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95"/>
                    <w:spacing w:line="320" w:lineRule="exact"/>
                    <w:ind w:firstLine="0"/>
                    <w:jc w:val="center"/>
                    <w:rPr>
                      <w:rFonts w:hAnsi="宋体"/>
                      <w:bCs/>
                      <w:color w:val="000000" w:themeColor="text1"/>
                    </w:rPr>
                  </w:pPr>
                  <w:r>
                    <w:rPr>
                      <w:rFonts w:hAnsi="宋体"/>
                      <w:bCs/>
                      <w:color w:val="000000" w:themeColor="text1"/>
                    </w:rPr>
                    <w:t>渔业用水</w:t>
                  </w:r>
                </w:p>
              </w:tc>
              <w:tc>
                <w:tcPr>
                  <w:tcW w:w="2443" w:type="dxa"/>
                  <w:vMerge w:val="continue"/>
                  <w:tcBorders>
                    <w:left w:val="single" w:color="auto" w:sz="4" w:space="0"/>
                    <w:bottom w:val="single" w:color="auto" w:sz="4" w:space="0"/>
                    <w:right w:val="single" w:color="auto" w:sz="4" w:space="0"/>
                  </w:tcBorders>
                  <w:shd w:val="clear" w:color="auto" w:fill="FFFFFF"/>
                  <w:vAlign w:val="center"/>
                </w:tcPr>
                <w:p>
                  <w:pPr>
                    <w:jc w:val="center"/>
                    <w:rPr>
                      <w:rFonts w:ascii="宋体" w:hAnsi="宋体"/>
                      <w:color w:val="000000" w:themeColor="text1"/>
                      <w:sz w:val="24"/>
                    </w:rPr>
                  </w:pPr>
                </w:p>
              </w:tc>
            </w:tr>
          </w:tbl>
          <w:p>
            <w:pPr>
              <w:spacing w:line="440" w:lineRule="exact"/>
              <w:rPr>
                <w:rFonts w:ascii="宋体" w:hAnsi="宋体"/>
                <w:b/>
                <w:color w:val="000000"/>
                <w:sz w:val="24"/>
                <w:szCs w:val="24"/>
              </w:rPr>
            </w:pPr>
          </w:p>
        </w:tc>
      </w:tr>
    </w:tbl>
    <w:p>
      <w:pPr>
        <w:pStyle w:val="2"/>
        <w:keepLines/>
        <w:pageBreakBefore/>
        <w:rPr>
          <w:rFonts w:ascii="宋体" w:hAnsi="宋体"/>
          <w:b/>
          <w:color w:val="000000"/>
          <w:kern w:val="44"/>
          <w:szCs w:val="28"/>
        </w:rPr>
      </w:pPr>
      <w:bookmarkStart w:id="8" w:name="_Toc295374655"/>
      <w:bookmarkStart w:id="9" w:name="_Toc509236302"/>
      <w:r>
        <w:rPr>
          <w:rFonts w:ascii="宋体" w:hAnsi="宋体"/>
          <w:b/>
          <w:color w:val="000000"/>
          <w:kern w:val="44"/>
          <w:szCs w:val="28"/>
        </w:rPr>
        <w:t>评价适用标准</w:t>
      </w:r>
      <w:bookmarkEnd w:id="8"/>
      <w:bookmarkEnd w:id="9"/>
    </w:p>
    <w:tbl>
      <w:tblPr>
        <w:tblStyle w:val="42"/>
        <w:tblW w:w="9287"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2"/>
        <w:gridCol w:w="88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303" w:hRule="atLeast"/>
          <w:jc w:val="center"/>
        </w:trPr>
        <w:tc>
          <w:tcPr>
            <w:tcW w:w="392" w:type="dxa"/>
            <w:vAlign w:val="center"/>
          </w:tcPr>
          <w:p>
            <w:pPr>
              <w:spacing w:line="360" w:lineRule="auto"/>
              <w:jc w:val="center"/>
              <w:rPr>
                <w:rFonts w:ascii="宋体" w:hAnsi="宋体"/>
                <w:b/>
                <w:bCs/>
                <w:color w:val="000000"/>
                <w:sz w:val="24"/>
              </w:rPr>
            </w:pPr>
            <w:r>
              <w:rPr>
                <w:rFonts w:hint="eastAsia" w:ascii="宋体" w:hAnsi="宋体"/>
                <w:b/>
                <w:bCs/>
                <w:color w:val="000000"/>
                <w:sz w:val="24"/>
              </w:rPr>
              <w:t>环</w:t>
            </w:r>
          </w:p>
          <w:p>
            <w:pPr>
              <w:spacing w:line="360" w:lineRule="auto"/>
              <w:jc w:val="center"/>
              <w:rPr>
                <w:rFonts w:ascii="宋体" w:hAnsi="宋体"/>
                <w:b/>
                <w:bCs/>
                <w:color w:val="000000"/>
                <w:sz w:val="24"/>
              </w:rPr>
            </w:pPr>
            <w:r>
              <w:rPr>
                <w:rFonts w:hint="eastAsia" w:ascii="宋体" w:hAnsi="宋体"/>
                <w:b/>
                <w:bCs/>
                <w:color w:val="000000"/>
                <w:sz w:val="24"/>
              </w:rPr>
              <w:t>境</w:t>
            </w:r>
          </w:p>
          <w:p>
            <w:pPr>
              <w:spacing w:line="360" w:lineRule="auto"/>
              <w:jc w:val="center"/>
              <w:rPr>
                <w:rFonts w:ascii="宋体" w:hAnsi="宋体"/>
                <w:b/>
                <w:bCs/>
                <w:color w:val="000000"/>
                <w:sz w:val="24"/>
              </w:rPr>
            </w:pPr>
            <w:r>
              <w:rPr>
                <w:rFonts w:hint="eastAsia" w:ascii="宋体" w:hAnsi="宋体"/>
                <w:b/>
                <w:bCs/>
                <w:color w:val="000000"/>
                <w:sz w:val="24"/>
              </w:rPr>
              <w:t>质</w:t>
            </w:r>
          </w:p>
          <w:p>
            <w:pPr>
              <w:spacing w:line="360" w:lineRule="auto"/>
              <w:jc w:val="center"/>
              <w:rPr>
                <w:rFonts w:ascii="宋体" w:hAnsi="宋体"/>
                <w:b/>
                <w:bCs/>
                <w:color w:val="000000"/>
                <w:sz w:val="24"/>
              </w:rPr>
            </w:pPr>
            <w:r>
              <w:rPr>
                <w:rFonts w:hint="eastAsia" w:ascii="宋体" w:hAnsi="宋体"/>
                <w:b/>
                <w:bCs/>
                <w:color w:val="000000"/>
                <w:sz w:val="24"/>
              </w:rPr>
              <w:t>量</w:t>
            </w:r>
          </w:p>
          <w:p>
            <w:pPr>
              <w:spacing w:line="360" w:lineRule="auto"/>
              <w:jc w:val="center"/>
              <w:rPr>
                <w:rFonts w:ascii="宋体" w:hAnsi="宋体"/>
                <w:b/>
                <w:bCs/>
                <w:color w:val="000000"/>
                <w:sz w:val="24"/>
              </w:rPr>
            </w:pPr>
            <w:r>
              <w:rPr>
                <w:rFonts w:hint="eastAsia" w:ascii="宋体" w:hAnsi="宋体"/>
                <w:b/>
                <w:bCs/>
                <w:color w:val="000000"/>
                <w:sz w:val="24"/>
              </w:rPr>
              <w:t>标</w:t>
            </w:r>
          </w:p>
          <w:p>
            <w:pPr>
              <w:spacing w:line="360" w:lineRule="exact"/>
              <w:jc w:val="center"/>
              <w:rPr>
                <w:rFonts w:ascii="宋体" w:hAnsi="宋体"/>
                <w:color w:val="000000"/>
                <w:sz w:val="24"/>
              </w:rPr>
            </w:pPr>
            <w:r>
              <w:rPr>
                <w:rFonts w:hint="eastAsia" w:ascii="宋体" w:hAnsi="宋体"/>
                <w:b/>
                <w:bCs/>
                <w:color w:val="000000"/>
                <w:sz w:val="24"/>
              </w:rPr>
              <w:t>准</w:t>
            </w:r>
          </w:p>
        </w:tc>
        <w:tc>
          <w:tcPr>
            <w:tcW w:w="8895" w:type="dxa"/>
            <w:vAlign w:val="center"/>
          </w:tcPr>
          <w:p>
            <w:pPr>
              <w:spacing w:line="560" w:lineRule="exact"/>
              <w:rPr>
                <w:rFonts w:ascii="宋体" w:hAnsi="宋体"/>
                <w:b/>
                <w:bCs/>
                <w:color w:val="000000"/>
                <w:szCs w:val="21"/>
              </w:rPr>
            </w:pPr>
            <w:r>
              <w:rPr>
                <w:rFonts w:hint="eastAsia" w:ascii="宋体" w:hAnsi="宋体"/>
                <w:color w:val="000000"/>
                <w:szCs w:val="21"/>
              </w:rPr>
              <w:t>（一）《环境空气质量标准》（</w:t>
            </w:r>
            <w:r>
              <w:rPr>
                <w:rFonts w:ascii="宋体" w:hAnsi="宋体"/>
                <w:color w:val="000000"/>
                <w:szCs w:val="21"/>
              </w:rPr>
              <w:t>GB3095-</w:t>
            </w:r>
            <w:r>
              <w:rPr>
                <w:rFonts w:hint="eastAsia" w:ascii="宋体" w:hAnsi="宋体"/>
                <w:color w:val="000000"/>
                <w:szCs w:val="21"/>
              </w:rPr>
              <w:t>2012）中二级标准。</w:t>
            </w:r>
          </w:p>
          <w:p>
            <w:pPr>
              <w:spacing w:line="400" w:lineRule="exact"/>
              <w:rPr>
                <w:rFonts w:ascii="宋体" w:hAnsi="宋体"/>
                <w:color w:val="000000"/>
                <w:szCs w:val="21"/>
              </w:rPr>
            </w:pPr>
            <w:r>
              <w:rPr>
                <w:rFonts w:hint="eastAsia" w:ascii="宋体" w:hAnsi="宋体"/>
                <w:color w:val="000000"/>
                <w:szCs w:val="21"/>
              </w:rPr>
              <w:t>（二）《表水环境质量标准》（</w:t>
            </w:r>
            <w:r>
              <w:rPr>
                <w:rFonts w:ascii="宋体" w:hAnsi="宋体"/>
                <w:color w:val="000000"/>
                <w:szCs w:val="21"/>
              </w:rPr>
              <w:t>GB3838-2002</w:t>
            </w:r>
            <w:r>
              <w:rPr>
                <w:rFonts w:hint="eastAsia" w:ascii="宋体" w:hAnsi="宋体"/>
                <w:color w:val="000000"/>
                <w:szCs w:val="21"/>
              </w:rPr>
              <w:t>）中Ⅲ类水质标准。</w:t>
            </w:r>
          </w:p>
          <w:p>
            <w:pPr>
              <w:spacing w:line="400" w:lineRule="exact"/>
              <w:rPr>
                <w:rFonts w:ascii="宋体" w:hAnsi="宋体"/>
                <w:color w:val="000000"/>
                <w:szCs w:val="21"/>
              </w:rPr>
            </w:pPr>
            <w:r>
              <w:rPr>
                <w:rFonts w:hint="eastAsia" w:ascii="宋体" w:hAnsi="宋体"/>
                <w:color w:val="000000"/>
                <w:szCs w:val="21"/>
              </w:rPr>
              <w:t>（三）《声环境质量标准》（</w:t>
            </w:r>
            <w:r>
              <w:rPr>
                <w:rFonts w:ascii="宋体" w:hAnsi="宋体"/>
                <w:color w:val="000000"/>
                <w:szCs w:val="21"/>
              </w:rPr>
              <w:t>GB3096-2008</w:t>
            </w:r>
            <w:r>
              <w:rPr>
                <w:rFonts w:hint="eastAsia" w:ascii="宋体" w:hAnsi="宋体"/>
                <w:color w:val="000000"/>
                <w:szCs w:val="21"/>
              </w:rPr>
              <w:t>）中2类、4a类标准。</w:t>
            </w:r>
          </w:p>
          <w:p>
            <w:pPr>
              <w:snapToGrid w:val="0"/>
              <w:spacing w:line="360" w:lineRule="auto"/>
              <w:rPr>
                <w:rFonts w:ascii="宋体" w:hAnsi="宋体"/>
                <w:color w:val="000000"/>
                <w:kern w:val="24"/>
                <w:sz w:val="24"/>
              </w:rPr>
            </w:pPr>
          </w:p>
          <w:p>
            <w:pPr>
              <w:snapToGrid w:val="0"/>
              <w:spacing w:line="360" w:lineRule="auto"/>
              <w:rPr>
                <w:rFonts w:ascii="宋体" w:hAnsi="宋体"/>
                <w:color w:val="000000"/>
                <w:kern w:val="24"/>
                <w:sz w:val="24"/>
              </w:rPr>
            </w:pPr>
          </w:p>
          <w:p>
            <w:pPr>
              <w:snapToGrid w:val="0"/>
              <w:spacing w:line="360" w:lineRule="auto"/>
              <w:rPr>
                <w:rFonts w:ascii="宋体" w:hAnsi="宋体"/>
                <w:color w:val="000000"/>
                <w:kern w:val="24"/>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387" w:hRule="atLeast"/>
          <w:jc w:val="center"/>
        </w:trPr>
        <w:tc>
          <w:tcPr>
            <w:tcW w:w="392" w:type="dxa"/>
            <w:vAlign w:val="center"/>
          </w:tcPr>
          <w:p>
            <w:pPr>
              <w:spacing w:line="360" w:lineRule="auto"/>
              <w:jc w:val="center"/>
              <w:rPr>
                <w:rFonts w:ascii="宋体" w:hAnsi="宋体"/>
                <w:b/>
                <w:bCs/>
                <w:color w:val="000000"/>
                <w:sz w:val="24"/>
              </w:rPr>
            </w:pPr>
            <w:r>
              <w:rPr>
                <w:rFonts w:hint="eastAsia" w:ascii="宋体" w:hAnsi="宋体"/>
                <w:b/>
                <w:bCs/>
                <w:color w:val="000000"/>
                <w:sz w:val="24"/>
              </w:rPr>
              <w:t>污</w:t>
            </w:r>
          </w:p>
          <w:p>
            <w:pPr>
              <w:spacing w:line="360" w:lineRule="auto"/>
              <w:jc w:val="center"/>
              <w:rPr>
                <w:rFonts w:ascii="宋体" w:hAnsi="宋体"/>
                <w:b/>
                <w:bCs/>
                <w:color w:val="000000"/>
                <w:sz w:val="24"/>
              </w:rPr>
            </w:pPr>
            <w:r>
              <w:rPr>
                <w:rFonts w:hint="eastAsia" w:ascii="宋体" w:hAnsi="宋体"/>
                <w:b/>
                <w:bCs/>
                <w:color w:val="000000"/>
                <w:sz w:val="24"/>
              </w:rPr>
              <w:t>染</w:t>
            </w:r>
          </w:p>
          <w:p>
            <w:pPr>
              <w:spacing w:line="360" w:lineRule="auto"/>
              <w:jc w:val="center"/>
              <w:rPr>
                <w:rFonts w:ascii="宋体" w:hAnsi="宋体"/>
                <w:b/>
                <w:bCs/>
                <w:color w:val="000000"/>
                <w:sz w:val="24"/>
              </w:rPr>
            </w:pPr>
            <w:r>
              <w:rPr>
                <w:rFonts w:hint="eastAsia" w:ascii="宋体" w:hAnsi="宋体"/>
                <w:b/>
                <w:bCs/>
                <w:color w:val="000000"/>
                <w:sz w:val="24"/>
              </w:rPr>
              <w:t>物</w:t>
            </w:r>
          </w:p>
          <w:p>
            <w:pPr>
              <w:spacing w:line="360" w:lineRule="auto"/>
              <w:jc w:val="center"/>
              <w:rPr>
                <w:rFonts w:ascii="宋体" w:hAnsi="宋体"/>
                <w:b/>
                <w:bCs/>
                <w:color w:val="000000"/>
                <w:sz w:val="24"/>
              </w:rPr>
            </w:pPr>
            <w:r>
              <w:rPr>
                <w:rFonts w:hint="eastAsia" w:ascii="宋体" w:hAnsi="宋体"/>
                <w:b/>
                <w:bCs/>
                <w:color w:val="000000"/>
                <w:sz w:val="24"/>
              </w:rPr>
              <w:t>排</w:t>
            </w:r>
          </w:p>
          <w:p>
            <w:pPr>
              <w:spacing w:line="360" w:lineRule="auto"/>
              <w:jc w:val="center"/>
              <w:rPr>
                <w:rFonts w:ascii="宋体" w:hAnsi="宋体"/>
                <w:b/>
                <w:bCs/>
                <w:color w:val="000000"/>
                <w:sz w:val="24"/>
              </w:rPr>
            </w:pPr>
            <w:r>
              <w:rPr>
                <w:rFonts w:hint="eastAsia" w:ascii="宋体" w:hAnsi="宋体"/>
                <w:b/>
                <w:bCs/>
                <w:color w:val="000000"/>
                <w:sz w:val="24"/>
              </w:rPr>
              <w:t>放</w:t>
            </w:r>
          </w:p>
          <w:p>
            <w:pPr>
              <w:spacing w:line="360" w:lineRule="auto"/>
              <w:jc w:val="center"/>
              <w:rPr>
                <w:rFonts w:ascii="宋体" w:hAnsi="宋体"/>
                <w:b/>
                <w:bCs/>
                <w:color w:val="000000"/>
                <w:sz w:val="24"/>
              </w:rPr>
            </w:pPr>
            <w:r>
              <w:rPr>
                <w:rFonts w:hint="eastAsia" w:ascii="宋体" w:hAnsi="宋体"/>
                <w:b/>
                <w:bCs/>
                <w:color w:val="000000"/>
                <w:sz w:val="24"/>
              </w:rPr>
              <w:t>标</w:t>
            </w:r>
          </w:p>
          <w:p>
            <w:pPr>
              <w:spacing w:line="360" w:lineRule="exact"/>
              <w:jc w:val="center"/>
              <w:rPr>
                <w:rFonts w:ascii="宋体" w:hAnsi="宋体"/>
                <w:color w:val="000000"/>
                <w:sz w:val="24"/>
              </w:rPr>
            </w:pPr>
            <w:r>
              <w:rPr>
                <w:rFonts w:hint="eastAsia" w:ascii="宋体" w:hAnsi="宋体"/>
                <w:b/>
                <w:bCs/>
                <w:color w:val="000000"/>
                <w:sz w:val="24"/>
              </w:rPr>
              <w:t>准</w:t>
            </w:r>
          </w:p>
        </w:tc>
        <w:tc>
          <w:tcPr>
            <w:tcW w:w="8895" w:type="dxa"/>
            <w:vAlign w:val="center"/>
          </w:tcPr>
          <w:p>
            <w:pPr>
              <w:spacing w:line="400" w:lineRule="atLeast"/>
              <w:rPr>
                <w:rFonts w:ascii="宋体" w:hAnsi="宋体"/>
                <w:color w:val="000000"/>
                <w:szCs w:val="21"/>
              </w:rPr>
            </w:pPr>
            <w:r>
              <w:rPr>
                <w:rFonts w:hint="eastAsia" w:ascii="宋体" w:hAnsi="宋体"/>
                <w:color w:val="000000"/>
                <w:szCs w:val="21"/>
              </w:rPr>
              <w:t>（一）废水未纳入城市污水处理厂前执行《污水综合排放标准》（GB8978-1996）中表4之一级标准，进入城市污水处理厂后执行《污水综合排放标准》（GB8978-1996）中表4之三级标准。</w:t>
            </w:r>
          </w:p>
          <w:p>
            <w:pPr>
              <w:spacing w:line="400" w:lineRule="atLeast"/>
              <w:rPr>
                <w:rFonts w:ascii="宋体" w:hAnsi="宋体"/>
                <w:color w:val="000000"/>
                <w:szCs w:val="21"/>
              </w:rPr>
            </w:pPr>
            <w:r>
              <w:rPr>
                <w:rFonts w:hint="eastAsia" w:ascii="宋体" w:hAnsi="宋体"/>
                <w:color w:val="000000"/>
                <w:szCs w:val="21"/>
              </w:rPr>
              <w:t>（二）施工期废气执行《大气污染物综合排放标准》（GB16297-1996）中表2之二级标准及无组织监控浓度限值；餐饮油烟执行《</w:t>
            </w:r>
            <w:r>
              <w:rPr>
                <w:rFonts w:ascii="宋体" w:hAnsi="宋体"/>
                <w:color w:val="000000"/>
                <w:szCs w:val="21"/>
              </w:rPr>
              <w:t>饮食业油烟排放标准（试行）</w:t>
            </w:r>
            <w:r>
              <w:rPr>
                <w:rFonts w:hint="eastAsia" w:ascii="宋体" w:hAnsi="宋体"/>
                <w:color w:val="000000"/>
                <w:szCs w:val="21"/>
              </w:rPr>
              <w:t>》（</w:t>
            </w:r>
            <w:r>
              <w:rPr>
                <w:rFonts w:ascii="宋体" w:hAnsi="宋体"/>
                <w:color w:val="000000"/>
                <w:szCs w:val="21"/>
              </w:rPr>
              <w:t>GB18483-2001</w:t>
            </w:r>
            <w:r>
              <w:rPr>
                <w:rFonts w:hint="eastAsia" w:ascii="宋体" w:hAnsi="宋体"/>
                <w:color w:val="000000"/>
                <w:szCs w:val="21"/>
              </w:rPr>
              <w:t>）中表2标准；建筑工程和装修材料污染控制执行《民用建筑工程室内环境污染控制规范》(GB50325-2010)中</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1 \* ROMAN</w:instrText>
            </w:r>
            <w:r>
              <w:rPr>
                <w:rFonts w:ascii="宋体" w:hAnsi="宋体"/>
                <w:color w:val="000000"/>
                <w:szCs w:val="21"/>
              </w:rPr>
              <w:instrText xml:space="preserve"> </w:instrText>
            </w:r>
            <w:r>
              <w:rPr>
                <w:rFonts w:ascii="宋体" w:hAnsi="宋体"/>
                <w:color w:val="000000"/>
                <w:szCs w:val="21"/>
              </w:rPr>
              <w:fldChar w:fldCharType="separate"/>
            </w:r>
            <w:r>
              <w:rPr>
                <w:rFonts w:ascii="宋体" w:hAnsi="宋体"/>
                <w:color w:val="000000"/>
                <w:szCs w:val="21"/>
              </w:rPr>
              <w:t>I</w:t>
            </w:r>
            <w:r>
              <w:rPr>
                <w:rFonts w:ascii="宋体" w:hAnsi="宋体"/>
                <w:color w:val="000000"/>
                <w:szCs w:val="21"/>
              </w:rPr>
              <w:fldChar w:fldCharType="end"/>
            </w:r>
            <w:r>
              <w:rPr>
                <w:rFonts w:hint="eastAsia" w:ascii="宋体" w:hAnsi="宋体"/>
                <w:color w:val="000000"/>
                <w:szCs w:val="21"/>
              </w:rPr>
              <w:t>类标准；地下车库内CO、NO2参考执行《工作场所有害因素职业接触限制》（GBZ21-2007</w:t>
            </w:r>
            <w:r>
              <w:rPr>
                <w:rFonts w:ascii="宋体" w:hAnsi="宋体"/>
                <w:color w:val="000000"/>
                <w:szCs w:val="21"/>
              </w:rPr>
              <w:t>）</w:t>
            </w:r>
            <w:r>
              <w:rPr>
                <w:rFonts w:hint="eastAsia" w:ascii="宋体" w:hAnsi="宋体"/>
                <w:color w:val="000000"/>
                <w:szCs w:val="21"/>
              </w:rPr>
              <w:t>中有害物质短时间（15min）接触容许浓度限值。燃气锅炉执行</w:t>
            </w:r>
            <w:r>
              <w:rPr>
                <w:rFonts w:hint="eastAsia" w:ascii="宋体" w:hAnsi="宋体"/>
                <w:color w:val="000000" w:themeColor="text1"/>
                <w:spacing w:val="-12"/>
                <w:szCs w:val="21"/>
              </w:rPr>
              <w:t>《锅炉大气污染物排放</w:t>
            </w:r>
            <w:r>
              <w:rPr>
                <w:rFonts w:ascii="宋体" w:hAnsi="宋体"/>
                <w:color w:val="000000" w:themeColor="text1"/>
                <w:spacing w:val="-12"/>
                <w:szCs w:val="21"/>
              </w:rPr>
              <w:t>标准》（GB</w:t>
            </w:r>
            <w:r>
              <w:rPr>
                <w:rFonts w:hint="eastAsia" w:ascii="宋体" w:hAnsi="宋体"/>
                <w:color w:val="000000" w:themeColor="text1"/>
                <w:spacing w:val="-12"/>
                <w:szCs w:val="21"/>
              </w:rPr>
              <w:t>13271</w:t>
            </w:r>
            <w:r>
              <w:rPr>
                <w:rFonts w:ascii="宋体" w:hAnsi="宋体"/>
                <w:color w:val="000000" w:themeColor="text1"/>
                <w:spacing w:val="-12"/>
                <w:szCs w:val="21"/>
              </w:rPr>
              <w:t>-</w:t>
            </w:r>
            <w:r>
              <w:rPr>
                <w:rFonts w:hint="eastAsia" w:ascii="宋体" w:hAnsi="宋体"/>
                <w:color w:val="000000" w:themeColor="text1"/>
                <w:spacing w:val="-12"/>
                <w:szCs w:val="21"/>
              </w:rPr>
              <w:t>2014</w:t>
            </w:r>
            <w:r>
              <w:rPr>
                <w:rFonts w:ascii="宋体" w:hAnsi="宋体"/>
                <w:color w:val="000000" w:themeColor="text1"/>
                <w:spacing w:val="-12"/>
                <w:szCs w:val="21"/>
              </w:rPr>
              <w:t>）中</w:t>
            </w:r>
            <w:r>
              <w:rPr>
                <w:rFonts w:hint="eastAsia" w:ascii="宋体" w:hAnsi="宋体"/>
                <w:color w:val="000000" w:themeColor="text1"/>
                <w:spacing w:val="-12"/>
                <w:szCs w:val="21"/>
              </w:rPr>
              <w:t>表2燃气锅炉的</w:t>
            </w:r>
            <w:r>
              <w:rPr>
                <w:rFonts w:ascii="宋体" w:hAnsi="宋体"/>
                <w:color w:val="000000" w:themeColor="text1"/>
                <w:spacing w:val="-12"/>
                <w:szCs w:val="21"/>
              </w:rPr>
              <w:t>标准</w:t>
            </w:r>
            <w:r>
              <w:rPr>
                <w:rFonts w:hint="eastAsia" w:ascii="宋体" w:hAnsi="宋体"/>
                <w:color w:val="000000" w:themeColor="text1"/>
                <w:spacing w:val="-12"/>
                <w:szCs w:val="21"/>
              </w:rPr>
              <w:t>要求。</w:t>
            </w:r>
          </w:p>
          <w:p>
            <w:pPr>
              <w:spacing w:line="400" w:lineRule="atLeast"/>
              <w:rPr>
                <w:rFonts w:ascii="宋体" w:hAnsi="宋体"/>
                <w:color w:val="000000" w:themeColor="text1"/>
                <w:szCs w:val="21"/>
              </w:rPr>
            </w:pPr>
            <w:r>
              <w:rPr>
                <w:rFonts w:hint="eastAsia" w:ascii="宋体" w:hAnsi="宋体"/>
                <w:color w:val="000000"/>
                <w:szCs w:val="21"/>
              </w:rPr>
              <w:t>（三）施工期噪声执行《建筑施工场界环境噪声排放标准》（GB12523-2011）规定标准；营运期场界噪声执行《工业企业厂界环境噪声排放标准》（GB12348-2008</w:t>
            </w:r>
            <w:r>
              <w:rPr>
                <w:rFonts w:hint="eastAsia" w:ascii="宋体" w:hAnsi="宋体"/>
                <w:color w:val="0070C0"/>
                <w:szCs w:val="21"/>
              </w:rPr>
              <w:t>）</w:t>
            </w:r>
            <w:r>
              <w:rPr>
                <w:rFonts w:hint="eastAsia" w:ascii="宋体" w:hAnsi="宋体"/>
                <w:color w:val="000000" w:themeColor="text1"/>
                <w:szCs w:val="21"/>
              </w:rPr>
              <w:t>中2类、4a</w:t>
            </w:r>
            <w:r>
              <w:rPr>
                <w:rFonts w:hint="eastAsia" w:ascii="宋体" w:hAnsi="宋体" w:cs="宋体"/>
                <w:color w:val="000000" w:themeColor="text1"/>
                <w:szCs w:val="21"/>
              </w:rPr>
              <w:t>类</w:t>
            </w:r>
            <w:r>
              <w:rPr>
                <w:rFonts w:hint="eastAsia" w:ascii="宋体" w:hAnsi="宋体"/>
                <w:color w:val="000000" w:themeColor="text1"/>
                <w:szCs w:val="21"/>
              </w:rPr>
              <w:t>标准。</w:t>
            </w:r>
            <w:r>
              <w:rPr>
                <w:rFonts w:ascii="宋体" w:hAnsi="宋体"/>
                <w:color w:val="000000" w:themeColor="text1"/>
                <w:szCs w:val="21"/>
              </w:rPr>
              <w:t>表</w:t>
            </w:r>
            <w:r>
              <w:rPr>
                <w:rFonts w:hint="eastAsia" w:ascii="宋体" w:hAnsi="宋体"/>
                <w:color w:val="000000" w:themeColor="text1"/>
                <w:szCs w:val="21"/>
              </w:rPr>
              <w:t>15</w:t>
            </w:r>
            <w:r>
              <w:rPr>
                <w:rFonts w:ascii="宋体" w:hAnsi="宋体"/>
                <w:color w:val="000000" w:themeColor="text1"/>
                <w:szCs w:val="21"/>
              </w:rPr>
              <w:t xml:space="preserve"> </w:t>
            </w:r>
            <w:r>
              <w:rPr>
                <w:rFonts w:ascii="宋体" w:hAnsi="宋体"/>
                <w:bCs/>
                <w:color w:val="000000" w:themeColor="text1"/>
                <w:spacing w:val="4"/>
                <w:szCs w:val="21"/>
              </w:rPr>
              <w:t>建筑施工场界</w:t>
            </w:r>
            <w:r>
              <w:rPr>
                <w:rFonts w:hint="eastAsia" w:ascii="宋体" w:hAnsi="宋体"/>
                <w:bCs/>
                <w:color w:val="000000" w:themeColor="text1"/>
                <w:spacing w:val="4"/>
                <w:szCs w:val="21"/>
              </w:rPr>
              <w:t>环境</w:t>
            </w:r>
            <w:r>
              <w:rPr>
                <w:rFonts w:ascii="宋体" w:hAnsi="宋体"/>
                <w:bCs/>
                <w:color w:val="000000" w:themeColor="text1"/>
                <w:spacing w:val="4"/>
                <w:szCs w:val="21"/>
              </w:rPr>
              <w:t>噪声</w:t>
            </w:r>
            <w:r>
              <w:rPr>
                <w:rFonts w:hint="eastAsia" w:ascii="宋体" w:hAnsi="宋体"/>
                <w:bCs/>
                <w:color w:val="000000" w:themeColor="text1"/>
                <w:spacing w:val="4"/>
                <w:szCs w:val="21"/>
              </w:rPr>
              <w:t>排放标准</w:t>
            </w:r>
            <w:r>
              <w:rPr>
                <w:rFonts w:ascii="宋体" w:hAnsi="宋体"/>
                <w:bCs/>
                <w:color w:val="000000" w:themeColor="text1"/>
                <w:szCs w:val="21"/>
              </w:rPr>
              <w:t>(GB12523-2011)</w:t>
            </w:r>
          </w:p>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jc w:val="center"/>
        </w:trPr>
        <w:tc>
          <w:tcPr>
            <w:tcW w:w="392" w:type="dxa"/>
            <w:vAlign w:val="center"/>
          </w:tcPr>
          <w:p>
            <w:pPr>
              <w:spacing w:line="360" w:lineRule="auto"/>
              <w:jc w:val="center"/>
              <w:rPr>
                <w:rFonts w:ascii="宋体" w:hAnsi="宋体"/>
                <w:b/>
                <w:bCs/>
                <w:color w:val="000000"/>
                <w:sz w:val="24"/>
              </w:rPr>
            </w:pPr>
            <w:r>
              <w:rPr>
                <w:rFonts w:hint="eastAsia" w:ascii="宋体" w:hAnsi="宋体"/>
                <w:b/>
                <w:bCs/>
                <w:color w:val="000000"/>
                <w:sz w:val="24"/>
              </w:rPr>
              <w:t>总</w:t>
            </w:r>
          </w:p>
          <w:p>
            <w:pPr>
              <w:spacing w:line="360" w:lineRule="auto"/>
              <w:jc w:val="center"/>
              <w:rPr>
                <w:rFonts w:ascii="宋体" w:hAnsi="宋体"/>
                <w:b/>
                <w:bCs/>
                <w:color w:val="000000"/>
                <w:sz w:val="24"/>
              </w:rPr>
            </w:pPr>
            <w:r>
              <w:rPr>
                <w:rFonts w:hint="eastAsia" w:ascii="宋体" w:hAnsi="宋体"/>
                <w:b/>
                <w:bCs/>
                <w:color w:val="000000"/>
                <w:sz w:val="24"/>
              </w:rPr>
              <w:t>量</w:t>
            </w:r>
          </w:p>
          <w:p>
            <w:pPr>
              <w:spacing w:line="360" w:lineRule="auto"/>
              <w:jc w:val="center"/>
              <w:rPr>
                <w:rFonts w:ascii="宋体" w:hAnsi="宋体"/>
                <w:b/>
                <w:bCs/>
                <w:color w:val="000000"/>
                <w:sz w:val="24"/>
              </w:rPr>
            </w:pPr>
            <w:r>
              <w:rPr>
                <w:rFonts w:hint="eastAsia" w:ascii="宋体" w:hAnsi="宋体"/>
                <w:b/>
                <w:bCs/>
                <w:color w:val="000000"/>
                <w:sz w:val="24"/>
              </w:rPr>
              <w:t>控</w:t>
            </w:r>
          </w:p>
          <w:p>
            <w:pPr>
              <w:spacing w:line="360" w:lineRule="auto"/>
              <w:jc w:val="center"/>
              <w:rPr>
                <w:rFonts w:ascii="宋体" w:hAnsi="宋体"/>
                <w:b/>
                <w:bCs/>
                <w:color w:val="000000"/>
                <w:sz w:val="24"/>
              </w:rPr>
            </w:pPr>
            <w:r>
              <w:rPr>
                <w:rFonts w:hint="eastAsia" w:ascii="宋体" w:hAnsi="宋体"/>
                <w:b/>
                <w:bCs/>
                <w:color w:val="000000"/>
                <w:sz w:val="24"/>
              </w:rPr>
              <w:t>制</w:t>
            </w:r>
          </w:p>
          <w:p>
            <w:pPr>
              <w:spacing w:line="360" w:lineRule="auto"/>
              <w:jc w:val="center"/>
              <w:rPr>
                <w:rFonts w:ascii="宋体" w:hAnsi="宋体"/>
                <w:b/>
                <w:bCs/>
                <w:color w:val="000000"/>
                <w:sz w:val="24"/>
              </w:rPr>
            </w:pPr>
            <w:r>
              <w:rPr>
                <w:rFonts w:hint="eastAsia" w:ascii="宋体" w:hAnsi="宋体"/>
                <w:b/>
                <w:bCs/>
                <w:color w:val="000000"/>
                <w:sz w:val="24"/>
              </w:rPr>
              <w:t>指</w:t>
            </w:r>
          </w:p>
          <w:p>
            <w:pPr>
              <w:spacing w:line="360" w:lineRule="exact"/>
              <w:rPr>
                <w:rFonts w:ascii="宋体" w:hAnsi="宋体"/>
                <w:color w:val="000000"/>
                <w:sz w:val="24"/>
              </w:rPr>
            </w:pPr>
            <w:r>
              <w:rPr>
                <w:rFonts w:hint="eastAsia" w:ascii="宋体" w:hAnsi="宋体"/>
                <w:b/>
                <w:bCs/>
                <w:color w:val="000000"/>
                <w:sz w:val="24"/>
              </w:rPr>
              <w:t>标</w:t>
            </w:r>
          </w:p>
        </w:tc>
        <w:tc>
          <w:tcPr>
            <w:tcW w:w="8895" w:type="dxa"/>
            <w:vAlign w:val="center"/>
          </w:tcPr>
          <w:p>
            <w:pPr>
              <w:spacing w:line="360" w:lineRule="exact"/>
              <w:rPr>
                <w:rFonts w:ascii="宋体" w:hAnsi="宋体"/>
                <w:color w:val="000000" w:themeColor="text1"/>
                <w:szCs w:val="21"/>
              </w:rPr>
            </w:pPr>
            <w:r>
              <w:rPr>
                <w:rFonts w:hint="eastAsia" w:ascii="宋体" w:hAnsi="宋体"/>
                <w:color w:val="000000"/>
                <w:szCs w:val="21"/>
              </w:rPr>
              <w:t xml:space="preserve"> “十三五”国家总量控制指标为二氧化硫（SO</w:t>
            </w:r>
            <w:r>
              <w:rPr>
                <w:rFonts w:hint="eastAsia" w:ascii="宋体" w:hAnsi="宋体"/>
                <w:color w:val="000000"/>
                <w:szCs w:val="21"/>
                <w:vertAlign w:val="subscript"/>
              </w:rPr>
              <w:t>2</w:t>
            </w:r>
            <w:r>
              <w:rPr>
                <w:rFonts w:hint="eastAsia" w:ascii="宋体" w:hAnsi="宋体"/>
                <w:color w:val="000000"/>
                <w:szCs w:val="21"/>
              </w:rPr>
              <w:t>）、化学需氧量（CODcr）、氨氮（NH</w:t>
            </w:r>
            <w:r>
              <w:rPr>
                <w:rFonts w:hint="eastAsia" w:ascii="宋体" w:hAnsi="宋体"/>
                <w:color w:val="000000"/>
                <w:szCs w:val="21"/>
                <w:vertAlign w:val="subscript"/>
              </w:rPr>
              <w:t>3</w:t>
            </w:r>
            <w:r>
              <w:rPr>
                <w:rFonts w:hint="eastAsia" w:ascii="宋体" w:hAnsi="宋体"/>
                <w:color w:val="000000"/>
                <w:szCs w:val="21"/>
              </w:rPr>
              <w:t>-N）和氮氧化物（NO</w:t>
            </w:r>
            <w:r>
              <w:rPr>
                <w:rFonts w:hint="eastAsia" w:ascii="宋体" w:hAnsi="宋体"/>
                <w:color w:val="000000"/>
                <w:szCs w:val="21"/>
                <w:vertAlign w:val="subscript"/>
              </w:rPr>
              <w:t>X</w:t>
            </w:r>
            <w:r>
              <w:rPr>
                <w:rFonts w:hint="eastAsia" w:ascii="宋体" w:hAnsi="宋体"/>
                <w:color w:val="000000"/>
                <w:szCs w:val="21"/>
              </w:rPr>
              <w:t>）。本项目外排污染物属于国家总量控制指标范围内的污染物,主要为废水中的二氧化硫（SO</w:t>
            </w:r>
            <w:r>
              <w:rPr>
                <w:rFonts w:hint="eastAsia" w:ascii="宋体" w:hAnsi="宋体"/>
                <w:color w:val="000000"/>
                <w:szCs w:val="21"/>
                <w:vertAlign w:val="subscript"/>
              </w:rPr>
              <w:t>2</w:t>
            </w:r>
            <w:r>
              <w:rPr>
                <w:rFonts w:hint="eastAsia" w:ascii="宋体" w:hAnsi="宋体"/>
                <w:color w:val="000000"/>
                <w:szCs w:val="21"/>
              </w:rPr>
              <w:t>）、化学需氧量（CODcr）、氨氮（NH</w:t>
            </w:r>
            <w:r>
              <w:rPr>
                <w:rFonts w:hint="eastAsia" w:ascii="宋体" w:hAnsi="宋体"/>
                <w:color w:val="000000"/>
                <w:szCs w:val="21"/>
                <w:vertAlign w:val="subscript"/>
              </w:rPr>
              <w:t>3</w:t>
            </w:r>
            <w:r>
              <w:rPr>
                <w:rFonts w:hint="eastAsia" w:ascii="宋体" w:hAnsi="宋体"/>
                <w:color w:val="000000"/>
                <w:szCs w:val="21"/>
              </w:rPr>
              <w:t>-N）和氮氧化物（NO</w:t>
            </w:r>
            <w:r>
              <w:rPr>
                <w:rFonts w:hint="eastAsia" w:ascii="宋体" w:hAnsi="宋体"/>
                <w:color w:val="000000"/>
                <w:szCs w:val="21"/>
                <w:vertAlign w:val="subscript"/>
              </w:rPr>
              <w:t>X</w:t>
            </w:r>
            <w:r>
              <w:rPr>
                <w:rFonts w:hint="eastAsia" w:ascii="宋体" w:hAnsi="宋体"/>
                <w:color w:val="000000"/>
                <w:szCs w:val="21"/>
              </w:rPr>
              <w:t>）。本报告推荐的总量控制值详</w:t>
            </w:r>
            <w:r>
              <w:rPr>
                <w:rFonts w:hint="eastAsia" w:ascii="宋体" w:hAnsi="宋体"/>
                <w:color w:val="000000" w:themeColor="text1"/>
                <w:szCs w:val="21"/>
              </w:rPr>
              <w:t>见表8。</w:t>
            </w:r>
            <w:r>
              <w:rPr>
                <w:rFonts w:ascii="宋体" w:hAnsi="宋体"/>
                <w:color w:val="000000" w:themeColor="text1"/>
                <w:szCs w:val="21"/>
              </w:rPr>
              <w:tab/>
            </w:r>
          </w:p>
          <w:p>
            <w:pPr>
              <w:spacing w:line="480" w:lineRule="exact"/>
              <w:ind w:firstLine="1955" w:firstLineChars="931"/>
              <w:rPr>
                <w:rFonts w:ascii="宋体" w:hAnsi="宋体"/>
                <w:color w:val="000000"/>
                <w:szCs w:val="21"/>
              </w:rPr>
            </w:pPr>
            <w:r>
              <w:rPr>
                <w:rFonts w:hint="eastAsia" w:ascii="宋体" w:hAnsi="宋体"/>
                <w:color w:val="000000" w:themeColor="text1"/>
                <w:szCs w:val="21"/>
              </w:rPr>
              <w:t xml:space="preserve">表8 </w:t>
            </w:r>
            <w:r>
              <w:rPr>
                <w:rFonts w:hint="eastAsia" w:ascii="宋体" w:hAnsi="宋体"/>
                <w:color w:val="0070C0"/>
                <w:szCs w:val="21"/>
              </w:rPr>
              <w:t xml:space="preserve">   </w:t>
            </w:r>
            <w:r>
              <w:rPr>
                <w:rFonts w:hint="eastAsia" w:ascii="宋体" w:hAnsi="宋体"/>
                <w:color w:val="000000"/>
                <w:szCs w:val="21"/>
              </w:rPr>
              <w:t xml:space="preserve">    本项目污染物总量控制值</w:t>
            </w:r>
          </w:p>
          <w:tbl>
            <w:tblPr>
              <w:tblStyle w:val="42"/>
              <w:tblW w:w="7737"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629"/>
              <w:gridCol w:w="1276"/>
              <w:gridCol w:w="1417"/>
              <w:gridCol w:w="1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trPr>
              <w:tc>
                <w:tcPr>
                  <w:tcW w:w="1980" w:type="dxa"/>
                  <w:vMerge w:val="restart"/>
                  <w:vAlign w:val="center"/>
                </w:tcPr>
                <w:p>
                  <w:pPr>
                    <w:spacing w:line="400" w:lineRule="exact"/>
                    <w:jc w:val="center"/>
                    <w:rPr>
                      <w:rFonts w:ascii="宋体" w:hAnsi="宋体"/>
                      <w:color w:val="000000"/>
                      <w:szCs w:val="21"/>
                    </w:rPr>
                  </w:pPr>
                  <w:r>
                    <w:rPr>
                      <w:rFonts w:hint="eastAsia" w:ascii="宋体" w:hAnsi="宋体"/>
                      <w:color w:val="000000"/>
                      <w:szCs w:val="21"/>
                    </w:rPr>
                    <w:t>污染因子</w:t>
                  </w:r>
                </w:p>
              </w:tc>
              <w:tc>
                <w:tcPr>
                  <w:tcW w:w="5757" w:type="dxa"/>
                  <w:gridSpan w:val="4"/>
                  <w:vAlign w:val="center"/>
                </w:tcPr>
                <w:p>
                  <w:pPr>
                    <w:spacing w:line="400" w:lineRule="exact"/>
                    <w:jc w:val="center"/>
                    <w:rPr>
                      <w:rFonts w:ascii="宋体" w:hAnsi="宋体"/>
                      <w:color w:val="000000"/>
                      <w:szCs w:val="21"/>
                    </w:rPr>
                  </w:pPr>
                  <w:r>
                    <w:rPr>
                      <w:rFonts w:hint="eastAsia" w:ascii="宋体" w:hAnsi="宋体"/>
                      <w:color w:val="000000"/>
                      <w:szCs w:val="21"/>
                    </w:rPr>
                    <w:t>水污染物（t/a）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 w:hRule="atLeast"/>
              </w:trPr>
              <w:tc>
                <w:tcPr>
                  <w:tcW w:w="1980" w:type="dxa"/>
                  <w:vMerge w:val="continue"/>
                  <w:vAlign w:val="center"/>
                </w:tcPr>
                <w:p>
                  <w:pPr>
                    <w:spacing w:line="400" w:lineRule="exact"/>
                    <w:jc w:val="center"/>
                    <w:rPr>
                      <w:rFonts w:ascii="宋体" w:hAnsi="宋体"/>
                      <w:color w:val="000000"/>
                      <w:szCs w:val="21"/>
                    </w:rPr>
                  </w:pPr>
                </w:p>
              </w:tc>
              <w:tc>
                <w:tcPr>
                  <w:tcW w:w="1629" w:type="dxa"/>
                  <w:vAlign w:val="center"/>
                </w:tcPr>
                <w:p>
                  <w:pPr>
                    <w:spacing w:line="400" w:lineRule="exact"/>
                    <w:jc w:val="center"/>
                    <w:rPr>
                      <w:rFonts w:ascii="宋体" w:hAnsi="宋体"/>
                      <w:color w:val="000000"/>
                      <w:szCs w:val="21"/>
                    </w:rPr>
                  </w:pPr>
                  <w:r>
                    <w:rPr>
                      <w:rFonts w:hint="eastAsia" w:ascii="宋体" w:hAnsi="宋体"/>
                      <w:color w:val="000000"/>
                      <w:szCs w:val="21"/>
                    </w:rPr>
                    <w:t>SO</w:t>
                  </w:r>
                  <w:r>
                    <w:rPr>
                      <w:rFonts w:hint="eastAsia" w:ascii="宋体" w:hAnsi="宋体"/>
                      <w:color w:val="000000"/>
                      <w:szCs w:val="21"/>
                      <w:vertAlign w:val="subscript"/>
                    </w:rPr>
                    <w:t>2</w:t>
                  </w:r>
                </w:p>
              </w:tc>
              <w:tc>
                <w:tcPr>
                  <w:tcW w:w="1276" w:type="dxa"/>
                  <w:vAlign w:val="center"/>
                </w:tcPr>
                <w:p>
                  <w:pPr>
                    <w:spacing w:line="400" w:lineRule="exact"/>
                    <w:jc w:val="center"/>
                    <w:rPr>
                      <w:rFonts w:ascii="宋体" w:hAnsi="宋体"/>
                      <w:color w:val="000000"/>
                      <w:szCs w:val="21"/>
                    </w:rPr>
                  </w:pPr>
                  <w:r>
                    <w:rPr>
                      <w:rFonts w:hint="eastAsia" w:ascii="宋体" w:hAnsi="宋体"/>
                      <w:color w:val="000000"/>
                      <w:szCs w:val="21"/>
                    </w:rPr>
                    <w:t>NO</w:t>
                  </w:r>
                  <w:r>
                    <w:rPr>
                      <w:rFonts w:hint="eastAsia" w:ascii="宋体" w:hAnsi="宋体"/>
                      <w:color w:val="000000"/>
                      <w:szCs w:val="21"/>
                      <w:vertAlign w:val="subscript"/>
                    </w:rPr>
                    <w:t>X</w:t>
                  </w:r>
                </w:p>
              </w:tc>
              <w:tc>
                <w:tcPr>
                  <w:tcW w:w="1417" w:type="dxa"/>
                  <w:vAlign w:val="center"/>
                </w:tcPr>
                <w:p>
                  <w:pPr>
                    <w:spacing w:line="400" w:lineRule="exact"/>
                    <w:ind w:left="186"/>
                    <w:jc w:val="center"/>
                    <w:rPr>
                      <w:rFonts w:ascii="宋体" w:hAnsi="宋体"/>
                      <w:color w:val="000000"/>
                      <w:szCs w:val="21"/>
                    </w:rPr>
                  </w:pPr>
                  <w:r>
                    <w:rPr>
                      <w:rFonts w:hint="eastAsia" w:ascii="宋体" w:hAnsi="宋体"/>
                      <w:color w:val="000000"/>
                      <w:szCs w:val="21"/>
                    </w:rPr>
                    <w:t>COD</w:t>
                  </w:r>
                  <w:r>
                    <w:rPr>
                      <w:rFonts w:hint="eastAsia" w:ascii="宋体" w:hAnsi="宋体"/>
                      <w:color w:val="000000"/>
                      <w:szCs w:val="21"/>
                      <w:vertAlign w:val="subscript"/>
                    </w:rPr>
                    <w:t>Cr</w:t>
                  </w:r>
                </w:p>
              </w:tc>
              <w:tc>
                <w:tcPr>
                  <w:tcW w:w="1435" w:type="dxa"/>
                  <w:vAlign w:val="center"/>
                </w:tcPr>
                <w:p>
                  <w:pPr>
                    <w:spacing w:line="400" w:lineRule="exact"/>
                    <w:jc w:val="center"/>
                    <w:rPr>
                      <w:rFonts w:ascii="宋体" w:hAnsi="宋体"/>
                      <w:color w:val="000000"/>
                      <w:szCs w:val="21"/>
                    </w:rPr>
                  </w:pPr>
                  <w:r>
                    <w:rPr>
                      <w:rFonts w:ascii="宋体" w:hAnsi="宋体"/>
                      <w:color w:val="000000"/>
                      <w:szCs w:val="21"/>
                    </w:rPr>
                    <w:t>NH</w:t>
                  </w:r>
                  <w:r>
                    <w:rPr>
                      <w:rFonts w:ascii="宋体" w:hAnsi="宋体"/>
                      <w:color w:val="000000"/>
                      <w:szCs w:val="21"/>
                      <w:vertAlign w:val="subscript"/>
                    </w:rPr>
                    <w:t>3</w:t>
                  </w:r>
                  <w:r>
                    <w:rPr>
                      <w:rFonts w:ascii="宋体" w:hAnsi="宋体"/>
                      <w:color w:val="000000"/>
                      <w:szCs w:val="21"/>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atLeast"/>
              </w:trPr>
              <w:tc>
                <w:tcPr>
                  <w:tcW w:w="1980" w:type="dxa"/>
                  <w:vAlign w:val="center"/>
                </w:tcPr>
                <w:p>
                  <w:pPr>
                    <w:spacing w:line="400" w:lineRule="exact"/>
                    <w:jc w:val="center"/>
                    <w:rPr>
                      <w:rFonts w:ascii="宋体" w:hAnsi="宋体"/>
                      <w:color w:val="000000"/>
                      <w:szCs w:val="21"/>
                    </w:rPr>
                  </w:pPr>
                  <w:r>
                    <w:rPr>
                      <w:rFonts w:hint="eastAsia" w:ascii="宋体" w:hAnsi="宋体"/>
                      <w:color w:val="000000"/>
                      <w:szCs w:val="21"/>
                    </w:rPr>
                    <w:t>排放量</w:t>
                  </w:r>
                </w:p>
              </w:tc>
              <w:tc>
                <w:tcPr>
                  <w:tcW w:w="1629" w:type="dxa"/>
                  <w:vAlign w:val="center"/>
                </w:tcPr>
                <w:p>
                  <w:pPr>
                    <w:spacing w:line="400" w:lineRule="exact"/>
                    <w:jc w:val="center"/>
                    <w:rPr>
                      <w:rFonts w:ascii="宋体" w:hAnsi="宋体"/>
                      <w:color w:val="000000"/>
                      <w:szCs w:val="21"/>
                    </w:rPr>
                  </w:pPr>
                  <w:r>
                    <w:rPr>
                      <w:rFonts w:hint="eastAsia" w:ascii="宋体" w:hAnsi="宋体"/>
                      <w:color w:val="000000"/>
                      <w:szCs w:val="21"/>
                    </w:rPr>
                    <w:t>0.023</w:t>
                  </w:r>
                </w:p>
              </w:tc>
              <w:tc>
                <w:tcPr>
                  <w:tcW w:w="1276" w:type="dxa"/>
                  <w:vAlign w:val="center"/>
                </w:tcPr>
                <w:p>
                  <w:pPr>
                    <w:spacing w:line="400" w:lineRule="exact"/>
                    <w:jc w:val="center"/>
                    <w:rPr>
                      <w:rFonts w:ascii="宋体" w:hAnsi="宋体"/>
                      <w:color w:val="000000"/>
                      <w:szCs w:val="21"/>
                    </w:rPr>
                  </w:pPr>
                  <w:r>
                    <w:rPr>
                      <w:rFonts w:hint="eastAsia" w:ascii="宋体" w:hAnsi="宋体"/>
                      <w:color w:val="000000"/>
                      <w:szCs w:val="21"/>
                    </w:rPr>
                    <w:t>1.08</w:t>
                  </w:r>
                </w:p>
              </w:tc>
              <w:tc>
                <w:tcPr>
                  <w:tcW w:w="1417" w:type="dxa"/>
                  <w:vAlign w:val="center"/>
                </w:tcPr>
                <w:p>
                  <w:pPr>
                    <w:spacing w:line="400" w:lineRule="exact"/>
                    <w:jc w:val="center"/>
                    <w:rPr>
                      <w:rFonts w:ascii="宋体" w:hAnsi="宋体"/>
                      <w:color w:val="000000"/>
                      <w:szCs w:val="21"/>
                    </w:rPr>
                  </w:pPr>
                  <w:r>
                    <w:rPr>
                      <w:rFonts w:hint="eastAsia" w:ascii="宋体" w:hAnsi="宋体"/>
                      <w:color w:val="000000"/>
                      <w:szCs w:val="21"/>
                    </w:rPr>
                    <w:t>18.21</w:t>
                  </w:r>
                </w:p>
              </w:tc>
              <w:tc>
                <w:tcPr>
                  <w:tcW w:w="1435" w:type="dxa"/>
                  <w:vAlign w:val="center"/>
                </w:tcPr>
                <w:p>
                  <w:pPr>
                    <w:spacing w:line="400" w:lineRule="exact"/>
                    <w:jc w:val="center"/>
                    <w:rPr>
                      <w:rFonts w:ascii="宋体" w:hAnsi="宋体"/>
                      <w:color w:val="000000"/>
                      <w:szCs w:val="21"/>
                    </w:rPr>
                  </w:pPr>
                  <w:r>
                    <w:rPr>
                      <w:rFonts w:hint="eastAsia" w:ascii="宋体" w:hAnsi="宋体"/>
                      <w:color w:val="000000"/>
                      <w:szCs w:val="21"/>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80" w:type="dxa"/>
                  <w:vAlign w:val="center"/>
                </w:tcPr>
                <w:p>
                  <w:pPr>
                    <w:spacing w:line="400" w:lineRule="exact"/>
                    <w:jc w:val="center"/>
                    <w:rPr>
                      <w:rFonts w:ascii="宋体" w:hAnsi="宋体"/>
                      <w:color w:val="000000"/>
                      <w:szCs w:val="21"/>
                    </w:rPr>
                  </w:pPr>
                  <w:r>
                    <w:rPr>
                      <w:rFonts w:hint="eastAsia" w:ascii="宋体" w:hAnsi="宋体"/>
                      <w:color w:val="000000"/>
                      <w:szCs w:val="21"/>
                    </w:rPr>
                    <w:t>推荐总量</w:t>
                  </w:r>
                </w:p>
              </w:tc>
              <w:tc>
                <w:tcPr>
                  <w:tcW w:w="1629" w:type="dxa"/>
                  <w:vAlign w:val="center"/>
                </w:tcPr>
                <w:p>
                  <w:pPr>
                    <w:pStyle w:val="232"/>
                    <w:tabs>
                      <w:tab w:val="right" w:pos="1916"/>
                    </w:tabs>
                    <w:spacing w:line="400" w:lineRule="exact"/>
                    <w:rPr>
                      <w:color w:val="000000"/>
                      <w:sz w:val="21"/>
                      <w:szCs w:val="21"/>
                    </w:rPr>
                  </w:pPr>
                  <w:r>
                    <w:rPr>
                      <w:rFonts w:hint="eastAsia"/>
                      <w:color w:val="000000"/>
                      <w:sz w:val="21"/>
                      <w:szCs w:val="21"/>
                    </w:rPr>
                    <w:t>0.023</w:t>
                  </w:r>
                </w:p>
              </w:tc>
              <w:tc>
                <w:tcPr>
                  <w:tcW w:w="1276" w:type="dxa"/>
                  <w:vAlign w:val="center"/>
                </w:tcPr>
                <w:p>
                  <w:pPr>
                    <w:pStyle w:val="232"/>
                    <w:tabs>
                      <w:tab w:val="right" w:pos="1916"/>
                    </w:tabs>
                    <w:spacing w:line="400" w:lineRule="exact"/>
                    <w:rPr>
                      <w:color w:val="000000"/>
                      <w:sz w:val="21"/>
                      <w:szCs w:val="21"/>
                    </w:rPr>
                  </w:pPr>
                  <w:r>
                    <w:rPr>
                      <w:rFonts w:hint="eastAsia"/>
                      <w:color w:val="000000"/>
                      <w:sz w:val="21"/>
                      <w:szCs w:val="21"/>
                    </w:rPr>
                    <w:t>1.08</w:t>
                  </w:r>
                </w:p>
              </w:tc>
              <w:tc>
                <w:tcPr>
                  <w:tcW w:w="1417" w:type="dxa"/>
                  <w:vAlign w:val="center"/>
                </w:tcPr>
                <w:p>
                  <w:pPr>
                    <w:pStyle w:val="232"/>
                    <w:tabs>
                      <w:tab w:val="right" w:pos="1916"/>
                    </w:tabs>
                    <w:spacing w:line="400" w:lineRule="exact"/>
                    <w:ind w:left="186"/>
                    <w:rPr>
                      <w:color w:val="000000"/>
                      <w:sz w:val="21"/>
                      <w:szCs w:val="21"/>
                    </w:rPr>
                  </w:pPr>
                  <w:r>
                    <w:rPr>
                      <w:rFonts w:hint="eastAsia"/>
                      <w:color w:val="000000"/>
                      <w:sz w:val="21"/>
                      <w:szCs w:val="21"/>
                    </w:rPr>
                    <w:t>/</w:t>
                  </w:r>
                </w:p>
              </w:tc>
              <w:tc>
                <w:tcPr>
                  <w:tcW w:w="1435" w:type="dxa"/>
                  <w:vAlign w:val="center"/>
                </w:tcPr>
                <w:p>
                  <w:pPr>
                    <w:pStyle w:val="232"/>
                    <w:tabs>
                      <w:tab w:val="right" w:pos="1916"/>
                    </w:tabs>
                    <w:spacing w:line="400" w:lineRule="exact"/>
                    <w:ind w:firstLine="514" w:firstLineChars="245"/>
                    <w:rPr>
                      <w:color w:val="000000"/>
                      <w:sz w:val="21"/>
                      <w:szCs w:val="21"/>
                    </w:rPr>
                  </w:pPr>
                  <w:r>
                    <w:rPr>
                      <w:rFonts w:hint="eastAsia"/>
                      <w:color w:val="000000"/>
                      <w:sz w:val="21"/>
                      <w:szCs w:val="21"/>
                    </w:rPr>
                    <w:t>/</w:t>
                  </w:r>
                </w:p>
              </w:tc>
            </w:tr>
          </w:tbl>
          <w:p>
            <w:pPr>
              <w:spacing w:line="360" w:lineRule="auto"/>
              <w:rPr>
                <w:rFonts w:ascii="宋体" w:hAnsi="宋体"/>
                <w:color w:val="000000"/>
                <w:szCs w:val="21"/>
              </w:rPr>
            </w:pPr>
            <w:r>
              <w:rPr>
                <w:rFonts w:hint="eastAsia" w:ascii="宋体" w:hAnsi="宋体"/>
                <w:color w:val="000000"/>
                <w:szCs w:val="21"/>
              </w:rPr>
              <w:t>本项目经营服务污水经初步处理后，全部通过市政污水管网进</w:t>
            </w:r>
            <w:r>
              <w:rPr>
                <w:rFonts w:hint="eastAsia" w:ascii="宋体" w:hAnsi="宋体"/>
                <w:color w:val="000000" w:themeColor="text1"/>
                <w:szCs w:val="21"/>
              </w:rPr>
              <w:t>入洪江市污水处理厂处理，</w:t>
            </w:r>
            <w:r>
              <w:rPr>
                <w:rFonts w:hint="eastAsia" w:ascii="宋体" w:hAnsi="宋体"/>
                <w:color w:val="000000"/>
                <w:szCs w:val="21"/>
              </w:rPr>
              <w:t>根据相关规定，化学需氧量（CODcr）、氨氮（NH</w:t>
            </w:r>
            <w:r>
              <w:rPr>
                <w:rFonts w:hint="eastAsia" w:ascii="宋体" w:hAnsi="宋体"/>
                <w:color w:val="000000"/>
                <w:szCs w:val="21"/>
                <w:vertAlign w:val="subscript"/>
              </w:rPr>
              <w:t>3</w:t>
            </w:r>
            <w:r>
              <w:rPr>
                <w:rFonts w:hint="eastAsia" w:ascii="宋体" w:hAnsi="宋体"/>
                <w:color w:val="000000"/>
                <w:szCs w:val="21"/>
              </w:rPr>
              <w:t>-N）其总量控制指标纳入到污水处理厂指标当中。因此不再单独申请总量控制指标。本项目二氧化硫（SO</w:t>
            </w:r>
            <w:r>
              <w:rPr>
                <w:rFonts w:hint="eastAsia" w:ascii="宋体" w:hAnsi="宋体"/>
                <w:color w:val="000000"/>
                <w:szCs w:val="21"/>
                <w:vertAlign w:val="subscript"/>
              </w:rPr>
              <w:t>2</w:t>
            </w:r>
            <w:r>
              <w:rPr>
                <w:rFonts w:hint="eastAsia" w:ascii="宋体" w:hAnsi="宋体"/>
                <w:color w:val="000000"/>
                <w:szCs w:val="21"/>
              </w:rPr>
              <w:t>）、氮氧化物（NO</w:t>
            </w:r>
            <w:r>
              <w:rPr>
                <w:rFonts w:hint="eastAsia" w:ascii="宋体" w:hAnsi="宋体"/>
                <w:color w:val="000000"/>
                <w:szCs w:val="21"/>
                <w:vertAlign w:val="subscript"/>
              </w:rPr>
              <w:t>X</w:t>
            </w:r>
            <w:r>
              <w:rPr>
                <w:rFonts w:hint="eastAsia" w:ascii="宋体" w:hAnsi="宋体"/>
                <w:color w:val="000000"/>
                <w:szCs w:val="21"/>
              </w:rPr>
              <w:t>）的指标量为</w:t>
            </w:r>
          </w:p>
          <w:p>
            <w:pPr>
              <w:spacing w:line="360" w:lineRule="auto"/>
              <w:rPr>
                <w:rFonts w:ascii="宋体" w:hAnsi="宋体"/>
                <w:color w:val="000000"/>
                <w:szCs w:val="21"/>
              </w:rPr>
            </w:pPr>
            <w:r>
              <w:rPr>
                <w:rFonts w:hint="eastAsia" w:ascii="宋体" w:hAnsi="宋体"/>
                <w:color w:val="000000"/>
                <w:szCs w:val="21"/>
              </w:rPr>
              <w:t>0.023t/a、1.08t/a，建设单位应通过总量交易平台进行购买获得申请排污总量控制指标。</w:t>
            </w:r>
          </w:p>
        </w:tc>
      </w:tr>
    </w:tbl>
    <w:p>
      <w:pPr>
        <w:pStyle w:val="2"/>
        <w:keepLines/>
        <w:pageBreakBefore/>
        <w:rPr>
          <w:rFonts w:ascii="宋体" w:hAnsi="宋体"/>
          <w:b/>
          <w:color w:val="000000"/>
          <w:kern w:val="44"/>
          <w:szCs w:val="28"/>
        </w:rPr>
      </w:pPr>
      <w:bookmarkStart w:id="10" w:name="_Toc509236303"/>
      <w:bookmarkStart w:id="11" w:name="_Toc295374656"/>
      <w:r>
        <w:rPr>
          <w:rFonts w:ascii="宋体" w:hAnsi="宋体"/>
          <w:b/>
          <w:color w:val="000000"/>
          <w:kern w:val="44"/>
          <w:szCs w:val="28"/>
        </w:rPr>
        <w:t>建设项目工程分析</w:t>
      </w:r>
      <w:bookmarkEnd w:id="10"/>
      <w:bookmarkEnd w:id="11"/>
    </w:p>
    <w:tbl>
      <w:tblPr>
        <w:tblStyle w:val="42"/>
        <w:tblW w:w="928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2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289" w:hRule="atLeast"/>
          <w:jc w:val="center"/>
        </w:trPr>
        <w:tc>
          <w:tcPr>
            <w:tcW w:w="9287" w:type="dxa"/>
          </w:tcPr>
          <w:p>
            <w:pPr>
              <w:spacing w:line="360" w:lineRule="auto"/>
              <w:rPr>
                <w:rFonts w:ascii="宋体" w:hAnsi="宋体"/>
                <w:b/>
                <w:color w:val="000000"/>
                <w:sz w:val="24"/>
              </w:rPr>
            </w:pPr>
            <w:r>
              <w:rPr>
                <w:rFonts w:hint="eastAsia" w:ascii="宋体" w:hAnsi="宋体"/>
                <w:b/>
                <w:color w:val="000000"/>
                <w:sz w:val="24"/>
              </w:rPr>
              <w:t>一、工艺流程及产污流程（图示）:</w:t>
            </w:r>
          </w:p>
          <w:p>
            <w:pPr>
              <w:spacing w:line="460" w:lineRule="exact"/>
              <w:ind w:firstLine="480" w:firstLineChars="200"/>
              <w:rPr>
                <w:rFonts w:ascii="宋体" w:hAnsi="宋体"/>
                <w:color w:val="000000"/>
                <w:sz w:val="24"/>
              </w:rPr>
            </w:pPr>
            <w:r>
              <w:rPr>
                <w:rFonts w:hint="eastAsia" w:ascii="宋体" w:hAnsi="宋体"/>
                <w:color w:val="000000"/>
                <w:sz w:val="24"/>
              </w:rPr>
              <w:t>（一）建设施工期工艺流程及产污分析图:</w:t>
            </w:r>
          </w:p>
          <w:p>
            <w:pPr>
              <w:widowControl/>
              <w:spacing w:line="460" w:lineRule="exact"/>
              <w:jc w:val="left"/>
              <w:rPr>
                <w:rFonts w:ascii="宋体" w:hAnsi="宋体" w:cs="宋体"/>
                <w:color w:val="000000"/>
                <w:kern w:val="0"/>
                <w:sz w:val="24"/>
                <w:szCs w:val="24"/>
              </w:rPr>
            </w:pPr>
            <w:r>
              <w:rPr>
                <w:rFonts w:hint="eastAsia" w:ascii="宋体" w:hAnsi="宋体"/>
                <w:color w:val="000000"/>
                <w:sz w:val="24"/>
              </w:rPr>
              <w:t xml:space="preserve">    </w:t>
            </w:r>
            <w:r>
              <w:rPr>
                <w:rFonts w:ascii="宋体" w:hAnsi="宋体"/>
                <w:color w:val="000000"/>
                <w:sz w:val="24"/>
              </w:rPr>
              <w:t>本项目</w:t>
            </w:r>
            <w:r>
              <w:rPr>
                <w:rFonts w:hint="eastAsia" w:ascii="宋体" w:hAnsi="宋体"/>
                <w:color w:val="000000"/>
                <w:sz w:val="24"/>
              </w:rPr>
              <w:t>主要建设</w:t>
            </w:r>
            <w:r>
              <w:rPr>
                <w:rFonts w:ascii="宋体" w:hAnsi="宋体"/>
                <w:color w:val="000000"/>
                <w:sz w:val="24"/>
              </w:rPr>
              <w:t>酒店及配套设施等，污染影响时段主要为施工期和运行期。</w:t>
            </w:r>
            <w:r>
              <w:rPr>
                <w:rFonts w:hint="eastAsia" w:ascii="宋体" w:hAnsi="宋体"/>
                <w:sz w:val="24"/>
              </w:rPr>
              <w:t>施工期整个过程分为基础工程阶段、主体结构工程阶段、装修工程阶段及扫尾工程阶段等四个阶段,具体施工流程及产污流程图见图2。</w:t>
            </w:r>
          </w:p>
          <w:p>
            <w:pPr>
              <w:widowControl/>
              <w:jc w:val="left"/>
              <w:rPr>
                <w:rFonts w:ascii="宋体" w:hAnsi="宋体" w:cs="宋体"/>
                <w:color w:val="000000"/>
                <w:kern w:val="0"/>
                <w:sz w:val="24"/>
                <w:szCs w:val="24"/>
              </w:rPr>
            </w:pPr>
          </w:p>
          <w:p>
            <w:pPr>
              <w:spacing w:line="360" w:lineRule="auto"/>
              <w:ind w:firstLine="480" w:firstLineChars="200"/>
              <w:jc w:val="center"/>
              <w:rPr>
                <w:rFonts w:ascii="宋体" w:hAnsi="宋体"/>
                <w:color w:val="000000"/>
                <w:sz w:val="24"/>
              </w:rPr>
            </w:pPr>
            <w:r>
              <w:rPr>
                <w:rFonts w:ascii="宋体" w:hAnsi="宋体"/>
                <w:color w:val="000000"/>
                <w:sz w:val="24"/>
                <w:szCs w:val="24"/>
              </w:rPr>
              <w:drawing>
                <wp:inline distT="0" distB="0" distL="0" distR="0">
                  <wp:extent cx="3935730" cy="315277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lum bright="-36000" contrast="54000"/>
                          </a:blip>
                          <a:srcRect/>
                          <a:stretch>
                            <a:fillRect/>
                          </a:stretch>
                        </pic:blipFill>
                        <pic:spPr>
                          <a:xfrm>
                            <a:off x="0" y="0"/>
                            <a:ext cx="3935730" cy="3152775"/>
                          </a:xfrm>
                          <a:prstGeom prst="rect">
                            <a:avLst/>
                          </a:prstGeom>
                          <a:noFill/>
                          <a:ln w="9525">
                            <a:noFill/>
                            <a:miter lim="800000"/>
                            <a:headEnd/>
                            <a:tailEnd/>
                          </a:ln>
                        </pic:spPr>
                      </pic:pic>
                    </a:graphicData>
                  </a:graphic>
                </wp:inline>
              </w:drawing>
            </w:r>
            <w:r>
              <w:rPr>
                <w:rFonts w:hint="eastAsia" w:ascii="宋体" w:hAnsi="宋体"/>
                <w:color w:val="000000"/>
                <w:sz w:val="24"/>
              </w:rPr>
              <w:t>：</w:t>
            </w:r>
          </w:p>
          <w:p>
            <w:pPr>
              <w:jc w:val="center"/>
              <w:rPr>
                <w:rFonts w:ascii="宋体" w:hAnsi="宋体"/>
                <w:color w:val="000000"/>
                <w:sz w:val="28"/>
                <w:szCs w:val="28"/>
              </w:rPr>
            </w:pPr>
            <w:r>
              <w:rPr>
                <w:rFonts w:hint="eastAsia" w:ascii="宋体" w:hAnsi="宋体"/>
                <w:color w:val="000000" w:themeColor="text1"/>
                <w:sz w:val="24"/>
              </w:rPr>
              <w:t>图2</w:t>
            </w:r>
            <w:r>
              <w:rPr>
                <w:rFonts w:hint="eastAsia" w:ascii="宋体" w:hAnsi="宋体"/>
                <w:color w:val="FF0000"/>
                <w:sz w:val="24"/>
              </w:rPr>
              <w:t>　</w:t>
            </w:r>
            <w:r>
              <w:rPr>
                <w:rFonts w:hint="eastAsia" w:ascii="宋体" w:hAnsi="宋体"/>
                <w:color w:val="000000"/>
                <w:sz w:val="24"/>
              </w:rPr>
              <w:t>项目施工流程及产污流程图</w:t>
            </w:r>
          </w:p>
          <w:p>
            <w:pPr>
              <w:spacing w:line="500" w:lineRule="exact"/>
              <w:ind w:firstLine="480" w:firstLineChars="200"/>
              <w:rPr>
                <w:rFonts w:ascii="宋体" w:hAnsi="宋体"/>
                <w:color w:val="000000"/>
                <w:sz w:val="24"/>
              </w:rPr>
            </w:pPr>
            <w:r>
              <w:rPr>
                <w:rFonts w:hint="eastAsia" w:ascii="宋体" w:hAnsi="宋体"/>
                <w:color w:val="000000"/>
                <w:sz w:val="24"/>
              </w:rPr>
              <w:t>（二）运营期主要是酒店住宿、餐饮、办公、会议及休闲娱乐过程中产生废气、废水、噪声、固废等，具体产污流程见图3和图4。</w:t>
            </w:r>
          </w:p>
          <w:p>
            <w:pPr>
              <w:spacing w:line="360" w:lineRule="auto"/>
              <w:rPr>
                <w:rFonts w:ascii="宋体" w:hAnsi="宋体"/>
                <w:color w:val="000000"/>
                <w:sz w:val="24"/>
              </w:rPr>
            </w:pPr>
            <w:r>
              <w:rPr>
                <w:rFonts w:ascii="宋体" w:hAnsi="宋体" w:cs="宋体"/>
                <w:color w:val="000000"/>
                <w:kern w:val="0"/>
                <w:sz w:val="24"/>
                <w:szCs w:val="24"/>
              </w:rPr>
              <w:drawing>
                <wp:anchor distT="0" distB="0" distL="114300" distR="114300" simplePos="0" relativeHeight="251614208" behindDoc="0" locked="0" layoutInCell="1" allowOverlap="1">
                  <wp:simplePos x="0" y="0"/>
                  <wp:positionH relativeFrom="column">
                    <wp:posOffset>510540</wp:posOffset>
                  </wp:positionH>
                  <wp:positionV relativeFrom="paragraph">
                    <wp:posOffset>147320</wp:posOffset>
                  </wp:positionV>
                  <wp:extent cx="4406900" cy="2402840"/>
                  <wp:effectExtent l="0" t="0" r="0" b="0"/>
                  <wp:wrapNone/>
                  <wp:docPr id="1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3"/>
                          <pic:cNvPicPr>
                            <a:picLocks noChangeAspect="1" noChangeArrowheads="1"/>
                          </pic:cNvPicPr>
                        </pic:nvPicPr>
                        <pic:blipFill>
                          <a:blip r:embed="rId14"/>
                          <a:srcRect/>
                          <a:stretch>
                            <a:fillRect/>
                          </a:stretch>
                        </pic:blipFill>
                        <pic:spPr>
                          <a:xfrm>
                            <a:off x="0" y="0"/>
                            <a:ext cx="4406900" cy="2402840"/>
                          </a:xfrm>
                          <a:prstGeom prst="rect">
                            <a:avLst/>
                          </a:prstGeom>
                          <a:noFill/>
                          <a:ln w="9525">
                            <a:noFill/>
                            <a:miter lim="800000"/>
                            <a:headEnd/>
                            <a:tailEnd/>
                          </a:ln>
                        </pic:spPr>
                      </pic:pic>
                    </a:graphicData>
                  </a:graphic>
                </wp:anchor>
              </w:drawing>
            </w:r>
            <w:r>
              <w:rPr>
                <w:rFonts w:hint="eastAsia" w:ascii="宋体" w:hAnsi="宋体"/>
                <w:color w:val="000000"/>
                <w:sz w:val="24"/>
              </w:rPr>
              <w:t xml:space="preserve"> </w:t>
            </w: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widowControl/>
              <w:jc w:val="center"/>
              <w:rPr>
                <w:rFonts w:ascii="宋体" w:hAnsi="宋体" w:cs="宋体"/>
                <w:color w:val="000000"/>
                <w:kern w:val="0"/>
                <w:sz w:val="24"/>
                <w:szCs w:val="24"/>
              </w:rPr>
            </w:pPr>
          </w:p>
          <w:p>
            <w:pPr>
              <w:autoSpaceDE w:val="0"/>
              <w:autoSpaceDN w:val="0"/>
              <w:adjustRightInd w:val="0"/>
              <w:jc w:val="center"/>
              <w:rPr>
                <w:rFonts w:ascii="宋体" w:hAnsi="宋体"/>
                <w:b/>
                <w:color w:val="000000"/>
                <w:sz w:val="28"/>
              </w:rPr>
            </w:pPr>
          </w:p>
          <w:p>
            <w:pPr>
              <w:ind w:firstLine="2587" w:firstLineChars="1078"/>
              <w:jc w:val="left"/>
              <w:rPr>
                <w:rFonts w:ascii="宋体" w:hAnsi="宋体"/>
                <w:bCs/>
                <w:color w:val="000000"/>
                <w:szCs w:val="24"/>
              </w:rPr>
            </w:pPr>
            <w:r>
              <w:rPr>
                <w:rFonts w:hint="eastAsia" w:ascii="宋体" w:hAnsi="宋体"/>
                <w:bCs/>
                <w:color w:val="000000" w:themeColor="text1"/>
                <w:sz w:val="24"/>
              </w:rPr>
              <w:t xml:space="preserve">图3 </w:t>
            </w:r>
            <w:r>
              <w:rPr>
                <w:rFonts w:hint="eastAsia" w:ascii="宋体" w:hAnsi="宋体"/>
                <w:bCs/>
                <w:color w:val="FF0000"/>
                <w:sz w:val="24"/>
              </w:rPr>
              <w:t xml:space="preserve"> </w:t>
            </w:r>
            <w:r>
              <w:rPr>
                <w:rFonts w:ascii="宋体" w:hAnsi="宋体"/>
                <w:bCs/>
                <w:color w:val="000000"/>
                <w:sz w:val="24"/>
              </w:rPr>
              <w:t>酒店餐饮部产物环节框图</w:t>
            </w:r>
          </w:p>
          <w:p>
            <w:pPr>
              <w:pStyle w:val="194"/>
              <w:snapToGrid w:val="0"/>
              <w:spacing w:line="360" w:lineRule="auto"/>
              <w:ind w:firstLine="480" w:firstLineChars="200"/>
              <w:jc w:val="both"/>
              <w:rPr>
                <w:rFonts w:ascii="宋体" w:hAnsi="宋体"/>
                <w:bCs/>
                <w:color w:val="000000"/>
                <w:szCs w:val="24"/>
              </w:rPr>
            </w:pPr>
            <w:r>
              <w:rPr>
                <w:rFonts w:ascii="宋体" w:hAnsi="宋体"/>
                <w:bCs/>
                <w:color w:val="000000"/>
                <w:szCs w:val="24"/>
              </w:rPr>
              <w:drawing>
                <wp:anchor distT="0" distB="0" distL="114300" distR="114300" simplePos="0" relativeHeight="251615232" behindDoc="0" locked="0" layoutInCell="1" allowOverlap="1">
                  <wp:simplePos x="0" y="0"/>
                  <wp:positionH relativeFrom="column">
                    <wp:posOffset>614045</wp:posOffset>
                  </wp:positionH>
                  <wp:positionV relativeFrom="paragraph">
                    <wp:posOffset>185420</wp:posOffset>
                  </wp:positionV>
                  <wp:extent cx="4371975" cy="942975"/>
                  <wp:effectExtent l="19050" t="0" r="9525" b="0"/>
                  <wp:wrapNone/>
                  <wp:docPr id="2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4"/>
                          <pic:cNvPicPr>
                            <a:picLocks noChangeAspect="1" noChangeArrowheads="1"/>
                          </pic:cNvPicPr>
                        </pic:nvPicPr>
                        <pic:blipFill>
                          <a:blip r:embed="rId15"/>
                          <a:srcRect/>
                          <a:stretch>
                            <a:fillRect/>
                          </a:stretch>
                        </pic:blipFill>
                        <pic:spPr>
                          <a:xfrm>
                            <a:off x="0" y="0"/>
                            <a:ext cx="4371975" cy="942975"/>
                          </a:xfrm>
                          <a:prstGeom prst="rect">
                            <a:avLst/>
                          </a:prstGeom>
                          <a:noFill/>
                          <a:ln w="9525">
                            <a:noFill/>
                            <a:miter lim="800000"/>
                            <a:headEnd/>
                            <a:tailEnd/>
                          </a:ln>
                        </pic:spPr>
                      </pic:pic>
                    </a:graphicData>
                  </a:graphic>
                </wp:anchor>
              </w:drawing>
            </w:r>
          </w:p>
          <w:p>
            <w:pPr>
              <w:pStyle w:val="194"/>
              <w:snapToGrid w:val="0"/>
              <w:spacing w:line="360" w:lineRule="auto"/>
              <w:ind w:firstLine="480" w:firstLineChars="200"/>
              <w:jc w:val="both"/>
              <w:rPr>
                <w:rFonts w:ascii="宋体" w:hAnsi="宋体"/>
                <w:bCs/>
                <w:color w:val="000000"/>
                <w:szCs w:val="24"/>
              </w:rPr>
            </w:pPr>
          </w:p>
          <w:p>
            <w:pPr>
              <w:pStyle w:val="194"/>
              <w:snapToGrid w:val="0"/>
              <w:spacing w:line="360" w:lineRule="auto"/>
              <w:jc w:val="both"/>
              <w:rPr>
                <w:rFonts w:ascii="宋体" w:hAnsi="宋体"/>
                <w:bCs/>
                <w:color w:val="000000"/>
                <w:szCs w:val="24"/>
              </w:rPr>
            </w:pPr>
          </w:p>
          <w:p>
            <w:pPr>
              <w:pStyle w:val="194"/>
              <w:snapToGrid w:val="0"/>
              <w:spacing w:line="360" w:lineRule="auto"/>
              <w:jc w:val="both"/>
              <w:rPr>
                <w:rFonts w:ascii="宋体" w:hAnsi="宋体"/>
                <w:bCs/>
                <w:color w:val="000000"/>
                <w:szCs w:val="24"/>
              </w:rPr>
            </w:pPr>
            <w:r>
              <w:rPr>
                <w:rFonts w:ascii="宋体" w:hAnsi="宋体"/>
                <w:bCs/>
                <w:color w:val="000000"/>
                <w:szCs w:val="24"/>
              </w:rPr>
              <w:pict>
                <v:shape id="AutoShape 212" o:spid="_x0000_s1075" o:spt="32" type="#_x0000_t32" style="position:absolute;left:0pt;margin-left:76.1pt;margin-top:19.55pt;height:42pt;width:0.05pt;z-index:25169510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dWOAIAAHkEAAAOAAAAZHJzL2Uyb0RvYy54bWysVMGO2jAQvVfqP1i5s0kgYdmIsFol0Mu2&#10;i7TbDzC2Q6w6tmUbElT13zt2AC3bS1WVgxmPPW/mzTxn+Th0Ah2ZsVzJMkrvkggxSRTlcl9G3982&#10;k0WErMOSYqEkK6MTs9Hj6vOnZa8LNlWtEpQZBCDSFr0uo9Y5XcSxJS3rsL1Tmkk4bJTpsIOt2cfU&#10;4B7QOxFPk2Qe98pQbRRh1oK3Hg+jVcBvGkbcS9NY5pAoI6jNhdWEdefXeLXExd5g3XJyLgP/QxUd&#10;5hKSXqFq7DA6GP4HVMeJUVY17o6oLlZNwwkLHIBNmnxg89pizQIXaI7V1zbZ/wdLvh23BnFaRjAo&#10;iTsY0dPBqZAZTdOpb1CvbQH3Krk1niIZ5Kt+VuSHRVJVLZZ7Fq6/nTREpz4ivgnxG6shza7/qijc&#10;wZAhdGtoTOchoQ9oCEM5XYfCBocIOOezPEIE/PlsliVhYjEuLpHaWPeFqQ55o4ysM5jvW1cpKWH2&#10;yqQhDz4+W+frwsUlwKeVasOFCBIQEvVQfL64z0OEVYJTf+rvBTWyShh0xKAjN4yo4tABn9GXJ/Ab&#10;1QRu0NwHN2S+ooQ6bhIYdZA01NEyTNdn22EuRhuihfSVQFOAydkaBfbzIXlYL9aLbJJN5+tJltT1&#10;5GlTZZP5Jr3P61ldVXX6y5NKs6LllDLpeV3EnmZ/J6bzsxtlepX7tYPxLXqgCMVe/kPRQRVeCKOk&#10;doqetuaiFtB3uHx+i/4Bvd+D/f6LsfoNAAD//wMAUEsDBBQABgAIAAAAIQAECtF43QAAAAoBAAAP&#10;AAAAZHJzL2Rvd25yZXYueG1sTI/LTsMwEEX3SPyDNUhsEHXiqAVCnKpCArHtY8HSjYc4ih9R7Cbh&#10;75muYDdXc3TnTLVdnGUTjrELXkK+yoChb4LufCvhdHx/fAYWk/Ja2eBRwg9G2Na3N5UqdZj9HqdD&#10;ahmV+FgqCSaloeQ8NgadiqswoKfddxidShTHlutRzVTuLBdZtuFOdZ4uGDXgm8GmP1ychM3Hqf0c&#10;vnq7f5p6vWRmTviwk/L+btm9Aku4pD8YrvqkDjU5ncPF68gs5bUQhEooXnJgV2AtCmBnGkSRA68r&#10;/v+F+hcAAP//AwBQSwECLQAUAAYACAAAACEAtoM4kv4AAADhAQAAEwAAAAAAAAAAAAAAAAAAAAAA&#10;W0NvbnRlbnRfVHlwZXNdLnhtbFBLAQItABQABgAIAAAAIQA4/SH/1gAAAJQBAAALAAAAAAAAAAAA&#10;AAAAAC8BAABfcmVscy8ucmVsc1BLAQItABQABgAIAAAAIQAMVedWOAIAAHkEAAAOAAAAAAAAAAAA&#10;AAAAAC4CAABkcnMvZTJvRG9jLnhtbFBLAQItABQABgAIAAAAIQAECtF43QAAAAoBAAAPAAAAAAAA&#10;AAAAAAAAAJIEAABkcnMvZG93bnJldi54bWxQSwUGAAAAAAQABADzAAAAnAUAAAAA&#10;">
                  <v:path arrowok="t"/>
                  <v:fill on="f" focussize="0,0"/>
                  <v:stroke weight="1.25pt" color="#808080 [1629]"/>
                  <v:imagedata o:title=""/>
                  <o:lock v:ext="edit"/>
                </v:shape>
              </w:pict>
            </w:r>
          </w:p>
          <w:p>
            <w:pPr>
              <w:pStyle w:val="194"/>
              <w:snapToGrid w:val="0"/>
              <w:spacing w:line="360" w:lineRule="auto"/>
              <w:jc w:val="both"/>
              <w:rPr>
                <w:rFonts w:ascii="宋体" w:hAnsi="宋体"/>
                <w:bCs/>
                <w:color w:val="000000"/>
                <w:szCs w:val="24"/>
              </w:rPr>
            </w:pPr>
          </w:p>
          <w:p>
            <w:pPr>
              <w:ind w:firstLine="1528" w:firstLineChars="637"/>
              <w:rPr>
                <w:rFonts w:ascii="宋体" w:hAnsi="宋体"/>
                <w:bCs/>
                <w:sz w:val="24"/>
              </w:rPr>
            </w:pPr>
            <w:r>
              <w:rPr>
                <w:rFonts w:ascii="宋体" w:hAnsi="宋体"/>
                <w:bCs/>
                <w:sz w:val="24"/>
              </w:rPr>
              <w:pict>
                <v:shape id="Text Box 217" o:spid="_x0000_s1068" o:spt="202" type="#_x0000_t202" style="position:absolute;left:0pt;margin-left:315.35pt;margin-top:2.9pt;height:27.75pt;width:65.25pt;z-index:251700224;mso-width-relative:page;mso-height-relative:page;"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JYIegIAAA4FAAAOAAAAZHJzL2Uyb0RvYy54bWysVN9v2yAQfp+0/wHxvjrxkiaz6lRdu06T&#10;uh9SO+2ZYGyjAceAxG7/+h3gZFkn7WGaH6yDg+++++6Oi8tRK7IXzkswNZ2fzSgRhkMjTVfTrw+3&#10;r9aU+MBMwxQYUdNH4enl5uWLi8FWooQeVCMcQRDjq8HWtA/BVkXheS8082dghUFnC06zgEvXFY1j&#10;A6JrVZSz2XkxgGusAy68x92b7KSbhN+2gofPbetFIKqmyC2kv0v/bfwXmwtWdY7ZXvKJBvsHFppJ&#10;g0GPUDcsMLJz8g8oLbkDD20446ALaFvJRcoBs5nPnmVz3zMrUi4ojrdHmfz/g+Wf9l8ckU1NV5QY&#10;prFED2IM5C2MpJyvoj6D9RUeu7d4MIzowDqnXL29A/7dEwPXPTOduHIOhl6wBvnN483i5GrG8RFk&#10;O3yEBgOxXYAENLZOR/FQDoLoWKfHY20iGY6b63J9vlpSwtH1elkuymWKwKrDZet8eC9Ak2jU1GHp&#10;Ezjb3/kQybDqcGQqVHMrlSIOwjcZ+qR1jJqcHu9kg1jAdPK2d932WjmyZ9hNt+mbSHT+9PR8Fr+s&#10;0V+vIKfuEEpJQ1DFKfHocSwxjMjKkAFFXa5Rgrj2oOTRmYZFHImFMZdH7TTqnMkuE6HU7LiNI/Fs&#10;G8MdUZJUvwXQMuCQKqmxDDm1hBRL/c40yQ5MqmwjlDJT7WO5c+HDuB1Tmy3KQ09toXnEbkD9Y87x&#10;EUGjB/dEyYADWVP/Y8ecoER9MFiCN/PFIk5wWiyWqxIX7tSzPfUwwxGqpoGiqNG8Dnnqd9bJrsdI&#10;WSQDV9iFrUwdEts1s5r449AlNaYHIk716Tqd+vWMbX4CAAD//wMAUEsDBBQABgAIAAAAIQA2OExt&#10;2gAAAAgBAAAPAAAAZHJzL2Rvd25yZXYueG1sTI9BTsMwEEX3SNzBmkrsqJNUpFGIUyEkhFi29ABu&#10;PMRR7XEUu0m4PcMKlqP39ef95rB6J2ac4hBIQb7NQCB1wQzUKzh/vj1WIGLSZLQLhAq+McKhvb9r&#10;dG3CQkecT6kXXEKx1gpsSmMtZewseh23YURi9hUmrxOfUy/NpBcu904WWVZKrwfiD1aP+Gqxu55u&#10;XsGYn6ulmKmsqri8d3I4uuLDKvWwWV+eQSRc018YfvVZHVp2uoQbmSicgnKX7Tmq4IkXMN+XeQHi&#10;wiDfgWwb+X9A+wMAAP//AwBQSwECLQAUAAYACAAAACEAtoM4kv4AAADhAQAAEwAAAAAAAAAAAAAA&#10;AAAAAAAAW0NvbnRlbnRfVHlwZXNdLnhtbFBLAQItABQABgAIAAAAIQA4/SH/1gAAAJQBAAALAAAA&#10;AAAAAAAAAAAAAC8BAABfcmVscy8ucmVsc1BLAQItABQABgAIAAAAIQDpLJYIegIAAA4FAAAOAAAA&#10;AAAAAAAAAAAAAC4CAABkcnMvZTJvRG9jLnhtbFBLAQItABQABgAIAAAAIQA2OExt2gAAAAgBAAAP&#10;AAAAAAAAAAAAAAAAANQEAABkcnMvZG93bnJldi54bWxQSwUGAAAAAAQABADzAAAA2wUAAAAA&#10;">
                  <v:path/>
                  <v:fill type="gradient" on="t" angle="90" focus="100%" focussize="0f,0f">
                    <o:fill type="gradientUnscaled" v:ext="backwardCompatible"/>
                  </v:fill>
                  <v:stroke weight="1.25pt" color="#808080 [1629]" joinstyle="miter"/>
                  <v:imagedata o:title=""/>
                  <o:lock v:ext="edit"/>
                  <v:textbox>
                    <w:txbxContent>
                      <w:p>
                        <w:pPr>
                          <w:jc w:val="center"/>
                        </w:pPr>
                        <w:r>
                          <w:rPr>
                            <w:rFonts w:hint="eastAsia"/>
                          </w:rPr>
                          <w:t>离开</w:t>
                        </w:r>
                      </w:p>
                    </w:txbxContent>
                  </v:textbox>
                </v:shape>
              </w:pict>
            </w:r>
            <w:r>
              <w:rPr>
                <w:rFonts w:ascii="宋体" w:hAnsi="宋体"/>
                <w:bCs/>
                <w:sz w:val="24"/>
              </w:rPr>
              <w:pict>
                <v:shape id="AutoShape 215" o:spid="_x0000_s1074" o:spt="32" type="#_x0000_t32" style="position:absolute;left:0pt;margin-left:265.85pt;margin-top:14.9pt;height:0pt;width:49.5pt;z-index:251698176;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qxqSgIAAJkEAAAOAAAAZHJzL2Uyb0RvYy54bWysVE2P2yAQvVfqf0Dcs7ZTJ5u14qxWdtLL&#10;to202x9AAMeoGBCQOFHV/94BJ26zvVRVcyADzMd7wxsvH0+dREdundCqxNldihFXVDOh9iX++rqZ&#10;LDBynihGpFa8xGfu8OPq/btlbwo+1a2WjFsESZQrelPi1ntTJImjLe+Iu9OGK7hstO2Ih63dJ8yS&#10;HrJ3Mpmm6TzptWXGasqdg9N6uMSrmL9pOPVfmsZxj2SJAZuPq43rLqzJakmKvSWmFfQCg/wDio4I&#10;BUXHVDXxBB2s+CNVJ6jVTjf+juou0U0jKI8cgE2WvmHz0hLDIxdojjNjm9z/S0s/H7cWCVbiOUaK&#10;dPBETwevY2U0zWahQb1xBfhVamsDRXpSL+ZZ028OKV21RO15dH89G4jOQkRyExI2zkCZXf9JM/Ah&#10;UCF269TYLqSEPqBTfJTz+Cj85BGFw/l0MZ/B09HrVUKKa5yxzn/kukPBKLHzloh96yutFLy8tlms&#10;Qo7PzgdUpLgGhKJKb4SUUQBSoR6gzxb3sxjhtBQs3Aa/qEVeSYuOBFTkT0NWeeiAzXA2S+E3aAmO&#10;QXFvjqHymCXiuClg9UGxiKPlhK0vtidCgo18bKu3AhotOQ5AO84wkhwGLlgDM6kCVmgacL1YgwC/&#10;P6QP68V6kU/y6Xw9ydO6njxtqnwy32T3s/pDXVV19iPQzvKiFYxxFZhfhyHL/05sl7EcZDyOw9jj&#10;5DZ7bAKAvf5H0FE1QSiD5Haanbc2sAsCAv1H58ushgH7fR+9fn1RVj8BAAD//wMAUEsDBBQABgAI&#10;AAAAIQAnMR+t3wAAAAkBAAAPAAAAZHJzL2Rvd25yZXYueG1sTI9NS8NAEIbvgv9hGcGL2E1TrG3M&#10;plRB9CCFfuB5mh2TYHY2ZLdt7K93xIMe552H9yNfDK5VR+pD49nAeJSAIi69bbgysNs+385AhYhs&#10;sfVMBr4owKK4vMgxs/7EazpuYqXEhEOGBuoYu0zrUNbkMIx8Ryy/D987jHL2lbY9nsTctTpNkql2&#10;2LAk1NjRU03l5+bgDJx3Xbna+sdVOtezl+X65v317Zwac301LB9ARRriHww/9aU6FNJp7w9sg2oN&#10;3E3G94IaSOcyQYDpJBFh/yvoItf/FxTfAAAA//8DAFBLAQItABQABgAIAAAAIQC2gziS/gAAAOEB&#10;AAATAAAAAAAAAAAAAAAAAAAAAABbQ29udGVudF9UeXBlc10ueG1sUEsBAi0AFAAGAAgAAAAhADj9&#10;If/WAAAAlAEAAAsAAAAAAAAAAAAAAAAALwEAAF9yZWxzLy5yZWxzUEsBAi0AFAAGAAgAAAAhAPWq&#10;rGpKAgAAmQQAAA4AAAAAAAAAAAAAAAAALgIAAGRycy9lMm9Eb2MueG1sUEsBAi0AFAAGAAgAAAAh&#10;ACcxH63fAAAACQEAAA8AAAAAAAAAAAAAAAAApAQAAGRycy9kb3ducmV2LnhtbFBLBQYAAAAABAAE&#10;APMAAACwBQAAAAA=&#10;">
                  <v:path arrowok="t"/>
                  <v:fill on="f" focussize="0,0"/>
                  <v:stroke weight="1.25pt" color="#808080 [1629]" endarrow="block"/>
                  <v:imagedata o:title=""/>
                  <o:lock v:ext="edit"/>
                </v:shape>
              </w:pict>
            </w:r>
            <w:r>
              <w:rPr>
                <w:rFonts w:ascii="宋体" w:hAnsi="宋体"/>
                <w:bCs/>
                <w:sz w:val="24"/>
              </w:rPr>
              <w:pict>
                <v:shape id="Text Box 214" o:spid="_x0000_s1069" o:spt="202" type="#_x0000_t202" style="position:absolute;left:0pt;margin-left:155.6pt;margin-top:2.9pt;height:27.75pt;width:110.25pt;z-index:251697152;mso-width-relative:page;mso-height-relative:page;"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X70egIAAA8FAAAOAAAAZHJzL2Uyb0RvYy54bWysVE1v1DAQvSPxHyzf2STbLC1Rs1XZUoRU&#10;PqQWcfY6TmLheIzt3aT99Yzt7LIUiQMih2jssd+8eTPjy6tpUGQvrJOga1osckqE5tBI3dX068Pt&#10;qwtKnGe6YQq0qOmjcPRq/fLF5WgqsYQeVCMsQRDtqtHUtPfeVFnmeC8G5hZghEZnC3ZgHpe2yxrL&#10;RkQfVLbM89fZCLYxFrhwDndvkpOuI37bCu4/t60TnqiaIjcf/zb+t+GfrS9Z1VlmeslnGuwfWAxM&#10;agx6hLphnpGdlX9ADZJbcND6BYchg7aVXMQcMJsif5bNfc+MiLmgOM4cZXL/D5Z/2n+xRDY1XVGi&#10;2YAlehCTJ29hIsuiDPqMxlV47N7gQT+hA+scc3XmDvh3RzRseqY7cW0tjL1gDfIrws3s5GrCcQFk&#10;O36EBgOxnYcINLV2COKhHATRsU6Px9oEMjyELPO8OEeSHH1nq2W5XMUQrDrcNtb59wIGEoyaWqx9&#10;RGf7O+cDG1YdjsyVam6lUsSC/yZ9H8UOYaPT4Z1kEAOYT9p2tttulCV7hu10G7+ZROdOTxd5+JJI&#10;f72CnLpDKCU1QRnnzIPHssgwICtNRhRhdYEShLUDJY/OOC3iSMxPqT5qN6DQiewqEordjts4E8+2&#10;MdwRJUr1W4BBepxSJYeaXqTUIlKo9TvdRNszqZKNUErPxQ/1TpX303aKfVaeHZpqC80jtgPqH3IO&#10;rwgaPdgnSkacyJq6HztmBSXqg8YSvCnKMoxwXJSr8yUu7Klne+phmiNUTT1FUYO58Wnsd8bKrsdI&#10;SSQN19iGrYwdEvo1sZr549RFNeYXIoz16Tqe+vWOrX8CAAD//wMAUEsDBBQABgAIAAAAIQCkg+9D&#10;2gAAAAgBAAAPAAAAZHJzL2Rvd25yZXYueG1sTI9BS8QwFITvgv8hPMGbm6Zla6l9XUQQ8bjr/oBs&#10;G5ti8lKabFv/vc+THocZZr5pDpt3YjFzHAMhqF0GwlAX+pEGhPPH60MFIiZNvXaBDMK3iXBob28a&#10;XfdhpaNZTmkQXEKx1gg2pamWMnbWeB13YTLE3meYvU4s50H2s1653DuZZ1kpvR6JF6yezIs13dfp&#10;6hEmda7WfKGyquL61snx6PJ3i3h/tz0/gUhmS39h+MVndGiZ6RKu1EfhEAqlco4i7PkB+/tCPYK4&#10;IJSqANk28v+B9gcAAP//AwBQSwECLQAUAAYACAAAACEAtoM4kv4AAADhAQAAEwAAAAAAAAAAAAAA&#10;AAAAAAAAW0NvbnRlbnRfVHlwZXNdLnhtbFBLAQItABQABgAIAAAAIQA4/SH/1gAAAJQBAAALAAAA&#10;AAAAAAAAAAAAAC8BAABfcmVscy8ucmVsc1BLAQItABQABgAIAAAAIQArnX70egIAAA8FAAAOAAAA&#10;AAAAAAAAAAAAAC4CAABkcnMvZTJvRG9jLnhtbFBLAQItABQABgAIAAAAIQCkg+9D2gAAAAgBAAAP&#10;AAAAAAAAAAAAAAAAANQEAABkcnMvZG93bnJldi54bWxQSwUGAAAAAAQABADzAAAA2wUAAAAA&#10;">
                  <v:path/>
                  <v:fill type="gradient" on="t" angle="90" focus="100%" focussize="0f,0f">
                    <o:fill type="gradientUnscaled" v:ext="backwardCompatible"/>
                  </v:fill>
                  <v:stroke weight="1.25pt" color="#808080 [1629]" joinstyle="miter"/>
                  <v:imagedata o:title=""/>
                  <o:lock v:ext="edit"/>
                  <v:textbox>
                    <w:txbxContent>
                      <w:p>
                        <w:r>
                          <w:rPr>
                            <w:rFonts w:hint="eastAsia"/>
                          </w:rPr>
                          <w:t>会议、演播厅</w:t>
                        </w:r>
                      </w:p>
                    </w:txbxContent>
                  </v:textbox>
                </v:shape>
              </w:pict>
            </w:r>
            <w:r>
              <w:rPr>
                <w:rFonts w:ascii="宋体" w:hAnsi="宋体"/>
                <w:bCs/>
                <w:color w:val="7E7E7E" w:themeColor="text1" w:themeTint="80"/>
                <w:sz w:val="24"/>
              </w:rPr>
              <w:pict>
                <v:shape id="AutoShape 213" o:spid="_x0000_s1073" o:spt="32" type="#_x0000_t32" style="position:absolute;left:0pt;margin-left:76.1pt;margin-top:14.9pt;height:0pt;width:79.5pt;z-index:25169612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54TSgIAAJoEAAAOAAAAZHJzL2Uyb0RvYy54bWysVM2O2jAQvlfqO1i+s0nYwEJEWK0S6GXb&#10;RdrtAxjbIVYd27INAVV9944doGV7qapyMOPx/H0z32TxeOwkOnDrhFYlzu5SjLiimgm1K/HXt/Vo&#10;hpHzRDEiteIlPnGHH5cfPyx6U/CxbrVk3CIIolzRmxK33psiSRxteUfcnTZcwWOjbUc8XO0uYZb0&#10;EL2TyThNp0mvLTNWU+4caOvhES9j/Kbh1L80jeMeyRJDbT6eNp7bcCbLBSl2lphW0HMZ5B+q6IhQ&#10;kPQaqiaeoL0Vf4TqBLXa6cbfUd0lumkE5REDoMnSd2heW2J4xALNcebaJvf/wtIvh41FgpU4x0iR&#10;Dkb0tPc6Zkbj7D40qDeuALtKbWyASI/q1Txr+s0hpauWqB2P5m8nA95Z8EhuXMLFGUiz7T9rBjYE&#10;MsRuHRvbhZDQB3SMQzldh8KPHlFQZmk6n05gdvTylpDi4mis85+47lAQSuy8JWLX+korBaPXNotp&#10;yOHZ+VAWKS4OIavSayFlZIBUqIdUk9nDJHo4LQULr8EukpFX0qIDARr54xBV7juAM+gmKfwGMoEa&#10;KPdODZmvUWIdNwms3isW62g5Yauz7ImQICMf++qtgE5LjkOhHWcYSQ4bF6QBmVShVugaYD1LAwO/&#10;z9P5araa5aN8PF2N8rSuR0/rKh9N19nDpL6vq6rOfgTYWV60gjGuAvLLNmT537HtvJcDj6/7cO1x&#10;chs9NgGKvfzHoiNtAlMGzm01O21sQBcYBAsQjc/LGjbs93u0+vVJWf4EAAD//wMAUEsDBBQABgAI&#10;AAAAIQDfspmw3wAAAAkBAAAPAAAAZHJzL2Rvd25yZXYueG1sTI9PS8NAEMXvhX6HZQQvxW6yorQx&#10;m9IKogcp9A+et9kxCWZnQ3bbxn56R3rQ43vz4817+WJwrThhHxpPGtJpAgKp9LahSsN+93I3AxGi&#10;IWtaT6jhGwMsivEoN5n1Z9rgaRsrwSEUMqOhjrHLpAxljc6Eqe+Q+Pbpe2ciy76StjdnDnetVEny&#10;KJ1piD/UpsPnGsuv7dFpuOy7cr3zq7Way9nrcjP5eHu/KK1vb4blE4iIQ/yD4bc+V4eCOx38kWwQ&#10;LesHpRjVoOY8gYH7NGXjcDVkkcv/C4ofAAAA//8DAFBLAQItABQABgAIAAAAIQC2gziS/gAAAOEB&#10;AAATAAAAAAAAAAAAAAAAAAAAAABbQ29udGVudF9UeXBlc10ueG1sUEsBAi0AFAAGAAgAAAAhADj9&#10;If/WAAAAlAEAAAsAAAAAAAAAAAAAAAAALwEAAF9yZWxzLy5yZWxzUEsBAi0AFAAGAAgAAAAhAOHv&#10;nhNKAgAAmgQAAA4AAAAAAAAAAAAAAAAALgIAAGRycy9lMm9Eb2MueG1sUEsBAi0AFAAGAAgAAAAh&#10;AN+ymbDfAAAACQEAAA8AAAAAAAAAAAAAAAAApAQAAGRycy9kb3ducmV2LnhtbFBLBQYAAAAABAAE&#10;APMAAACwBQAAAAA=&#10;">
                  <v:path arrowok="t"/>
                  <v:fill on="f" focussize="0,0"/>
                  <v:stroke weight="1.25pt" color="#808080 [1629]" endarrow="block"/>
                  <v:imagedata o:title=""/>
                  <o:lock v:ext="edit"/>
                </v:shape>
              </w:pict>
            </w:r>
          </w:p>
          <w:p>
            <w:pPr>
              <w:ind w:firstLine="1528" w:firstLineChars="637"/>
              <w:rPr>
                <w:rFonts w:ascii="宋体" w:hAnsi="宋体"/>
                <w:bCs/>
                <w:sz w:val="24"/>
              </w:rPr>
            </w:pPr>
            <w:r>
              <w:rPr>
                <w:rFonts w:ascii="宋体" w:hAnsi="宋体"/>
                <w:bCs/>
                <w:sz w:val="24"/>
              </w:rPr>
              <w:pict>
                <v:shape id="AutoShape 216" o:spid="_x0000_s1072" o:spt="32" type="#_x0000_t32" style="position:absolute;left:0pt;margin-left:210.35pt;margin-top:14.85pt;height:21pt;width:0pt;z-index:251699200;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fFUSgIAAJkEAAAOAAAAZHJzL2Uyb0RvYy54bWysVE2P2jAQvVfqf7B8hyRsYNmIsFol0Mu2&#10;i7TbH2Bsh1h1bMs2BFT1v3fsAC3bS1WVg7HH8/He+E0Wj8dOogO3TmhV4mycYsQV1UyoXYm/vq1H&#10;c4ycJ4oRqRUv8Yk7/Lj8+GHRm4JPdKsl4xZBEuWK3pS49d4USeJoyzvixtpwBZeNth3xcLS7hFnS&#10;Q/ZOJpM0nSW9tsxYTblzYK2HS7yM+ZuGU//SNI57JEsM2HxcbVy3YU2WC1LsLDGtoGcY5B9QdEQo&#10;KHpNVRNP0N6KP1J1glrtdOPHVHeJbhpBeeQAbLL0HZvXlhgeuUBznLm2yf2/tPTLYWORYCW+w0iR&#10;Dp7oae91rIwm2Sw0qDeuAL9KbWygSI/q1Txr+s0hpauWqB2P7m8nA9FZiEhuQsLBGSiz7T9rBj4E&#10;KsRuHRvbhZTQB3SMj3K6Pgo/ekQHIwXrZDa7T+N7JaS4xBnr/CeuOxQ2JXbeErFrfaWVgpfXNotV&#10;yOHZ+YCKFJeAUFTptZAyCkAq1AP06fx+GiOcloKF2+AXtcgradGBgIr8ccgq9x2wGWzTFH6DlsAM&#10;intnhsrXLBHHTQGr94pFHC0nbHXeeyIk7JGPbfVWQKMlxwFoxxlGksPAhd3ATKqAFZoGXM+7QYDf&#10;H9KH1Xw1z0f5ZLYa5Wldj57WVT6arbP7aX1XV1Wd/Qi0s7xoBWNcBeaXYcjyvxPbeSwHGV/H4drj&#10;5DZ7bAKAvfxH0FE1QSiD5LaanTY2sAsCAv1H5/OshgH7/Ry9fn1Rlj8BAAD//wMAUEsDBBQABgAI&#10;AAAAIQC3w4h83wAAAAkBAAAPAAAAZHJzL2Rvd25yZXYueG1sTI9NS8NAEIbvgv9hGcGL2E2DmDZm&#10;UqogepBCP/C8zY5JMDsbsts29tc74kFPw8w8vPNMsRhdp440hNYzwnSSgCKuvG25Rthtn29noEI0&#10;bE3nmRC+KMCivLwoTG79idd03MRaSQiH3CA0Mfa51qFqyJkw8T2x7D784EyUdqi1HcxJwl2n0yS5&#10;1860LBca09NTQ9Xn5uAQzru+Wm394yqd69nLcn3z/vp2ThGvr8blA6hIY/yD4Udf1KEUp70/sA2q&#10;Q7hLk0xQhHQuVYDfwR4hm2agy0L//6D8BgAA//8DAFBLAQItABQABgAIAAAAIQC2gziS/gAAAOEB&#10;AAATAAAAAAAAAAAAAAAAAAAAAABbQ29udGVudF9UeXBlc10ueG1sUEsBAi0AFAAGAAgAAAAhADj9&#10;If/WAAAAlAEAAAsAAAAAAAAAAAAAAAAALwEAAF9yZWxzLy5yZWxzUEsBAi0AFAAGAAgAAAAhAB7x&#10;8VRKAgAAmQQAAA4AAAAAAAAAAAAAAAAALgIAAGRycy9lMm9Eb2MueG1sUEsBAi0AFAAGAAgAAAAh&#10;ALfDiHzfAAAACQEAAA8AAAAAAAAAAAAAAAAApAQAAGRycy9kb3ducmV2LnhtbFBLBQYAAAAABAAE&#10;APMAAACwBQAAAAA=&#10;">
                  <v:path arrowok="t"/>
                  <v:fill on="f" focussize="0,0"/>
                  <v:stroke weight="1.25pt" color="#808080 [1629]" endarrow="block"/>
                  <v:imagedata o:title=""/>
                  <o:lock v:ext="edit"/>
                </v:shape>
              </w:pict>
            </w:r>
          </w:p>
          <w:p>
            <w:pPr>
              <w:ind w:firstLine="1528" w:firstLineChars="637"/>
              <w:rPr>
                <w:rFonts w:ascii="宋体" w:hAnsi="宋体"/>
                <w:bCs/>
                <w:sz w:val="24"/>
              </w:rPr>
            </w:pPr>
          </w:p>
          <w:p>
            <w:pPr>
              <w:ind w:firstLine="1528" w:firstLineChars="637"/>
              <w:rPr>
                <w:rFonts w:ascii="宋体" w:hAnsi="宋体"/>
                <w:bCs/>
                <w:sz w:val="24"/>
              </w:rPr>
            </w:pPr>
            <w:r>
              <w:rPr>
                <w:rFonts w:ascii="宋体" w:hAnsi="宋体"/>
                <w:bCs/>
                <w:sz w:val="24"/>
              </w:rPr>
              <w:pict>
                <v:shape id="Text Box 218" o:spid="_x0000_s1070" o:spt="202" type="#_x0000_t202" style="position:absolute;left:0pt;margin-left:146.6pt;margin-top:4.25pt;height:24pt;width:161.25pt;z-index:251701248;mso-width-relative:page;mso-height-relative:page;"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IN8YAIAANUEAAAOAAAAZHJzL2Uyb0RvYy54bWysVE2P0zAQvSPxHyzf2aQlZUvUdLV0WYS0&#10;fEi7iLPrOImF4zFjt8ny6xk7bSkgOCBysGyP/fzmvZmsrsbesL1Cr8FWfHaRc6ashFrbtuKfHm6f&#10;LTnzQdhaGLCq4o/K86v10yerwZVqDh2YWiEjEOvLwVW8C8GVWeZlp3rhL8ApS8EGsBeBlthmNYqB&#10;0HuTzfP8RTYA1g5BKu9p92YK8nXCbxolw4em8SowU3HiFtKIadzGMVuvRNmicJ2WBxriH1j0Qlt6&#10;9AR1I4JgO9S/QfVaInhowoWEPoOm0VKlHCibWf5LNvedcCrlQuJ4d5LJ/z9Y+X7/EZmuKz7nzIqe&#10;LHpQY2CvYGTz2TLqMzhf0rF7RwfDSAHyOeXq3R3IL55Z2HTCtuoaEYZOiZr4zeLN7OzqhOMjyHZ4&#10;BzU9JHYBEtDYYB/FIzkYoZNPjydvIhlJm/O8uFxeLjiTFHueF8s8mZeJ8njboQ9vFPQsTiqO5H1C&#10;F/s7HyIbUR6PHJyqb7UxDCF81qFLYsdnU9DTnWnCHFA+07bHdrsxyPaCyuk2fSlP8t2fn57l8ZtE&#10;+usV4tQenzLaMpLxkHmMoEgMI7KxbCBVF1GCuPZg9Cn4Z1o/Het1oF4zuq84qRcJpuqPjr22dZoH&#10;oc00p/eNPVgYXZv8C+N2TNVSFMfS2EL9SKaSipF5/BfQpAP8xtlAfVVx/3UnUHFm3loS8uWsKGIj&#10;pkWxuJzTAs8j2/OIsJKgKh44SROnmzA1786hbjt6aSpFC9dUTI1OPseqm1gd+FPvJPsPfR6b83yd&#10;Tv34G62/AwAA//8DAFBLAwQUAAYACAAAACEAIrFr1d8AAAAIAQAADwAAAGRycy9kb3ducmV2Lnht&#10;bEyPwU7DMBBE70j8g7VIXFDr1MghDdlUCMERVRRawc2JlyQitqPYbdK/x5zgOJrRzJtiM5uenWj0&#10;nbMIq2UCjGztdGcbhPe350UGzAdlteqdJYQzediUlxeFyrWb7CuddqFhscT6XCG0IQw5575uySi/&#10;dAPZ6H250agQ5dhwPaoplpueiyRJuVGdjQutGuixpfp7dzQI+30m1p8fKZfb7cvTVMnD+UYKxOur&#10;+eEeWKA5/IXhFz+iQxmZKne02rMeQaxvRYwiZBJY9NOVvANWIchUAi8L/v9A+QMAAP//AwBQSwEC&#10;LQAUAAYACAAAACEAtoM4kv4AAADhAQAAEwAAAAAAAAAAAAAAAAAAAAAAW0NvbnRlbnRfVHlwZXNd&#10;LnhtbFBLAQItABQABgAIAAAAIQA4/SH/1gAAAJQBAAALAAAAAAAAAAAAAAAAAC8BAABfcmVscy8u&#10;cmVsc1BLAQItABQABgAIAAAAIQDV8IN8YAIAANUEAAAOAAAAAAAAAAAAAAAAAC4CAABkcnMvZTJv&#10;RG9jLnhtbFBLAQItABQABgAIAAAAIQAisWvV3wAAAAgBAAAPAAAAAAAAAAAAAAAAALoEAABkcnMv&#10;ZG93bnJldi54bWxQSwUGAAAAAAQABADzAAAAxgUAAAAA&#10;">
                  <v:path/>
                  <v:fill type="gradient" on="t" angle="90" focus="100%" focussize="0f,0f">
                    <o:fill type="gradientUnscaled" v:ext="backwardCompatible"/>
                  </v:fill>
                  <v:stroke weight="1.25pt" color="#FFFFFF" joinstyle="miter"/>
                  <v:imagedata o:title=""/>
                  <o:lock v:ext="edit"/>
                  <v:textbox>
                    <w:txbxContent>
                      <w:p>
                        <w:r>
                          <w:rPr>
                            <w:rFonts w:hint="eastAsia"/>
                          </w:rPr>
                          <w:t>固废、音响设备噪音、废水</w:t>
                        </w:r>
                      </w:p>
                    </w:txbxContent>
                  </v:textbox>
                </v:shape>
              </w:pict>
            </w:r>
          </w:p>
          <w:p>
            <w:pPr>
              <w:ind w:firstLine="1528" w:firstLineChars="637"/>
              <w:rPr>
                <w:rFonts w:ascii="宋体" w:hAnsi="宋体"/>
                <w:bCs/>
                <w:sz w:val="24"/>
              </w:rPr>
            </w:pPr>
          </w:p>
          <w:p>
            <w:pPr>
              <w:ind w:firstLine="1528" w:firstLineChars="637"/>
              <w:rPr>
                <w:rFonts w:ascii="宋体" w:hAnsi="宋体"/>
                <w:bCs/>
                <w:sz w:val="24"/>
              </w:rPr>
            </w:pPr>
            <w:r>
              <w:rPr>
                <w:rFonts w:ascii="宋体" w:hAnsi="宋体"/>
                <w:bCs/>
                <w:sz w:val="24"/>
              </w:rPr>
              <w:t>图</w:t>
            </w:r>
            <w:r>
              <w:rPr>
                <w:rFonts w:hint="eastAsia" w:ascii="宋体" w:hAnsi="宋体"/>
                <w:bCs/>
                <w:sz w:val="24"/>
              </w:rPr>
              <w:t xml:space="preserve">4 </w:t>
            </w:r>
            <w:r>
              <w:rPr>
                <w:rFonts w:ascii="宋体" w:hAnsi="宋体"/>
                <w:bCs/>
                <w:sz w:val="24"/>
              </w:rPr>
              <w:t xml:space="preserve">  酒店</w:t>
            </w:r>
            <w:r>
              <w:rPr>
                <w:rFonts w:hint="eastAsia" w:ascii="宋体" w:hAnsi="宋体"/>
                <w:bCs/>
                <w:sz w:val="24"/>
              </w:rPr>
              <w:t>住宿、会议、演播厅</w:t>
            </w:r>
            <w:r>
              <w:rPr>
                <w:rFonts w:ascii="宋体" w:hAnsi="宋体"/>
                <w:bCs/>
                <w:sz w:val="24"/>
              </w:rPr>
              <w:t>产</w:t>
            </w:r>
            <w:r>
              <w:rPr>
                <w:rFonts w:hint="eastAsia" w:ascii="宋体" w:hAnsi="宋体"/>
                <w:bCs/>
                <w:sz w:val="24"/>
              </w:rPr>
              <w:t>污</w:t>
            </w:r>
            <w:r>
              <w:rPr>
                <w:rFonts w:ascii="宋体" w:hAnsi="宋体"/>
                <w:bCs/>
                <w:sz w:val="24"/>
              </w:rPr>
              <w:t>环节图</w:t>
            </w:r>
          </w:p>
          <w:p>
            <w:pPr>
              <w:spacing w:line="400" w:lineRule="exact"/>
              <w:rPr>
                <w:color w:val="000000"/>
                <w:sz w:val="24"/>
              </w:rPr>
            </w:pPr>
            <w:r>
              <w:rPr>
                <w:rFonts w:hint="eastAsia"/>
                <w:b/>
                <w:bCs/>
                <w:color w:val="000000"/>
                <w:sz w:val="24"/>
              </w:rPr>
              <w:t>二、</w:t>
            </w:r>
            <w:r>
              <w:rPr>
                <w:b/>
                <w:bCs/>
                <w:color w:val="000000"/>
                <w:sz w:val="24"/>
              </w:rPr>
              <w:t>主要污染工序：</w:t>
            </w:r>
          </w:p>
          <w:p>
            <w:pPr>
              <w:spacing w:line="360" w:lineRule="auto"/>
              <w:ind w:firstLine="480" w:firstLineChars="200"/>
              <w:rPr>
                <w:rFonts w:ascii="宋体" w:hAnsi="宋体"/>
                <w:bCs/>
                <w:sz w:val="24"/>
              </w:rPr>
            </w:pPr>
            <w:r>
              <w:rPr>
                <w:rFonts w:hint="eastAsia" w:ascii="宋体" w:hAnsi="宋体"/>
                <w:bCs/>
                <w:sz w:val="24"/>
              </w:rPr>
              <w:t>（一）</w:t>
            </w:r>
            <w:r>
              <w:rPr>
                <w:rFonts w:ascii="宋体" w:hAnsi="宋体"/>
                <w:bCs/>
                <w:sz w:val="24"/>
              </w:rPr>
              <w:t>施工期</w:t>
            </w:r>
          </w:p>
          <w:p>
            <w:pPr>
              <w:spacing w:line="360" w:lineRule="auto"/>
              <w:ind w:firstLine="480" w:firstLineChars="200"/>
              <w:rPr>
                <w:rFonts w:ascii="宋体" w:hAnsi="宋体"/>
                <w:sz w:val="24"/>
              </w:rPr>
            </w:pPr>
            <w:r>
              <w:rPr>
                <w:rFonts w:hint="eastAsia" w:ascii="宋体" w:hAnsi="宋体"/>
                <w:sz w:val="24"/>
              </w:rPr>
              <w:t>本项目施工内容包括场地平整、地基开挖、主体建设、附属设施建设`装修及收尾等。施工期产生的污染物主要有废气、废水、噪声、建筑固废等。</w:t>
            </w:r>
          </w:p>
          <w:p>
            <w:pPr>
              <w:spacing w:line="360" w:lineRule="auto"/>
              <w:ind w:firstLine="480" w:firstLineChars="200"/>
              <w:rPr>
                <w:rFonts w:ascii="宋体" w:hAnsi="宋体"/>
                <w:sz w:val="24"/>
              </w:rPr>
            </w:pPr>
            <w:r>
              <w:rPr>
                <w:rFonts w:hint="eastAsia" w:ascii="宋体" w:hAnsi="宋体"/>
                <w:sz w:val="24"/>
              </w:rPr>
              <w:t>1、大气污染源分析</w:t>
            </w:r>
          </w:p>
          <w:p>
            <w:pPr>
              <w:spacing w:line="360" w:lineRule="auto"/>
              <w:ind w:firstLine="480" w:firstLineChars="200"/>
              <w:rPr>
                <w:rFonts w:ascii="宋体" w:hAnsi="宋体"/>
                <w:sz w:val="24"/>
              </w:rPr>
            </w:pPr>
            <w:r>
              <w:rPr>
                <w:rFonts w:hint="eastAsia" w:ascii="宋体" w:hAnsi="宋体"/>
                <w:sz w:val="24"/>
              </w:rPr>
              <w:t>施工期大气污染物主要来源于施工扬尘，其次有施工车辆、挖土机等燃油燃烧时排放的SO</w:t>
            </w:r>
            <w:r>
              <w:rPr>
                <w:rFonts w:hint="eastAsia" w:ascii="宋体" w:hAnsi="宋体"/>
                <w:sz w:val="24"/>
                <w:vertAlign w:val="subscript"/>
              </w:rPr>
              <w:t>2</w:t>
            </w:r>
            <w:r>
              <w:rPr>
                <w:rFonts w:hint="eastAsia" w:ascii="宋体" w:hAnsi="宋体"/>
                <w:sz w:val="24"/>
              </w:rPr>
              <w:t>、NO</w:t>
            </w:r>
            <w:r>
              <w:rPr>
                <w:rFonts w:hint="eastAsia" w:ascii="宋体" w:hAnsi="宋体"/>
                <w:sz w:val="24"/>
                <w:vertAlign w:val="subscript"/>
              </w:rPr>
              <w:t>2</w:t>
            </w:r>
            <w:r>
              <w:rPr>
                <w:rFonts w:hint="eastAsia" w:ascii="宋体" w:hAnsi="宋体"/>
                <w:sz w:val="24"/>
              </w:rPr>
              <w:t>、CO、烃类等污染物。</w:t>
            </w:r>
          </w:p>
          <w:p>
            <w:pPr>
              <w:spacing w:line="360" w:lineRule="auto"/>
              <w:ind w:firstLine="480" w:firstLineChars="200"/>
              <w:rPr>
                <w:rFonts w:ascii="宋体" w:hAnsi="宋体"/>
                <w:sz w:val="24"/>
              </w:rPr>
            </w:pPr>
            <w:r>
              <w:rPr>
                <w:rFonts w:hint="eastAsia" w:ascii="宋体" w:hAnsi="宋体"/>
                <w:sz w:val="24"/>
              </w:rPr>
              <w:t>（1）扬尘</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1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①</w:t>
            </w:r>
            <w:r>
              <w:rPr>
                <w:rFonts w:ascii="宋体" w:hAnsi="宋体"/>
                <w:sz w:val="24"/>
              </w:rPr>
              <w:fldChar w:fldCharType="end"/>
            </w:r>
            <w:r>
              <w:rPr>
                <w:rFonts w:hint="eastAsia" w:ascii="宋体" w:hAnsi="宋体"/>
                <w:sz w:val="24"/>
              </w:rPr>
              <w:t>施工场地的场地平整、土方挖掘、装卸和运输过程产生的扬尘、填方扬尘、管网布设路面开挖产生的扬尘。</w:t>
            </w:r>
          </w:p>
          <w:p>
            <w:pPr>
              <w:spacing w:line="360" w:lineRule="auto"/>
              <w:ind w:firstLine="480" w:firstLineChars="200"/>
              <w:rPr>
                <w:rFonts w:ascii="宋体" w:hAnsi="宋体"/>
                <w:sz w:val="24"/>
              </w:rPr>
            </w:pPr>
            <w:r>
              <w:rPr>
                <w:rFonts w:hint="eastAsia" w:ascii="宋体" w:hAnsi="宋体"/>
                <w:sz w:val="24"/>
              </w:rPr>
              <w:t>此类扬尘与砂土的粒度、湿度有关，并随天气条件而变化。一般而言，扬尘量与砂土的粒度、湿度成反比，而与地面风速及地面扬尘启动风速的三次方成正比。</w:t>
            </w:r>
          </w:p>
          <w:p>
            <w:pPr>
              <w:spacing w:line="360" w:lineRule="auto"/>
              <w:ind w:firstLine="480" w:firstLineChars="200"/>
              <w:rPr>
                <w:rFonts w:ascii="宋体" w:hAnsi="宋体"/>
                <w:sz w:val="24"/>
              </w:rPr>
            </w:pPr>
            <w:r>
              <w:rPr>
                <w:rFonts w:hint="eastAsia" w:ascii="宋体" w:hAnsi="宋体"/>
                <w:sz w:val="24"/>
              </w:rPr>
              <w:t>由于在施工过程中，土质一般较松散，因此，在大风、天气干燥尤其是秋冬少雨季节的气象条件下施工场地的地面扬尘可能对项目周边区域产生较大的影响。</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2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②</w:t>
            </w:r>
            <w:r>
              <w:rPr>
                <w:rFonts w:ascii="宋体" w:hAnsi="宋体"/>
                <w:sz w:val="24"/>
              </w:rPr>
              <w:fldChar w:fldCharType="end"/>
            </w:r>
            <w:r>
              <w:rPr>
                <w:rFonts w:hint="eastAsia" w:ascii="宋体" w:hAnsi="宋体"/>
                <w:sz w:val="24"/>
              </w:rPr>
              <w:t>施工物料的堆放、装卸过程产生的扬尘。</w:t>
            </w:r>
          </w:p>
          <w:p>
            <w:pPr>
              <w:spacing w:line="360" w:lineRule="auto"/>
              <w:ind w:firstLine="480" w:firstLineChars="200"/>
              <w:rPr>
                <w:rFonts w:ascii="宋体" w:hAnsi="宋体"/>
                <w:sz w:val="24"/>
              </w:rPr>
            </w:pPr>
            <w:r>
              <w:rPr>
                <w:rFonts w:hint="eastAsia" w:ascii="宋体" w:hAnsi="宋体"/>
                <w:sz w:val="24"/>
              </w:rPr>
              <w:t>在施工场地的物料堆场，若水泥、砂石等土建材料露天堆放不加覆盖，容易导致扬尘的发生。此类扬尘的产生条件及产生量与场地平整、土石方清挖过程的地面扬尘的情况基本相似。</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3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③</w:t>
            </w:r>
            <w:r>
              <w:rPr>
                <w:rFonts w:ascii="宋体" w:hAnsi="宋体"/>
                <w:sz w:val="24"/>
              </w:rPr>
              <w:fldChar w:fldCharType="end"/>
            </w:r>
            <w:r>
              <w:rPr>
                <w:rFonts w:hint="eastAsia" w:ascii="宋体" w:hAnsi="宋体"/>
                <w:sz w:val="24"/>
              </w:rPr>
              <w:t>建筑物料的运输造成的道路扬尘。</w:t>
            </w:r>
          </w:p>
          <w:p>
            <w:pPr>
              <w:spacing w:line="360" w:lineRule="auto"/>
              <w:ind w:firstLine="480" w:firstLineChars="200"/>
              <w:rPr>
                <w:rFonts w:ascii="宋体" w:hAnsi="宋体"/>
                <w:sz w:val="24"/>
              </w:rPr>
            </w:pPr>
            <w:r>
              <w:rPr>
                <w:rFonts w:hint="eastAsia" w:ascii="宋体" w:hAnsi="宋体"/>
                <w:sz w:val="24"/>
              </w:rPr>
              <w:t>施工车辆行驶时产生的路面扬尘、车上物料的沿途散落和风致扬尘。路面扬尘与路况、天气条件密切相关。对施工车辆经过的路段而言，积尘相对较多，若不能经常清除、冲洗路面积尘，则车辆经过时引起的扬尘较一般交通路面大得多，尤其在干燥的天气条件下，对道路两侧的影响明显。</w:t>
            </w:r>
          </w:p>
          <w:p>
            <w:pPr>
              <w:spacing w:line="360" w:lineRule="auto"/>
              <w:ind w:firstLine="480" w:firstLineChars="200"/>
              <w:rPr>
                <w:rFonts w:ascii="宋体" w:hAnsi="宋体"/>
                <w:sz w:val="24"/>
              </w:rPr>
            </w:pPr>
            <w:r>
              <w:rPr>
                <w:rFonts w:hint="eastAsia" w:ascii="宋体" w:hAnsi="宋体"/>
                <w:sz w:val="24"/>
              </w:rPr>
              <w:t>在物料运输过程中，物料在起、迄点的装卸和沿途的散落也会产生一定数量的扬尘。</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4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④</w:t>
            </w:r>
            <w:r>
              <w:rPr>
                <w:rFonts w:ascii="宋体" w:hAnsi="宋体"/>
                <w:sz w:val="24"/>
              </w:rPr>
              <w:fldChar w:fldCharType="end"/>
            </w:r>
            <w:r>
              <w:rPr>
                <w:rFonts w:hint="eastAsia" w:ascii="宋体" w:hAnsi="宋体"/>
                <w:sz w:val="24"/>
              </w:rPr>
              <w:t>清除固废和装模，拆模以及清理工作面引起的扬尘。</w:t>
            </w:r>
          </w:p>
          <w:p>
            <w:pPr>
              <w:spacing w:line="360" w:lineRule="auto"/>
              <w:ind w:firstLine="480" w:firstLineChars="200"/>
              <w:rPr>
                <w:rFonts w:ascii="宋体" w:hAnsi="宋体"/>
                <w:sz w:val="24"/>
              </w:rPr>
            </w:pPr>
            <w:r>
              <w:rPr>
                <w:rFonts w:hint="eastAsia" w:ascii="宋体" w:hAnsi="宋体"/>
                <w:sz w:val="24"/>
              </w:rPr>
              <w:t>（2）施工机械、运输车辆排放的废气。</w:t>
            </w:r>
          </w:p>
          <w:p>
            <w:pPr>
              <w:spacing w:line="360" w:lineRule="auto"/>
              <w:ind w:firstLine="480" w:firstLineChars="200"/>
              <w:rPr>
                <w:rFonts w:ascii="宋体" w:hAnsi="宋体"/>
                <w:sz w:val="24"/>
              </w:rPr>
            </w:pPr>
            <w:r>
              <w:rPr>
                <w:rFonts w:hint="eastAsia" w:ascii="宋体" w:hAnsi="宋体"/>
                <w:sz w:val="24"/>
              </w:rPr>
              <w:t>在工程施工期间，使用液体燃料的施工机械及运输车辆的发动机排放的尾气中含有NO2、CO、THC等污染物，一般情况下，各种污染物的排放量不大，对周围环境的影响较小。</w:t>
            </w:r>
          </w:p>
          <w:p>
            <w:pPr>
              <w:spacing w:line="360" w:lineRule="auto"/>
              <w:ind w:firstLine="480" w:firstLineChars="200"/>
              <w:rPr>
                <w:rFonts w:ascii="宋体" w:hAnsi="宋体"/>
                <w:sz w:val="24"/>
              </w:rPr>
            </w:pPr>
            <w:r>
              <w:rPr>
                <w:rFonts w:hint="eastAsia" w:ascii="宋体" w:hAnsi="宋体"/>
                <w:sz w:val="24"/>
              </w:rPr>
              <w:t>（3）装修期间有机溶剂废气。</w:t>
            </w:r>
          </w:p>
          <w:p>
            <w:pPr>
              <w:spacing w:line="360" w:lineRule="auto"/>
              <w:ind w:firstLine="480" w:firstLineChars="200"/>
              <w:rPr>
                <w:rFonts w:ascii="宋体" w:hAnsi="宋体"/>
                <w:sz w:val="24"/>
              </w:rPr>
            </w:pPr>
            <w:r>
              <w:rPr>
                <w:rFonts w:hint="eastAsia" w:ascii="宋体" w:hAnsi="宋体"/>
                <w:sz w:val="24"/>
              </w:rPr>
              <w:t>2、水污染源分析</w:t>
            </w:r>
          </w:p>
          <w:p>
            <w:pPr>
              <w:spacing w:line="360" w:lineRule="auto"/>
              <w:ind w:firstLine="480" w:firstLineChars="200"/>
              <w:rPr>
                <w:rFonts w:ascii="宋体" w:hAnsi="宋体"/>
                <w:color w:val="auto"/>
                <w:sz w:val="24"/>
              </w:rPr>
            </w:pPr>
            <w:r>
              <w:rPr>
                <w:rFonts w:hint="eastAsia" w:ascii="宋体" w:hAnsi="宋体"/>
                <w:sz w:val="24"/>
              </w:rPr>
              <w:t>项目施工期废水主要包括施工冲洗废水、施工人员的生活污水</w:t>
            </w:r>
            <w:r>
              <w:rPr>
                <w:rFonts w:hint="eastAsia" w:ascii="宋体" w:hAnsi="宋体"/>
                <w:color w:val="auto"/>
                <w:sz w:val="24"/>
                <w:szCs w:val="24"/>
              </w:rPr>
              <w:t>及</w:t>
            </w:r>
            <w:r>
              <w:rPr>
                <w:rFonts w:hint="eastAsia"/>
                <w:color w:val="auto"/>
                <w:sz w:val="24"/>
                <w:szCs w:val="24"/>
              </w:rPr>
              <w:t>施工场地含泥雨水</w:t>
            </w:r>
            <w:r>
              <w:rPr>
                <w:rFonts w:hint="eastAsia" w:ascii="宋体" w:hAnsi="宋体"/>
                <w:color w:val="auto"/>
                <w:sz w:val="24"/>
              </w:rPr>
              <w:t>。</w:t>
            </w:r>
          </w:p>
          <w:p>
            <w:pPr>
              <w:spacing w:line="360" w:lineRule="auto"/>
              <w:ind w:firstLine="480" w:firstLineChars="200"/>
              <w:rPr>
                <w:rFonts w:ascii="宋体" w:hAnsi="宋体"/>
                <w:sz w:val="24"/>
              </w:rPr>
            </w:pPr>
            <w:r>
              <w:rPr>
                <w:rFonts w:hint="eastAsia" w:ascii="宋体" w:hAnsi="宋体"/>
                <w:sz w:val="24"/>
              </w:rPr>
              <w:t>（1）施工冲洗废水</w:t>
            </w:r>
          </w:p>
          <w:p>
            <w:pPr>
              <w:spacing w:line="360" w:lineRule="auto"/>
              <w:ind w:firstLine="480" w:firstLineChars="200"/>
              <w:rPr>
                <w:rFonts w:ascii="宋体" w:hAnsi="宋体"/>
                <w:sz w:val="24"/>
              </w:rPr>
            </w:pPr>
            <w:r>
              <w:rPr>
                <w:rFonts w:hint="eastAsia" w:ascii="宋体" w:hAnsi="宋体"/>
                <w:sz w:val="24"/>
              </w:rPr>
              <w:t>施工生产废水的产生量难以确定,其主要污染物为悬浮物、油污。建设单位拟将</w:t>
            </w:r>
          </w:p>
          <w:p>
            <w:pPr>
              <w:spacing w:line="360" w:lineRule="auto"/>
              <w:rPr>
                <w:rFonts w:ascii="宋体" w:hAnsi="宋体"/>
                <w:sz w:val="24"/>
              </w:rPr>
            </w:pPr>
            <w:r>
              <w:rPr>
                <w:rFonts w:hint="eastAsia" w:ascii="宋体" w:hAnsi="宋体"/>
                <w:sz w:val="24"/>
              </w:rPr>
              <w:t>生产废水收集起来，经沉淀池处理后,用于场地洒水降尘不外排,施工废水对地表水环境影响不大,严禁施工废水未经处理直接排放。</w:t>
            </w:r>
          </w:p>
          <w:p>
            <w:pPr>
              <w:spacing w:line="360" w:lineRule="auto"/>
              <w:ind w:firstLine="480" w:firstLineChars="200"/>
              <w:rPr>
                <w:rFonts w:ascii="宋体" w:hAnsi="宋体"/>
                <w:sz w:val="24"/>
              </w:rPr>
            </w:pPr>
            <w:r>
              <w:rPr>
                <w:rFonts w:hint="eastAsia" w:ascii="宋体" w:hAnsi="宋体"/>
                <w:sz w:val="24"/>
              </w:rPr>
              <w:t>（2）生活污水</w:t>
            </w:r>
          </w:p>
          <w:p>
            <w:pPr>
              <w:spacing w:line="360" w:lineRule="auto"/>
              <w:ind w:firstLine="480" w:firstLineChars="200"/>
              <w:rPr>
                <w:rFonts w:hint="eastAsia" w:ascii="宋体" w:hAnsi="宋体"/>
                <w:sz w:val="24"/>
              </w:rPr>
            </w:pPr>
            <w:r>
              <w:rPr>
                <w:rFonts w:hint="eastAsia" w:ascii="宋体" w:hAnsi="宋体"/>
                <w:sz w:val="24"/>
              </w:rPr>
              <w:t>施工生活污水来自工地工棚。有效施工天数</w:t>
            </w:r>
            <w:r>
              <w:rPr>
                <w:rFonts w:hint="eastAsia" w:ascii="宋体" w:hAnsi="宋体"/>
                <w:color w:val="000000" w:themeColor="text1"/>
                <w:sz w:val="24"/>
              </w:rPr>
              <w:t>600天,平均施工人员200人,施工人员</w:t>
            </w:r>
            <w:r>
              <w:rPr>
                <w:rFonts w:hint="eastAsia" w:ascii="宋体" w:hAnsi="宋体"/>
                <w:sz w:val="24"/>
              </w:rPr>
              <w:t>均不在场地食宿，生活污水产生量少，生活污水经沉淀池处理后用于场地洒水降尘,场地设防渗旱厕,无施工生活废水外排。</w:t>
            </w:r>
          </w:p>
          <w:p>
            <w:pPr>
              <w:spacing w:line="360" w:lineRule="auto"/>
              <w:ind w:firstLine="480" w:firstLineChars="200"/>
              <w:rPr>
                <w:rFonts w:hint="eastAsia"/>
                <w:color w:val="auto"/>
                <w:sz w:val="24"/>
                <w:szCs w:val="24"/>
              </w:rPr>
            </w:pPr>
            <w:r>
              <w:rPr>
                <w:rFonts w:hint="eastAsia" w:ascii="宋体" w:hAnsi="宋体"/>
                <w:color w:val="auto"/>
                <w:sz w:val="24"/>
              </w:rPr>
              <w:t>（3）</w:t>
            </w:r>
            <w:r>
              <w:rPr>
                <w:rFonts w:hint="eastAsia"/>
                <w:color w:val="auto"/>
                <w:sz w:val="24"/>
                <w:szCs w:val="24"/>
              </w:rPr>
              <w:t>施工场地含泥雨水</w:t>
            </w:r>
          </w:p>
          <w:p>
            <w:pPr>
              <w:spacing w:line="360" w:lineRule="auto"/>
              <w:ind w:firstLine="470" w:firstLineChars="196"/>
              <w:rPr>
                <w:color w:val="auto"/>
                <w:sz w:val="24"/>
                <w:szCs w:val="24"/>
              </w:rPr>
            </w:pPr>
            <w:r>
              <w:rPr>
                <w:rFonts w:ascii="宋体" w:hAnsi="宋体"/>
                <w:bCs/>
                <w:color w:val="auto"/>
                <w:sz w:val="24"/>
              </w:rPr>
              <w:t>对</w:t>
            </w:r>
            <w:r>
              <w:rPr>
                <w:rFonts w:ascii="宋体" w:hAnsi="宋体"/>
                <w:color w:val="auto"/>
                <w:sz w:val="24"/>
              </w:rPr>
              <w:t>施工产生的泥浆水及洗车平台废水应设置临时沉砂池，含泥沙雨水、泥浆水应经沉淀</w:t>
            </w:r>
            <w:r>
              <w:rPr>
                <w:rFonts w:hint="eastAsia" w:ascii="宋体" w:hAnsi="宋体"/>
                <w:color w:val="auto"/>
                <w:sz w:val="24"/>
              </w:rPr>
              <w:t>池处理后</w:t>
            </w:r>
            <w:r>
              <w:rPr>
                <w:rFonts w:hint="eastAsia" w:ascii="宋体" w:hAnsi="宋体"/>
                <w:color w:val="auto"/>
                <w:sz w:val="24"/>
                <w:lang w:eastAsia="zh-CN"/>
              </w:rPr>
              <w:t>，</w:t>
            </w:r>
            <w:r>
              <w:rPr>
                <w:rFonts w:hint="eastAsia" w:ascii="宋体" w:hAnsi="宋体"/>
                <w:color w:val="auto"/>
                <w:sz w:val="24"/>
              </w:rPr>
              <w:t>用于场地洒水降尘不外排</w:t>
            </w:r>
            <w:r>
              <w:rPr>
                <w:rFonts w:hint="eastAsia" w:ascii="宋体" w:hAnsi="宋体"/>
                <w:color w:val="auto"/>
                <w:sz w:val="24"/>
                <w:lang w:eastAsia="zh-CN"/>
              </w:rPr>
              <w:t>。</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w:t>
            </w:r>
            <w:r>
              <w:rPr>
                <w:rFonts w:ascii="宋体" w:hAnsi="宋体"/>
                <w:sz w:val="24"/>
              </w:rPr>
              <w:t>噪声</w:t>
            </w:r>
          </w:p>
          <w:p>
            <w:pPr>
              <w:spacing w:line="360" w:lineRule="auto"/>
              <w:ind w:firstLine="480" w:firstLineChars="200"/>
              <w:rPr>
                <w:rFonts w:ascii="宋体" w:hAnsi="宋体"/>
                <w:sz w:val="24"/>
              </w:rPr>
            </w:pPr>
            <w:r>
              <w:rPr>
                <w:rFonts w:ascii="宋体" w:hAnsi="宋体"/>
                <w:sz w:val="24"/>
              </w:rPr>
              <w:t>施工期的主要噪声源是施工机械作业时产生的噪声和振动、出入施工场地车辆（主要是建筑材料运输车辆）产生的噪声。机械设备振动产生的噪声声压级介于50～84dB（A）之间且随距离衰减较快，其影响范围较小，因此对于机械振动对周围环境的影响不作具体分析，仅考虑噪声的影响。</w:t>
            </w:r>
          </w:p>
          <w:p>
            <w:pPr>
              <w:spacing w:line="360" w:lineRule="auto"/>
              <w:ind w:firstLine="480" w:firstLineChars="200"/>
              <w:rPr>
                <w:rFonts w:ascii="宋体" w:hAnsi="宋体"/>
                <w:sz w:val="24"/>
              </w:rPr>
            </w:pPr>
            <w:r>
              <w:rPr>
                <w:rFonts w:ascii="宋体" w:hAnsi="宋体"/>
                <w:sz w:val="24"/>
              </w:rPr>
              <w:t>（1）机械噪声源</w:t>
            </w:r>
          </w:p>
          <w:p>
            <w:pPr>
              <w:spacing w:line="360" w:lineRule="auto"/>
              <w:ind w:firstLine="480" w:firstLineChars="200"/>
              <w:rPr>
                <w:rFonts w:ascii="宋体" w:hAnsi="宋体"/>
                <w:color w:val="000000" w:themeColor="text1"/>
                <w:sz w:val="24"/>
              </w:rPr>
            </w:pPr>
            <w:r>
              <w:rPr>
                <w:rFonts w:ascii="宋体" w:hAnsi="宋体"/>
                <w:sz w:val="24"/>
              </w:rPr>
              <w:t>建筑施工所使用的机械设备主要有推土机、挖掘机、打桩机、混凝土搅拌机及运输车辆等，根据类比资料</w:t>
            </w:r>
            <w:r>
              <w:rPr>
                <w:rFonts w:hint="eastAsia" w:ascii="宋体" w:hAnsi="宋体"/>
                <w:sz w:val="24"/>
              </w:rPr>
              <w:t>，</w:t>
            </w:r>
            <w:r>
              <w:rPr>
                <w:rFonts w:ascii="宋体" w:hAnsi="宋体"/>
                <w:sz w:val="24"/>
              </w:rPr>
              <w:t>施工机械作业期间产生的噪声源强见表</w:t>
            </w:r>
            <w:r>
              <w:rPr>
                <w:rFonts w:hint="eastAsia" w:ascii="宋体" w:hAnsi="宋体"/>
                <w:sz w:val="24"/>
              </w:rPr>
              <w:t>18，各施工阶段主要噪声源强见</w:t>
            </w:r>
            <w:r>
              <w:rPr>
                <w:rFonts w:hint="eastAsia" w:ascii="宋体" w:hAnsi="宋体"/>
                <w:color w:val="000000" w:themeColor="text1"/>
                <w:sz w:val="24"/>
              </w:rPr>
              <w:t>表9</w:t>
            </w:r>
            <w:r>
              <w:rPr>
                <w:rFonts w:ascii="宋体" w:hAnsi="宋体"/>
                <w:color w:val="000000" w:themeColor="text1"/>
                <w:sz w:val="24"/>
              </w:rPr>
              <w:t>。</w:t>
            </w:r>
          </w:p>
          <w:p>
            <w:pPr>
              <w:snapToGrid w:val="0"/>
              <w:jc w:val="center"/>
              <w:rPr>
                <w:rFonts w:ascii="宋体" w:hAnsi="宋体"/>
                <w:sz w:val="24"/>
              </w:rPr>
            </w:pPr>
            <w:r>
              <w:rPr>
                <w:rFonts w:ascii="宋体" w:hAnsi="宋体"/>
                <w:color w:val="000000" w:themeColor="text1"/>
                <w:sz w:val="24"/>
              </w:rPr>
              <w:t>表</w:t>
            </w:r>
            <w:r>
              <w:rPr>
                <w:rFonts w:hint="eastAsia" w:ascii="宋体" w:hAnsi="宋体"/>
                <w:color w:val="000000" w:themeColor="text1"/>
                <w:sz w:val="24"/>
              </w:rPr>
              <w:t>9</w:t>
            </w:r>
            <w:r>
              <w:rPr>
                <w:rFonts w:ascii="宋体" w:hAnsi="宋体"/>
                <w:color w:val="000000" w:themeColor="text1"/>
                <w:sz w:val="24"/>
              </w:rPr>
              <w:t xml:space="preserve"> </w:t>
            </w:r>
            <w:r>
              <w:rPr>
                <w:rFonts w:ascii="宋体" w:hAnsi="宋体"/>
                <w:sz w:val="24"/>
              </w:rPr>
              <w:t xml:space="preserve">  </w:t>
            </w:r>
            <w:r>
              <w:rPr>
                <w:rFonts w:hint="eastAsia" w:ascii="宋体" w:hAnsi="宋体"/>
                <w:sz w:val="24"/>
              </w:rPr>
              <w:t>主要</w:t>
            </w:r>
            <w:r>
              <w:rPr>
                <w:rFonts w:ascii="宋体" w:hAnsi="宋体"/>
                <w:sz w:val="24"/>
              </w:rPr>
              <w:t>施工机械噪声源强</w:t>
            </w:r>
            <w:r>
              <w:rPr>
                <w:rFonts w:hint="eastAsia" w:ascii="宋体" w:hAnsi="宋体"/>
                <w:sz w:val="24"/>
              </w:rPr>
              <w:t>表</w:t>
            </w:r>
            <w:r>
              <w:rPr>
                <w:rFonts w:ascii="宋体" w:hAnsi="宋体"/>
                <w:sz w:val="24"/>
              </w:rPr>
              <w:t xml:space="preserve">    (单位：dB(A))</w:t>
            </w:r>
          </w:p>
          <w:tbl>
            <w:tblPr>
              <w:tblStyle w:val="42"/>
              <w:tblW w:w="88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2"/>
              <w:gridCol w:w="2901"/>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设备名称</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噪声级dB(A)</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t>测点距声源距离（m）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推土机</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78～96</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cr/>
                  </w:r>
                  <w:r>
                    <w:rPr>
                      <w:rFonts w:ascii="宋体" w:hAnsi="宋体"/>
                      <w:kern w:val="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搅拌机</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75～88</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振捣机</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90～10</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电</w:t>
                  </w:r>
                  <w:r>
                    <w:rPr>
                      <w:rFonts w:ascii="宋体" w:hAnsi="宋体"/>
                      <w:kern w:val="0"/>
                      <w:szCs w:val="21"/>
                    </w:rPr>
                    <w:cr/>
                  </w:r>
                  <w:r>
                    <w:rPr>
                      <w:rFonts w:ascii="宋体" w:hAnsi="宋体"/>
                      <w:kern w:val="0"/>
                      <w:szCs w:val="21"/>
                    </w:rPr>
                    <w:t>钻</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90～110</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电　锯</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100～110</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卷扬机</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95～105</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cr/>
                  </w:r>
                  <w:r>
                    <w:rPr>
                      <w:rFonts w:ascii="宋体" w:hAnsi="宋体"/>
                      <w:kern w:val="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水　泵</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85～95</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2902" w:type="dxa"/>
                  <w:vAlign w:val="center"/>
                </w:tcPr>
                <w:p>
                  <w:pPr>
                    <w:autoSpaceDE w:val="0"/>
                    <w:autoSpaceDN w:val="0"/>
                    <w:adjustRightInd w:val="0"/>
                    <w:jc w:val="center"/>
                    <w:rPr>
                      <w:rFonts w:ascii="宋体" w:hAnsi="宋体"/>
                      <w:kern w:val="0"/>
                      <w:szCs w:val="21"/>
                    </w:rPr>
                  </w:pPr>
                  <w:r>
                    <w:rPr>
                      <w:rFonts w:ascii="宋体" w:hAnsi="宋体"/>
                      <w:kern w:val="0"/>
                      <w:szCs w:val="21"/>
                    </w:rPr>
                    <w:t>中型载重卡车</w:t>
                  </w:r>
                </w:p>
              </w:tc>
              <w:tc>
                <w:tcPr>
                  <w:tcW w:w="2901" w:type="dxa"/>
                  <w:vAlign w:val="center"/>
                </w:tcPr>
                <w:p>
                  <w:pPr>
                    <w:autoSpaceDE w:val="0"/>
                    <w:autoSpaceDN w:val="0"/>
                    <w:adjustRightInd w:val="0"/>
                    <w:jc w:val="center"/>
                    <w:rPr>
                      <w:rFonts w:ascii="宋体" w:hAnsi="宋体"/>
                      <w:kern w:val="0"/>
                      <w:szCs w:val="21"/>
                    </w:rPr>
                  </w:pPr>
                  <w:r>
                    <w:rPr>
                      <w:rFonts w:ascii="宋体" w:hAnsi="宋体"/>
                      <w:kern w:val="0"/>
                      <w:szCs w:val="21"/>
                    </w:rPr>
                    <w:t>85～91</w:t>
                  </w:r>
                </w:p>
              </w:tc>
              <w:tc>
                <w:tcPr>
                  <w:tcW w:w="3043" w:type="dxa"/>
                  <w:vAlign w:val="center"/>
                </w:tcPr>
                <w:p>
                  <w:pPr>
                    <w:autoSpaceDE w:val="0"/>
                    <w:autoSpaceDN w:val="0"/>
                    <w:adjustRightInd w:val="0"/>
                    <w:jc w:val="center"/>
                    <w:rPr>
                      <w:rFonts w:ascii="宋体" w:hAnsi="宋体"/>
                      <w:kern w:val="0"/>
                      <w:szCs w:val="21"/>
                    </w:rPr>
                  </w:pPr>
                  <w:r>
                    <w:rPr>
                      <w:rFonts w:ascii="宋体" w:hAnsi="宋体"/>
                      <w:kern w:val="0"/>
                      <w:szCs w:val="21"/>
                    </w:rPr>
                    <w:t>1m</w:t>
                  </w:r>
                </w:p>
              </w:tc>
            </w:tr>
          </w:tbl>
          <w:p>
            <w:pPr>
              <w:snapToGrid w:val="0"/>
              <w:jc w:val="center"/>
              <w:rPr>
                <w:rFonts w:ascii="宋体" w:hAnsi="宋体"/>
                <w:color w:val="000000"/>
                <w:sz w:val="24"/>
              </w:rPr>
            </w:pPr>
          </w:p>
          <w:p>
            <w:pPr>
              <w:snapToGrid w:val="0"/>
              <w:jc w:val="center"/>
              <w:rPr>
                <w:rFonts w:ascii="宋体" w:hAnsi="宋体"/>
                <w:b/>
                <w:color w:val="000000"/>
                <w:szCs w:val="21"/>
              </w:rPr>
            </w:pPr>
            <w:r>
              <w:rPr>
                <w:rFonts w:ascii="宋体" w:hAnsi="宋体"/>
                <w:color w:val="000000"/>
                <w:sz w:val="24"/>
              </w:rPr>
              <w:t>表</w:t>
            </w:r>
            <w:r>
              <w:rPr>
                <w:rFonts w:hint="eastAsia" w:ascii="宋体" w:hAnsi="宋体"/>
                <w:color w:val="000000"/>
                <w:sz w:val="24"/>
              </w:rPr>
              <w:t>10</w:t>
            </w:r>
            <w:r>
              <w:rPr>
                <w:rFonts w:ascii="宋体" w:hAnsi="宋体"/>
                <w:color w:val="000000"/>
                <w:sz w:val="24"/>
              </w:rPr>
              <w:t>　</w:t>
            </w:r>
            <w:r>
              <w:rPr>
                <w:rFonts w:hint="eastAsia" w:ascii="宋体" w:hAnsi="宋体"/>
                <w:color w:val="000000"/>
                <w:sz w:val="24"/>
              </w:rPr>
              <w:t xml:space="preserve">    </w:t>
            </w:r>
            <w:r>
              <w:rPr>
                <w:rFonts w:ascii="宋体" w:hAnsi="宋体"/>
                <w:color w:val="000000"/>
                <w:sz w:val="24"/>
              </w:rPr>
              <w:t>各阶段主要</w:t>
            </w:r>
            <w:r>
              <w:rPr>
                <w:rFonts w:hint="eastAsia" w:ascii="宋体" w:hAnsi="宋体"/>
                <w:color w:val="000000"/>
                <w:sz w:val="24"/>
              </w:rPr>
              <w:t>噪声源强</w:t>
            </w:r>
            <w:r>
              <w:rPr>
                <w:rFonts w:ascii="宋体" w:hAnsi="宋体"/>
                <w:color w:val="000000"/>
                <w:sz w:val="24"/>
              </w:rPr>
              <w:t>统计表</w:t>
            </w:r>
            <w:r>
              <w:rPr>
                <w:rFonts w:ascii="宋体" w:hAnsi="宋体"/>
                <w:sz w:val="24"/>
              </w:rPr>
              <w:t xml:space="preserve">   (单位：dB(A)</w:t>
            </w:r>
            <w:r>
              <w:rPr>
                <w:rFonts w:ascii="宋体" w:hAnsi="宋体"/>
                <w:b/>
                <w:szCs w:val="21"/>
              </w:rPr>
              <w:t>)</w:t>
            </w:r>
          </w:p>
          <w:tbl>
            <w:tblPr>
              <w:tblStyle w:val="42"/>
              <w:tblW w:w="88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1313"/>
              <w:gridCol w:w="1474"/>
              <w:gridCol w:w="1475"/>
              <w:gridCol w:w="147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 w:hRule="atLeast"/>
                <w:jc w:val="center"/>
              </w:trPr>
              <w:tc>
                <w:tcPr>
                  <w:tcW w:w="1635" w:type="dxa"/>
                  <w:vAlign w:val="center"/>
                </w:tcPr>
                <w:p>
                  <w:pPr>
                    <w:autoSpaceDE w:val="0"/>
                    <w:autoSpaceDN w:val="0"/>
                    <w:adjustRightInd w:val="0"/>
                    <w:jc w:val="center"/>
                    <w:rPr>
                      <w:rFonts w:ascii="宋体" w:hAnsi="宋体"/>
                      <w:kern w:val="0"/>
                      <w:szCs w:val="21"/>
                    </w:rPr>
                  </w:pPr>
                  <w:r>
                    <w:rPr>
                      <w:rFonts w:ascii="宋体" w:hAnsi="宋体"/>
                      <w:kern w:val="0"/>
                      <w:szCs w:val="21"/>
                    </w:rPr>
                    <w:t>施工期</w:t>
                  </w:r>
                </w:p>
              </w:tc>
              <w:tc>
                <w:tcPr>
                  <w:tcW w:w="1313" w:type="dxa"/>
                  <w:vAlign w:val="center"/>
                </w:tcPr>
                <w:p>
                  <w:pPr>
                    <w:autoSpaceDE w:val="0"/>
                    <w:autoSpaceDN w:val="0"/>
                    <w:adjustRightInd w:val="0"/>
                    <w:jc w:val="center"/>
                    <w:rPr>
                      <w:rFonts w:ascii="宋体" w:hAnsi="宋体"/>
                      <w:kern w:val="0"/>
                      <w:szCs w:val="21"/>
                    </w:rPr>
                  </w:pPr>
                  <w:r>
                    <w:rPr>
                      <w:rFonts w:ascii="宋体" w:hAnsi="宋体"/>
                      <w:kern w:val="0"/>
                      <w:szCs w:val="21"/>
                    </w:rPr>
                    <w:t>主</w:t>
                  </w:r>
                  <w:r>
                    <w:rPr>
                      <w:rFonts w:ascii="宋体" w:hAnsi="宋体"/>
                      <w:kern w:val="0"/>
                      <w:szCs w:val="21"/>
                    </w:rPr>
                    <w:cr/>
                  </w:r>
                  <w:r>
                    <w:rPr>
                      <w:rFonts w:ascii="宋体" w:hAnsi="宋体"/>
                      <w:kern w:val="0"/>
                      <w:szCs w:val="21"/>
                    </w:rPr>
                    <w:t>声源</w:t>
                  </w:r>
                </w:p>
              </w:tc>
              <w:tc>
                <w:tcPr>
                  <w:tcW w:w="1474" w:type="dxa"/>
                  <w:vAlign w:val="center"/>
                </w:tcPr>
                <w:p>
                  <w:pPr>
                    <w:autoSpaceDE w:val="0"/>
                    <w:autoSpaceDN w:val="0"/>
                    <w:adjustRightInd w:val="0"/>
                    <w:jc w:val="center"/>
                    <w:rPr>
                      <w:rFonts w:ascii="宋体" w:hAnsi="宋体"/>
                      <w:kern w:val="0"/>
                      <w:szCs w:val="21"/>
                    </w:rPr>
                  </w:pPr>
                  <w:r>
                    <w:rPr>
                      <w:rFonts w:hint="eastAsia" w:ascii="宋体" w:hAnsi="宋体"/>
                      <w:kern w:val="0"/>
                      <w:szCs w:val="21"/>
                    </w:rPr>
                    <w:t>噪声值</w:t>
                  </w:r>
                </w:p>
              </w:tc>
              <w:tc>
                <w:tcPr>
                  <w:tcW w:w="1475" w:type="dxa"/>
                  <w:vAlign w:val="center"/>
                </w:tcPr>
                <w:p>
                  <w:pPr>
                    <w:autoSpaceDE w:val="0"/>
                    <w:autoSpaceDN w:val="0"/>
                    <w:adjustRightInd w:val="0"/>
                    <w:jc w:val="center"/>
                    <w:rPr>
                      <w:rFonts w:ascii="宋体" w:hAnsi="宋体"/>
                      <w:kern w:val="0"/>
                      <w:szCs w:val="21"/>
                    </w:rPr>
                  </w:pPr>
                  <w:r>
                    <w:rPr>
                      <w:rFonts w:ascii="宋体" w:hAnsi="宋体"/>
                      <w:kern w:val="0"/>
                      <w:szCs w:val="21"/>
                    </w:rPr>
                    <w:t>施工期</w:t>
                  </w:r>
                </w:p>
              </w:tc>
              <w:tc>
                <w:tcPr>
                  <w:tcW w:w="1474" w:type="dxa"/>
                  <w:vAlign w:val="center"/>
                </w:tcPr>
                <w:p>
                  <w:pPr>
                    <w:autoSpaceDE w:val="0"/>
                    <w:autoSpaceDN w:val="0"/>
                    <w:adjustRightInd w:val="0"/>
                    <w:jc w:val="center"/>
                    <w:rPr>
                      <w:rFonts w:ascii="宋体" w:hAnsi="宋体"/>
                      <w:kern w:val="0"/>
                      <w:szCs w:val="21"/>
                    </w:rPr>
                  </w:pPr>
                  <w:r>
                    <w:rPr>
                      <w:rFonts w:ascii="宋体" w:hAnsi="宋体"/>
                      <w:kern w:val="0"/>
                      <w:szCs w:val="21"/>
                    </w:rPr>
                    <w:t>主要声源</w:t>
                  </w:r>
                </w:p>
              </w:tc>
              <w:tc>
                <w:tcPr>
                  <w:tcW w:w="1475" w:type="dxa"/>
                  <w:vAlign w:val="center"/>
                </w:tcPr>
                <w:p>
                  <w:pPr>
                    <w:autoSpaceDE w:val="0"/>
                    <w:autoSpaceDN w:val="0"/>
                    <w:adjustRightInd w:val="0"/>
                    <w:jc w:val="center"/>
                    <w:rPr>
                      <w:rFonts w:ascii="宋体" w:hAnsi="宋体"/>
                      <w:kern w:val="0"/>
                      <w:szCs w:val="21"/>
                    </w:rPr>
                  </w:pPr>
                  <w:r>
                    <w:rPr>
                      <w:rFonts w:hint="eastAsia" w:ascii="宋体" w:hAnsi="宋体"/>
                      <w:kern w:val="0"/>
                      <w:szCs w:val="21"/>
                    </w:rPr>
                    <w:t>噪声值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jc w:val="center"/>
              </w:trPr>
              <w:tc>
                <w:tcPr>
                  <w:tcW w:w="1635" w:type="dxa"/>
                  <w:vMerge w:val="restart"/>
                  <w:vAlign w:val="center"/>
                </w:tcPr>
                <w:p>
                  <w:pPr>
                    <w:autoSpaceDE w:val="0"/>
                    <w:autoSpaceDN w:val="0"/>
                    <w:adjustRightInd w:val="0"/>
                    <w:jc w:val="center"/>
                    <w:rPr>
                      <w:rFonts w:ascii="宋体" w:hAnsi="宋体"/>
                      <w:kern w:val="0"/>
                      <w:szCs w:val="21"/>
                    </w:rPr>
                  </w:pPr>
                  <w:r>
                    <w:rPr>
                      <w:rFonts w:ascii="宋体" w:hAnsi="宋体"/>
                      <w:kern w:val="0"/>
                      <w:szCs w:val="21"/>
                    </w:rPr>
                    <w:t>基础工程阶段</w:t>
                  </w:r>
                </w:p>
              </w:tc>
              <w:tc>
                <w:tcPr>
                  <w:tcW w:w="1313" w:type="dxa"/>
                  <w:vMerge w:val="restart"/>
                  <w:vAlign w:val="center"/>
                </w:tcPr>
                <w:p>
                  <w:pPr>
                    <w:autoSpaceDE w:val="0"/>
                    <w:autoSpaceDN w:val="0"/>
                    <w:adjustRightInd w:val="0"/>
                    <w:jc w:val="center"/>
                    <w:rPr>
                      <w:rFonts w:ascii="宋体" w:hAnsi="宋体"/>
                      <w:kern w:val="0"/>
                      <w:szCs w:val="21"/>
                    </w:rPr>
                  </w:pPr>
                  <w:r>
                    <w:rPr>
                      <w:rFonts w:ascii="宋体" w:hAnsi="宋体"/>
                      <w:kern w:val="0"/>
                      <w:szCs w:val="21"/>
                    </w:rPr>
                    <w:t>施工机械</w:t>
                  </w:r>
                </w:p>
              </w:tc>
              <w:tc>
                <w:tcPr>
                  <w:tcW w:w="1474" w:type="dxa"/>
                  <w:vMerge w:val="restart"/>
                  <w:vAlign w:val="center"/>
                </w:tcPr>
                <w:p>
                  <w:pPr>
                    <w:autoSpaceDE w:val="0"/>
                    <w:autoSpaceDN w:val="0"/>
                    <w:adjustRightInd w:val="0"/>
                    <w:jc w:val="center"/>
                    <w:rPr>
                      <w:rFonts w:ascii="宋体" w:hAnsi="宋体"/>
                      <w:kern w:val="0"/>
                      <w:szCs w:val="21"/>
                    </w:rPr>
                  </w:pPr>
                  <w:r>
                    <w:rPr>
                      <w:rFonts w:ascii="宋体" w:hAnsi="宋体"/>
                      <w:kern w:val="0"/>
                      <w:szCs w:val="21"/>
                    </w:rPr>
                    <w:t>78～96</w:t>
                  </w:r>
                </w:p>
              </w:tc>
              <w:tc>
                <w:tcPr>
                  <w:tcW w:w="1475" w:type="dxa"/>
                  <w:vMerge w:val="restart"/>
                  <w:vAlign w:val="center"/>
                </w:tcPr>
                <w:p>
                  <w:pPr>
                    <w:autoSpaceDE w:val="0"/>
                    <w:autoSpaceDN w:val="0"/>
                    <w:adjustRightInd w:val="0"/>
                    <w:jc w:val="center"/>
                    <w:rPr>
                      <w:rFonts w:ascii="宋体" w:hAnsi="宋体"/>
                      <w:kern w:val="0"/>
                      <w:szCs w:val="21"/>
                    </w:rPr>
                  </w:pPr>
                  <w:r>
                    <w:rPr>
                      <w:rFonts w:ascii="宋体" w:hAnsi="宋体"/>
                      <w:kern w:val="0"/>
                      <w:szCs w:val="21"/>
                    </w:rPr>
                    <w:t>主体工程阶段</w:t>
                  </w:r>
                </w:p>
              </w:tc>
              <w:tc>
                <w:tcPr>
                  <w:tcW w:w="1474" w:type="dxa"/>
                  <w:vAlign w:val="center"/>
                </w:tcPr>
                <w:p>
                  <w:pPr>
                    <w:autoSpaceDE w:val="0"/>
                    <w:autoSpaceDN w:val="0"/>
                    <w:adjustRightInd w:val="0"/>
                    <w:jc w:val="center"/>
                    <w:rPr>
                      <w:rFonts w:ascii="宋体" w:hAnsi="宋体"/>
                      <w:kern w:val="0"/>
                      <w:szCs w:val="21"/>
                    </w:rPr>
                  </w:pPr>
                  <w:r>
                    <w:rPr>
                      <w:rFonts w:ascii="宋体" w:hAnsi="宋体"/>
                      <w:kern w:val="0"/>
                      <w:szCs w:val="21"/>
                    </w:rPr>
                    <w:t>振捣机</w:t>
                  </w:r>
                </w:p>
              </w:tc>
              <w:tc>
                <w:tcPr>
                  <w:tcW w:w="1475" w:type="dxa"/>
                  <w:vMerge w:val="restart"/>
                  <w:vAlign w:val="center"/>
                </w:tcPr>
                <w:p>
                  <w:pPr>
                    <w:autoSpaceDE w:val="0"/>
                    <w:autoSpaceDN w:val="0"/>
                    <w:adjustRightInd w:val="0"/>
                    <w:jc w:val="center"/>
                    <w:rPr>
                      <w:rFonts w:ascii="宋体" w:hAnsi="宋体"/>
                      <w:kern w:val="0"/>
                      <w:szCs w:val="21"/>
                    </w:rPr>
                  </w:pPr>
                  <w:r>
                    <w:rPr>
                      <w:rFonts w:ascii="宋体" w:hAnsi="宋体"/>
                      <w:kern w:val="0"/>
                      <w:szCs w:val="21"/>
                    </w:rPr>
                    <w:t>75～110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jc w:val="center"/>
              </w:trPr>
              <w:tc>
                <w:tcPr>
                  <w:tcW w:w="1635" w:type="dxa"/>
                  <w:vMerge w:val="continue"/>
                  <w:vAlign w:val="center"/>
                </w:tcPr>
                <w:p>
                  <w:pPr>
                    <w:autoSpaceDE w:val="0"/>
                    <w:autoSpaceDN w:val="0"/>
                    <w:adjustRightInd w:val="0"/>
                    <w:jc w:val="center"/>
                    <w:rPr>
                      <w:rFonts w:ascii="宋体" w:hAnsi="宋体"/>
                      <w:kern w:val="0"/>
                      <w:szCs w:val="21"/>
                    </w:rPr>
                  </w:pPr>
                </w:p>
              </w:tc>
              <w:tc>
                <w:tcPr>
                  <w:tcW w:w="1313" w:type="dxa"/>
                  <w:vMerge w:val="continue"/>
                  <w:vAlign w:val="center"/>
                </w:tcPr>
                <w:p>
                  <w:pPr>
                    <w:autoSpaceDE w:val="0"/>
                    <w:autoSpaceDN w:val="0"/>
                    <w:adjustRightInd w:val="0"/>
                    <w:jc w:val="center"/>
                    <w:rPr>
                      <w:rFonts w:ascii="宋体" w:hAnsi="宋体"/>
                      <w:kern w:val="0"/>
                      <w:szCs w:val="21"/>
                    </w:rPr>
                  </w:pPr>
                </w:p>
              </w:tc>
              <w:tc>
                <w:tcPr>
                  <w:tcW w:w="1474" w:type="dxa"/>
                  <w:vMerge w:val="continue"/>
                  <w:vAlign w:val="center"/>
                </w:tcPr>
                <w:p>
                  <w:pPr>
                    <w:autoSpaceDE w:val="0"/>
                    <w:autoSpaceDN w:val="0"/>
                    <w:adjustRightInd w:val="0"/>
                    <w:jc w:val="center"/>
                    <w:rPr>
                      <w:rFonts w:ascii="宋体" w:hAnsi="宋体"/>
                      <w:kern w:val="0"/>
                      <w:szCs w:val="21"/>
                    </w:rPr>
                  </w:pPr>
                </w:p>
              </w:tc>
              <w:tc>
                <w:tcPr>
                  <w:tcW w:w="1475" w:type="dxa"/>
                  <w:vMerge w:val="continue"/>
                  <w:vAlign w:val="center"/>
                </w:tcPr>
                <w:p>
                  <w:pPr>
                    <w:autoSpaceDE w:val="0"/>
                    <w:autoSpaceDN w:val="0"/>
                    <w:adjustRightInd w:val="0"/>
                    <w:jc w:val="center"/>
                    <w:rPr>
                      <w:rFonts w:ascii="宋体" w:hAnsi="宋体"/>
                      <w:kern w:val="0"/>
                      <w:szCs w:val="21"/>
                    </w:rPr>
                  </w:pPr>
                </w:p>
              </w:tc>
              <w:tc>
                <w:tcPr>
                  <w:tcW w:w="1474" w:type="dxa"/>
                  <w:vAlign w:val="center"/>
                </w:tcPr>
                <w:p>
                  <w:pPr>
                    <w:autoSpaceDE w:val="0"/>
                    <w:autoSpaceDN w:val="0"/>
                    <w:adjustRightInd w:val="0"/>
                    <w:jc w:val="center"/>
                    <w:rPr>
                      <w:rFonts w:ascii="宋体" w:hAnsi="宋体"/>
                      <w:kern w:val="0"/>
                      <w:szCs w:val="21"/>
                    </w:rPr>
                  </w:pPr>
                  <w:r>
                    <w:rPr>
                      <w:rFonts w:ascii="宋体" w:hAnsi="宋体"/>
                      <w:kern w:val="0"/>
                      <w:szCs w:val="21"/>
                    </w:rPr>
                    <w:t>搅拌机</w:t>
                  </w:r>
                </w:p>
              </w:tc>
              <w:tc>
                <w:tcPr>
                  <w:tcW w:w="1475" w:type="dxa"/>
                  <w:vMerge w:val="continue"/>
                  <w:vAlign w:val="center"/>
                </w:tcPr>
                <w:p>
                  <w:pPr>
                    <w:autoSpaceDE w:val="0"/>
                    <w:autoSpaceDN w:val="0"/>
                    <w:adjustRightInd w:val="0"/>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635" w:type="dxa"/>
                  <w:vMerge w:val="continue"/>
                  <w:vAlign w:val="center"/>
                </w:tcPr>
                <w:p>
                  <w:pPr>
                    <w:autoSpaceDE w:val="0"/>
                    <w:autoSpaceDN w:val="0"/>
                    <w:adjustRightInd w:val="0"/>
                    <w:jc w:val="center"/>
                    <w:rPr>
                      <w:rFonts w:ascii="宋体" w:hAnsi="宋体"/>
                      <w:kern w:val="0"/>
                      <w:szCs w:val="21"/>
                    </w:rPr>
                  </w:pPr>
                </w:p>
              </w:tc>
              <w:tc>
                <w:tcPr>
                  <w:tcW w:w="1313" w:type="dxa"/>
                  <w:vMerge w:val="continue"/>
                  <w:vAlign w:val="center"/>
                </w:tcPr>
                <w:p>
                  <w:pPr>
                    <w:autoSpaceDE w:val="0"/>
                    <w:autoSpaceDN w:val="0"/>
                    <w:adjustRightInd w:val="0"/>
                    <w:jc w:val="center"/>
                    <w:rPr>
                      <w:rFonts w:ascii="宋体" w:hAnsi="宋体"/>
                      <w:kern w:val="0"/>
                      <w:szCs w:val="21"/>
                    </w:rPr>
                  </w:pPr>
                </w:p>
              </w:tc>
              <w:tc>
                <w:tcPr>
                  <w:tcW w:w="1474" w:type="dxa"/>
                  <w:vMerge w:val="continue"/>
                  <w:vAlign w:val="center"/>
                </w:tcPr>
                <w:p>
                  <w:pPr>
                    <w:autoSpaceDE w:val="0"/>
                    <w:autoSpaceDN w:val="0"/>
                    <w:adjustRightInd w:val="0"/>
                    <w:jc w:val="center"/>
                    <w:rPr>
                      <w:rFonts w:ascii="宋体" w:hAnsi="宋体"/>
                      <w:kern w:val="0"/>
                      <w:szCs w:val="21"/>
                    </w:rPr>
                  </w:pPr>
                </w:p>
              </w:tc>
              <w:tc>
                <w:tcPr>
                  <w:tcW w:w="1475" w:type="dxa"/>
                  <w:vMerge w:val="continue"/>
                  <w:vAlign w:val="center"/>
                </w:tcPr>
                <w:p>
                  <w:pPr>
                    <w:autoSpaceDE w:val="0"/>
                    <w:autoSpaceDN w:val="0"/>
                    <w:adjustRightInd w:val="0"/>
                    <w:jc w:val="center"/>
                    <w:rPr>
                      <w:rFonts w:ascii="宋体" w:hAnsi="宋体"/>
                      <w:kern w:val="0"/>
                      <w:szCs w:val="21"/>
                    </w:rPr>
                  </w:pPr>
                </w:p>
              </w:tc>
              <w:tc>
                <w:tcPr>
                  <w:tcW w:w="1474" w:type="dxa"/>
                  <w:vAlign w:val="center"/>
                </w:tcPr>
                <w:p>
                  <w:pPr>
                    <w:autoSpaceDE w:val="0"/>
                    <w:autoSpaceDN w:val="0"/>
                    <w:adjustRightInd w:val="0"/>
                    <w:jc w:val="center"/>
                    <w:rPr>
                      <w:rFonts w:ascii="宋体" w:hAnsi="宋体"/>
                      <w:kern w:val="0"/>
                      <w:szCs w:val="21"/>
                    </w:rPr>
                  </w:pPr>
                  <w:r>
                    <w:rPr>
                      <w:rFonts w:ascii="宋体" w:hAnsi="宋体"/>
                      <w:kern w:val="0"/>
                      <w:szCs w:val="21"/>
                    </w:rPr>
                    <w:t>升降机</w:t>
                  </w:r>
                </w:p>
              </w:tc>
              <w:tc>
                <w:tcPr>
                  <w:tcW w:w="1475" w:type="dxa"/>
                  <w:vMerge w:val="continue"/>
                  <w:vAlign w:val="center"/>
                </w:tcPr>
                <w:p>
                  <w:pPr>
                    <w:autoSpaceDE w:val="0"/>
                    <w:autoSpaceDN w:val="0"/>
                    <w:adjustRightInd w:val="0"/>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jc w:val="center"/>
              </w:trPr>
              <w:tc>
                <w:tcPr>
                  <w:tcW w:w="1635" w:type="dxa"/>
                  <w:vAlign w:val="center"/>
                </w:tcPr>
                <w:p>
                  <w:pPr>
                    <w:autoSpaceDE w:val="0"/>
                    <w:autoSpaceDN w:val="0"/>
                    <w:adjustRightInd w:val="0"/>
                    <w:jc w:val="center"/>
                    <w:rPr>
                      <w:rFonts w:ascii="宋体" w:hAnsi="宋体"/>
                      <w:kern w:val="0"/>
                      <w:szCs w:val="21"/>
                    </w:rPr>
                  </w:pPr>
                  <w:r>
                    <w:rPr>
                      <w:rFonts w:ascii="宋体" w:hAnsi="宋体"/>
                      <w:kern w:val="0"/>
                      <w:szCs w:val="21"/>
                    </w:rPr>
                    <w:t>装修工程阶段</w:t>
                  </w:r>
                </w:p>
              </w:tc>
              <w:tc>
                <w:tcPr>
                  <w:tcW w:w="1313" w:type="dxa"/>
                  <w:vAlign w:val="center"/>
                </w:tcPr>
                <w:p>
                  <w:pPr>
                    <w:autoSpaceDE w:val="0"/>
                    <w:autoSpaceDN w:val="0"/>
                    <w:adjustRightInd w:val="0"/>
                    <w:jc w:val="center"/>
                    <w:rPr>
                      <w:rFonts w:ascii="宋体" w:hAnsi="宋体"/>
                      <w:kern w:val="0"/>
                      <w:szCs w:val="21"/>
                    </w:rPr>
                  </w:pPr>
                  <w:r>
                    <w:rPr>
                      <w:rFonts w:ascii="宋体" w:hAnsi="宋体"/>
                      <w:kern w:val="0"/>
                      <w:szCs w:val="21"/>
                    </w:rPr>
                    <w:t>电　钻</w:t>
                  </w:r>
                </w:p>
              </w:tc>
              <w:tc>
                <w:tcPr>
                  <w:tcW w:w="1474" w:type="dxa"/>
                  <w:vAlign w:val="center"/>
                </w:tcPr>
                <w:p>
                  <w:pPr>
                    <w:autoSpaceDE w:val="0"/>
                    <w:autoSpaceDN w:val="0"/>
                    <w:adjustRightInd w:val="0"/>
                    <w:jc w:val="center"/>
                    <w:rPr>
                      <w:rFonts w:ascii="宋体" w:hAnsi="宋体"/>
                      <w:kern w:val="0"/>
                      <w:szCs w:val="21"/>
                    </w:rPr>
                  </w:pPr>
                  <w:r>
                    <w:rPr>
                      <w:rFonts w:ascii="宋体" w:hAnsi="宋体"/>
                      <w:kern w:val="0"/>
                      <w:szCs w:val="21"/>
                    </w:rPr>
                    <w:t>90～110</w:t>
                  </w:r>
                </w:p>
              </w:tc>
              <w:tc>
                <w:tcPr>
                  <w:tcW w:w="1475" w:type="dxa"/>
                  <w:vAlign w:val="center"/>
                </w:tcPr>
                <w:p>
                  <w:pPr>
                    <w:autoSpaceDE w:val="0"/>
                    <w:autoSpaceDN w:val="0"/>
                    <w:adjustRightInd w:val="0"/>
                    <w:jc w:val="center"/>
                    <w:rPr>
                      <w:rFonts w:ascii="宋体" w:hAnsi="宋体"/>
                      <w:kern w:val="0"/>
                      <w:szCs w:val="21"/>
                    </w:rPr>
                  </w:pPr>
                  <w:r>
                    <w:rPr>
                      <w:rFonts w:ascii="宋体" w:hAnsi="宋体"/>
                      <w:kern w:val="0"/>
                      <w:szCs w:val="21"/>
                    </w:rPr>
                    <w:t>扫尾阶段</w:t>
                  </w:r>
                </w:p>
              </w:tc>
              <w:tc>
                <w:tcPr>
                  <w:tcW w:w="1474" w:type="dxa"/>
                  <w:vAlign w:val="center"/>
                </w:tcPr>
                <w:p>
                  <w:pPr>
                    <w:autoSpaceDE w:val="0"/>
                    <w:autoSpaceDN w:val="0"/>
                    <w:adjustRightInd w:val="0"/>
                    <w:jc w:val="center"/>
                    <w:rPr>
                      <w:rFonts w:ascii="宋体" w:hAnsi="宋体"/>
                      <w:kern w:val="0"/>
                      <w:szCs w:val="21"/>
                    </w:rPr>
                  </w:pPr>
                  <w:r>
                    <w:rPr>
                      <w:rFonts w:ascii="宋体" w:hAnsi="宋体"/>
                      <w:kern w:val="0"/>
                      <w:szCs w:val="21"/>
                    </w:rPr>
                    <w:t>运输车辆</w:t>
                  </w:r>
                </w:p>
              </w:tc>
              <w:tc>
                <w:tcPr>
                  <w:tcW w:w="1475" w:type="dxa"/>
                  <w:vAlign w:val="center"/>
                </w:tcPr>
                <w:p>
                  <w:pPr>
                    <w:autoSpaceDE w:val="0"/>
                    <w:autoSpaceDN w:val="0"/>
                    <w:adjustRightInd w:val="0"/>
                    <w:jc w:val="center"/>
                    <w:rPr>
                      <w:rFonts w:ascii="宋体" w:hAnsi="宋体"/>
                      <w:kern w:val="0"/>
                      <w:szCs w:val="21"/>
                    </w:rPr>
                  </w:pPr>
                  <w:r>
                    <w:rPr>
                      <w:rFonts w:ascii="宋体" w:hAnsi="宋体"/>
                      <w:kern w:val="0"/>
                      <w:szCs w:val="21"/>
                    </w:rPr>
                    <w:t>85～91</w:t>
                  </w:r>
                </w:p>
              </w:tc>
            </w:tr>
          </w:tbl>
          <w:p>
            <w:pPr>
              <w:spacing w:line="360" w:lineRule="auto"/>
              <w:ind w:firstLine="480" w:firstLineChars="200"/>
              <w:rPr>
                <w:rFonts w:ascii="宋体" w:hAnsi="宋体"/>
                <w:sz w:val="24"/>
              </w:rPr>
            </w:pPr>
            <w:r>
              <w:rPr>
                <w:rFonts w:ascii="宋体" w:hAnsi="宋体"/>
                <w:sz w:val="24"/>
              </w:rPr>
              <w:t>（2）作业环境与声级</w:t>
            </w:r>
          </w:p>
          <w:p>
            <w:pPr>
              <w:spacing w:line="360" w:lineRule="auto"/>
              <w:ind w:firstLine="480" w:firstLineChars="200"/>
              <w:rPr>
                <w:rFonts w:ascii="宋体" w:hAnsi="宋体"/>
                <w:sz w:val="24"/>
              </w:rPr>
            </w:pPr>
            <w:r>
              <w:rPr>
                <w:rFonts w:hint="eastAsia" w:ascii="宋体" w:hAnsi="宋体"/>
                <w:sz w:val="24"/>
              </w:rPr>
              <w:fldChar w:fldCharType="begin"/>
            </w:r>
            <w:r>
              <w:rPr>
                <w:rFonts w:hint="eastAsia" w:ascii="宋体" w:hAnsi="宋体"/>
                <w:sz w:val="24"/>
              </w:rPr>
              <w:instrText xml:space="preserve"> = 1 \* GB3 </w:instrText>
            </w:r>
            <w:r>
              <w:rPr>
                <w:rFonts w:hint="eastAsia" w:ascii="宋体" w:hAnsi="宋体"/>
                <w:sz w:val="24"/>
              </w:rPr>
              <w:fldChar w:fldCharType="separate"/>
            </w:r>
            <w:r>
              <w:rPr>
                <w:rFonts w:hint="eastAsia" w:ascii="宋体" w:hAnsi="宋体"/>
                <w:sz w:val="24"/>
              </w:rPr>
              <w:t>①</w:t>
            </w:r>
            <w:r>
              <w:rPr>
                <w:rFonts w:hint="eastAsia" w:ascii="宋体" w:hAnsi="宋体"/>
                <w:sz w:val="24"/>
              </w:rPr>
              <w:fldChar w:fldCharType="end"/>
            </w:r>
            <w:r>
              <w:rPr>
                <w:rFonts w:ascii="宋体" w:hAnsi="宋体"/>
                <w:sz w:val="24"/>
              </w:rPr>
              <w:t>土石方开挖</w:t>
            </w:r>
          </w:p>
          <w:p>
            <w:pPr>
              <w:spacing w:line="360" w:lineRule="auto"/>
              <w:ind w:firstLine="480" w:firstLineChars="200"/>
              <w:rPr>
                <w:rFonts w:ascii="宋体" w:hAnsi="宋体"/>
                <w:sz w:val="24"/>
              </w:rPr>
            </w:pPr>
            <w:r>
              <w:rPr>
                <w:rFonts w:ascii="宋体" w:hAnsi="宋体"/>
                <w:sz w:val="24"/>
              </w:rPr>
              <w:t>土石方开挖作业是在露天环境下进行，是由挖土机、装载车等机械和工人联合作业，近场声级一般在90-96dB。</w:t>
            </w:r>
          </w:p>
          <w:p>
            <w:pPr>
              <w:spacing w:line="360" w:lineRule="auto"/>
              <w:ind w:firstLine="480" w:firstLineChars="200"/>
              <w:rPr>
                <w:rFonts w:ascii="宋体" w:hAnsi="宋体"/>
                <w:sz w:val="24"/>
              </w:rPr>
            </w:pPr>
            <w:r>
              <w:rPr>
                <w:rFonts w:ascii="宋体" w:hAnsi="宋体"/>
                <w:sz w:val="24"/>
              </w:rPr>
              <w:t xml:space="preserve"> </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2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②</w:t>
            </w:r>
            <w:r>
              <w:rPr>
                <w:rFonts w:ascii="宋体" w:hAnsi="宋体"/>
                <w:sz w:val="24"/>
              </w:rPr>
              <w:fldChar w:fldCharType="end"/>
            </w:r>
            <w:r>
              <w:rPr>
                <w:rFonts w:ascii="宋体" w:hAnsi="宋体"/>
                <w:sz w:val="24"/>
              </w:rPr>
              <w:t>压桩</w:t>
            </w:r>
          </w:p>
          <w:p>
            <w:pPr>
              <w:spacing w:line="360" w:lineRule="auto"/>
              <w:ind w:firstLine="480" w:firstLineChars="200"/>
              <w:rPr>
                <w:rFonts w:ascii="宋体" w:hAnsi="宋体"/>
                <w:sz w:val="24"/>
              </w:rPr>
            </w:pPr>
            <w:r>
              <w:rPr>
                <w:rFonts w:ascii="宋体" w:hAnsi="宋体"/>
                <w:sz w:val="24"/>
              </w:rPr>
              <w:t>该作业完全在露天地面展开。采用不同方式桩机进行基础施工，所产生的噪声不尽相同。锤击式打桩，声级可达110dB，本工程拟采用静压式压桩，是除人工挖孔桩外目前打桩机中噪声最小的一种，声级一般低于80dB。</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3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③</w:t>
            </w:r>
            <w:r>
              <w:rPr>
                <w:rFonts w:ascii="宋体" w:hAnsi="宋体"/>
                <w:sz w:val="24"/>
              </w:rPr>
              <w:fldChar w:fldCharType="end"/>
            </w:r>
            <w:r>
              <w:rPr>
                <w:rFonts w:ascii="宋体" w:hAnsi="宋体"/>
                <w:sz w:val="24"/>
              </w:rPr>
              <w:t>浇铸砼</w:t>
            </w:r>
          </w:p>
          <w:p>
            <w:pPr>
              <w:spacing w:line="450" w:lineRule="exact"/>
              <w:ind w:firstLine="480" w:firstLineChars="200"/>
              <w:rPr>
                <w:rFonts w:ascii="宋体" w:hAnsi="宋体"/>
                <w:sz w:val="24"/>
              </w:rPr>
            </w:pPr>
            <w:r>
              <w:rPr>
                <w:rFonts w:ascii="宋体" w:hAnsi="宋体"/>
                <w:sz w:val="24"/>
              </w:rPr>
              <w:t>浇铸混凝土是建筑结构施工最主要的作业。一般包括装模、浇铸和拆模三个阶段。装模作业可能要动用电动锯板机。工地都采用成品模板，大块平整，安装方便，浇铸质量高，锯切量和破损量小，装模阶段还包括钢筋的安置，也都是露天作业，现场有断续的打击声，声级约70-85dB。混凝土浇铸阶段，需连续开动混凝土罐车，振捣棒等。近场声级可达85-95dB，振捣棒的噪声约90dB，位置是随浇铸地点变化而变动的。浇铸施工的程序是用罐车把混凝土运到各区，然后通过混凝土吊斗提升送入模内供振捣充实。每次浇铸大约需连续24-48小时，并要多种机械联合运行，一周后方可拆模，该工作较简单，打击噪声不大。</w:t>
            </w:r>
          </w:p>
          <w:p>
            <w:pPr>
              <w:spacing w:line="450" w:lineRule="exact"/>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4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④</w:t>
            </w:r>
            <w:r>
              <w:rPr>
                <w:rFonts w:ascii="宋体" w:hAnsi="宋体"/>
                <w:sz w:val="24"/>
              </w:rPr>
              <w:fldChar w:fldCharType="end"/>
            </w:r>
            <w:r>
              <w:rPr>
                <w:rFonts w:ascii="宋体" w:hAnsi="宋体"/>
                <w:sz w:val="24"/>
              </w:rPr>
              <w:t>装修</w:t>
            </w:r>
          </w:p>
          <w:p>
            <w:pPr>
              <w:spacing w:line="450" w:lineRule="exact"/>
              <w:ind w:firstLine="480" w:firstLineChars="200"/>
              <w:rPr>
                <w:rFonts w:ascii="宋体" w:hAnsi="宋体"/>
                <w:sz w:val="24"/>
              </w:rPr>
            </w:pPr>
            <w:r>
              <w:rPr>
                <w:rFonts w:ascii="宋体" w:hAnsi="宋体"/>
                <w:sz w:val="24"/>
              </w:rPr>
              <w:t>主体工程完成后，便转入装修作业。装修的内容有水电安装，墙面粉刷等工作，还有楼面、窗门的装饰与安装。由电工、管工、泥工、木工、油漆工等联合作业。这中间值得注意的是要动用切割机、刨光机、搅拌机、提升机、空压机等机具，大都在室内环境下作业，其中噪声最高的是切割，切割作业时近场声级达95dB左右。</w:t>
            </w:r>
          </w:p>
          <w:p>
            <w:pPr>
              <w:spacing w:line="450" w:lineRule="exact"/>
              <w:ind w:firstLine="480" w:firstLineChars="200"/>
              <w:rPr>
                <w:rFonts w:ascii="宋体" w:hAnsi="宋体"/>
                <w:sz w:val="24"/>
              </w:rPr>
            </w:pPr>
            <w:r>
              <w:rPr>
                <w:rFonts w:hint="eastAsia" w:ascii="宋体" w:hAnsi="宋体"/>
                <w:sz w:val="24"/>
              </w:rPr>
              <w:t>4、施工固废分析</w:t>
            </w:r>
          </w:p>
          <w:p>
            <w:pPr>
              <w:spacing w:line="450" w:lineRule="exact"/>
              <w:ind w:firstLine="480" w:firstLineChars="200"/>
              <w:rPr>
                <w:rFonts w:ascii="宋体" w:hAnsi="宋体"/>
                <w:sz w:val="24"/>
              </w:rPr>
            </w:pPr>
            <w:r>
              <w:rPr>
                <w:rFonts w:hint="eastAsia" w:ascii="宋体" w:hAnsi="宋体"/>
                <w:sz w:val="24"/>
              </w:rPr>
              <w:t>（1）建筑垃圾</w:t>
            </w:r>
          </w:p>
          <w:p>
            <w:pPr>
              <w:spacing w:line="450" w:lineRule="exact"/>
              <w:ind w:firstLine="480" w:firstLineChars="200"/>
              <w:rPr>
                <w:rFonts w:ascii="宋体" w:hAnsi="宋体"/>
                <w:color w:val="FF0000"/>
                <w:sz w:val="24"/>
              </w:rPr>
            </w:pPr>
            <w:r>
              <w:rPr>
                <w:rFonts w:hint="eastAsia" w:ascii="宋体" w:hAnsi="宋体"/>
                <w:sz w:val="24"/>
              </w:rPr>
              <w:t>施工中产生的各类边角余料、废砖、废砼、废砂石等,按每100m</w:t>
            </w:r>
            <w:r>
              <w:rPr>
                <w:rFonts w:hint="eastAsia" w:ascii="宋体" w:hAnsi="宋体"/>
                <w:sz w:val="24"/>
                <w:vertAlign w:val="superscript"/>
              </w:rPr>
              <w:t>2</w:t>
            </w:r>
            <w:r>
              <w:rPr>
                <w:rFonts w:hint="eastAsia" w:ascii="宋体" w:hAnsi="宋体"/>
                <w:sz w:val="24"/>
              </w:rPr>
              <w:t>产生0.3t计。本项目总建筑面积70036.0m</w:t>
            </w:r>
            <w:r>
              <w:rPr>
                <w:rFonts w:hint="eastAsia" w:ascii="宋体" w:hAnsi="宋体"/>
                <w:sz w:val="24"/>
                <w:vertAlign w:val="superscript"/>
              </w:rPr>
              <w:t>2</w:t>
            </w:r>
            <w:r>
              <w:rPr>
                <w:rFonts w:hint="eastAsia" w:ascii="宋体" w:hAnsi="宋体"/>
                <w:sz w:val="24"/>
              </w:rPr>
              <w:t>，产生建筑垃圾量约为210.1t   。</w:t>
            </w:r>
          </w:p>
          <w:p>
            <w:pPr>
              <w:spacing w:line="450" w:lineRule="exact"/>
              <w:ind w:firstLine="480" w:firstLineChars="200"/>
              <w:rPr>
                <w:rFonts w:ascii="宋体" w:hAnsi="宋体"/>
                <w:sz w:val="24"/>
              </w:rPr>
            </w:pPr>
            <w:r>
              <w:rPr>
                <w:rFonts w:hint="eastAsia" w:ascii="宋体" w:hAnsi="宋体"/>
                <w:sz w:val="24"/>
              </w:rPr>
              <w:t>（2）生活垃圾</w:t>
            </w:r>
          </w:p>
          <w:p>
            <w:pPr>
              <w:spacing w:line="450" w:lineRule="exact"/>
              <w:ind w:firstLine="480" w:firstLineChars="200"/>
              <w:rPr>
                <w:rFonts w:ascii="宋体" w:hAnsi="宋体"/>
                <w:color w:val="FF0000"/>
                <w:sz w:val="24"/>
              </w:rPr>
            </w:pPr>
            <w:r>
              <w:rPr>
                <w:rFonts w:hint="eastAsia" w:ascii="宋体" w:hAnsi="宋体"/>
                <w:sz w:val="24"/>
              </w:rPr>
              <w:t>工程施工期24</w:t>
            </w:r>
            <w:r>
              <w:rPr>
                <w:rFonts w:hint="eastAsia" w:ascii="宋体" w:hAnsi="宋体"/>
                <w:color w:val="000000"/>
                <w:sz w:val="24"/>
              </w:rPr>
              <w:t>个月,有效施工天数600天,平均施工人员200人</w:t>
            </w:r>
            <w:r>
              <w:rPr>
                <w:rFonts w:hint="eastAsia" w:ascii="宋体" w:hAnsi="宋体"/>
                <w:color w:val="FF0000"/>
                <w:sz w:val="24"/>
              </w:rPr>
              <w:t>,</w:t>
            </w:r>
            <w:r>
              <w:rPr>
                <w:rFonts w:hint="eastAsia" w:ascii="宋体" w:hAnsi="宋体"/>
                <w:sz w:val="24"/>
              </w:rPr>
              <w:t>施工人员均不在场地食宿生活垃圾产生量少，对环境影响不大。</w:t>
            </w:r>
          </w:p>
          <w:p>
            <w:pPr>
              <w:spacing w:line="450" w:lineRule="exact"/>
              <w:ind w:firstLine="480" w:firstLineChars="200"/>
              <w:rPr>
                <w:rFonts w:ascii="宋体" w:hAnsi="宋体"/>
                <w:sz w:val="24"/>
              </w:rPr>
            </w:pPr>
            <w:r>
              <w:rPr>
                <w:rFonts w:hint="eastAsia" w:ascii="宋体" w:hAnsi="宋体"/>
                <w:sz w:val="24"/>
              </w:rPr>
              <w:t>5、</w:t>
            </w:r>
            <w:r>
              <w:rPr>
                <w:rFonts w:ascii="宋体" w:hAnsi="宋体"/>
                <w:sz w:val="24"/>
              </w:rPr>
              <w:t>生态</w:t>
            </w:r>
          </w:p>
          <w:p>
            <w:pPr>
              <w:spacing w:line="450" w:lineRule="exact"/>
              <w:ind w:firstLine="480" w:firstLineChars="200"/>
              <w:rPr>
                <w:rFonts w:ascii="宋体" w:hAnsi="宋体"/>
                <w:sz w:val="24"/>
              </w:rPr>
            </w:pPr>
            <w:r>
              <w:rPr>
                <w:rFonts w:ascii="宋体" w:hAnsi="宋体"/>
                <w:sz w:val="24"/>
              </w:rPr>
              <w:t>主要包括土地平整、土石方开挖对土壤和植被的影响。</w:t>
            </w:r>
          </w:p>
          <w:p>
            <w:pPr>
              <w:spacing w:line="450" w:lineRule="exact"/>
              <w:ind w:left="415" w:leftChars="198" w:right="445"/>
              <w:rPr>
                <w:rFonts w:ascii="宋体" w:hAnsi="宋体"/>
                <w:bCs/>
                <w:color w:val="000000"/>
                <w:sz w:val="24"/>
              </w:rPr>
            </w:pPr>
            <w:r>
              <w:rPr>
                <w:rFonts w:hint="eastAsia" w:ascii="宋体" w:hAnsi="宋体"/>
                <w:bCs/>
                <w:color w:val="000000"/>
                <w:sz w:val="24"/>
              </w:rPr>
              <w:t>（二）营运</w:t>
            </w:r>
            <w:r>
              <w:rPr>
                <w:rFonts w:ascii="宋体" w:hAnsi="宋体"/>
                <w:bCs/>
                <w:color w:val="000000"/>
                <w:sz w:val="24"/>
              </w:rPr>
              <w:t>期</w:t>
            </w:r>
          </w:p>
          <w:p>
            <w:pPr>
              <w:spacing w:line="450" w:lineRule="exact"/>
              <w:ind w:firstLine="480"/>
              <w:rPr>
                <w:rFonts w:ascii="宋体" w:hAnsi="宋体"/>
                <w:color w:val="000000"/>
                <w:sz w:val="24"/>
              </w:rPr>
            </w:pPr>
            <w:r>
              <w:rPr>
                <w:rFonts w:ascii="宋体" w:hAnsi="宋体"/>
                <w:color w:val="000000"/>
                <w:sz w:val="24"/>
              </w:rPr>
              <w:t>1</w:t>
            </w:r>
            <w:r>
              <w:rPr>
                <w:rFonts w:hint="eastAsia" w:ascii="宋体" w:hAnsi="宋体"/>
                <w:color w:val="000000"/>
                <w:sz w:val="24"/>
              </w:rPr>
              <w:t>、</w:t>
            </w:r>
            <w:r>
              <w:rPr>
                <w:rFonts w:ascii="宋体" w:hAnsi="宋体"/>
                <w:color w:val="000000"/>
                <w:sz w:val="24"/>
              </w:rPr>
              <w:t>废气污染源分析</w:t>
            </w:r>
          </w:p>
          <w:p>
            <w:pPr>
              <w:spacing w:line="450" w:lineRule="exact"/>
              <w:ind w:firstLine="480" w:firstLineChars="200"/>
              <w:rPr>
                <w:rFonts w:ascii="宋体" w:hAnsi="宋体"/>
                <w:color w:val="000000"/>
                <w:sz w:val="24"/>
              </w:rPr>
            </w:pPr>
            <w:r>
              <w:rPr>
                <w:rFonts w:hint="eastAsia" w:ascii="宋体" w:hAnsi="宋体"/>
                <w:color w:val="000000"/>
                <w:sz w:val="24"/>
              </w:rPr>
              <w:t>本项目产生的大气污染物主要为厨房油烟废气、燃料废气、柴油发电机废气、汽车尾气。</w:t>
            </w:r>
          </w:p>
          <w:p>
            <w:pPr>
              <w:spacing w:line="450" w:lineRule="exact"/>
              <w:ind w:firstLine="480"/>
              <w:rPr>
                <w:rFonts w:ascii="宋体" w:hAnsi="宋体"/>
                <w:color w:val="000000"/>
                <w:sz w:val="24"/>
              </w:rPr>
            </w:pPr>
            <w:r>
              <w:rPr>
                <w:rFonts w:hint="eastAsia" w:ascii="宋体" w:hAnsi="宋体"/>
                <w:color w:val="000000"/>
                <w:sz w:val="24"/>
              </w:rPr>
              <w:t>（1）油烟废气</w:t>
            </w:r>
          </w:p>
          <w:p>
            <w:pPr>
              <w:spacing w:line="450" w:lineRule="exact"/>
              <w:ind w:firstLine="480" w:firstLineChars="200"/>
              <w:rPr>
                <w:rFonts w:ascii="宋体" w:hAnsi="宋体"/>
                <w:color w:val="000000"/>
                <w:sz w:val="24"/>
              </w:rPr>
            </w:pPr>
            <w:r>
              <w:rPr>
                <w:rFonts w:hint="eastAsia" w:ascii="宋体" w:hAnsi="宋体"/>
                <w:color w:val="000000"/>
                <w:sz w:val="24"/>
              </w:rPr>
              <w:t>本项目酒店餐厅日可就餐人数按550人计。根据类比调查，食用油消耗系数为3 kg/(100人•d)。则项目食用油消耗量为16.5kg/d，炒作时油烟挥发一般为用油量的1%～3%，本环评取3%，则油烟产生量为0.50kg/d(182.5kg/a)，本项目设计排风量为20000m</w:t>
            </w:r>
            <w:r>
              <w:rPr>
                <w:rFonts w:hint="eastAsia" w:ascii="宋体" w:hAnsi="宋体"/>
                <w:color w:val="000000"/>
                <w:sz w:val="24"/>
                <w:vertAlign w:val="superscript"/>
              </w:rPr>
              <w:t>3</w:t>
            </w:r>
            <w:r>
              <w:rPr>
                <w:rFonts w:hint="eastAsia" w:ascii="宋体" w:hAnsi="宋体"/>
                <w:color w:val="000000"/>
                <w:sz w:val="24"/>
              </w:rPr>
              <w:t>/h，风机运行按4h/d计，则油烟产生浓度为6.25mg/m</w:t>
            </w:r>
            <w:r>
              <w:rPr>
                <w:rFonts w:hint="eastAsia" w:ascii="宋体" w:hAnsi="宋体"/>
                <w:color w:val="000000"/>
                <w:sz w:val="24"/>
                <w:vertAlign w:val="superscript"/>
              </w:rPr>
              <w:t>3</w:t>
            </w:r>
            <w:r>
              <w:rPr>
                <w:rFonts w:hint="eastAsia" w:ascii="宋体" w:hAnsi="宋体"/>
                <w:color w:val="000000"/>
                <w:sz w:val="24"/>
              </w:rPr>
              <w:t>。</w:t>
            </w:r>
          </w:p>
          <w:p>
            <w:pPr>
              <w:spacing w:line="450" w:lineRule="exact"/>
              <w:ind w:firstLine="480" w:firstLineChars="200"/>
              <w:rPr>
                <w:rFonts w:ascii="宋体" w:hAnsi="宋体"/>
                <w:sz w:val="24"/>
              </w:rPr>
            </w:pPr>
            <w:r>
              <w:rPr>
                <w:rFonts w:hint="eastAsia" w:ascii="宋体" w:hAnsi="宋体"/>
                <w:sz w:val="24"/>
              </w:rPr>
              <w:t>（2）燃料废气</w:t>
            </w:r>
          </w:p>
          <w:p>
            <w:pPr>
              <w:spacing w:line="360" w:lineRule="auto"/>
              <w:ind w:firstLine="480" w:firstLineChars="200"/>
              <w:rPr>
                <w:rFonts w:ascii="宋体" w:hAnsi="宋体"/>
                <w:color w:val="000000" w:themeColor="text1"/>
                <w:sz w:val="24"/>
              </w:rPr>
            </w:pPr>
            <w:r>
              <w:rPr>
                <w:rFonts w:hint="eastAsia" w:ascii="宋体" w:hAnsi="宋体"/>
                <w:sz w:val="24"/>
              </w:rPr>
              <w:t>本项目运行过程中,废气主要来源于锅炉燃气产生的SO</w:t>
            </w:r>
            <w:r>
              <w:rPr>
                <w:rFonts w:hint="eastAsia" w:ascii="宋体" w:hAnsi="宋体"/>
                <w:sz w:val="24"/>
                <w:vertAlign w:val="subscript"/>
              </w:rPr>
              <w:t>2</w:t>
            </w:r>
            <w:r>
              <w:rPr>
                <w:rFonts w:hint="eastAsia" w:ascii="宋体" w:hAnsi="宋体"/>
                <w:sz w:val="24"/>
              </w:rPr>
              <w:t>和NO</w:t>
            </w:r>
            <w:r>
              <w:rPr>
                <w:rFonts w:hint="eastAsia" w:ascii="宋体" w:hAnsi="宋体"/>
                <w:sz w:val="24"/>
                <w:vertAlign w:val="subscript"/>
              </w:rPr>
              <w:t>x</w:t>
            </w:r>
            <w:r>
              <w:rPr>
                <w:rFonts w:hint="eastAsia" w:ascii="宋体" w:hAnsi="宋体"/>
                <w:sz w:val="24"/>
              </w:rPr>
              <w:t>。项目所用锅炉以天然气作为燃料,天然气用量约为</w:t>
            </w:r>
            <w:r>
              <w:rPr>
                <w:rStyle w:val="94"/>
                <w:rFonts w:hint="eastAsia"/>
                <w:color w:val="000000" w:themeColor="text1"/>
                <w:sz w:val="24"/>
                <w:szCs w:val="24"/>
              </w:rPr>
              <w:t>57.58</w:t>
            </w:r>
            <w:r>
              <w:rPr>
                <w:rStyle w:val="94"/>
                <w:color w:val="000000" w:themeColor="text1"/>
                <w:sz w:val="24"/>
                <w:szCs w:val="24"/>
              </w:rPr>
              <w:t>万</w:t>
            </w:r>
            <w:r>
              <w:rPr>
                <w:rFonts w:ascii="宋体" w:hAnsi="宋体"/>
                <w:color w:val="000000" w:themeColor="text1"/>
                <w:sz w:val="24"/>
                <w:szCs w:val="24"/>
              </w:rPr>
              <w:t>m</w:t>
            </w:r>
            <w:r>
              <w:rPr>
                <w:rFonts w:ascii="宋体" w:hAnsi="宋体"/>
                <w:color w:val="000000" w:themeColor="text1"/>
                <w:sz w:val="24"/>
                <w:szCs w:val="24"/>
                <w:vertAlign w:val="superscript"/>
              </w:rPr>
              <w:t>3</w:t>
            </w:r>
            <w:r>
              <w:rPr>
                <w:rFonts w:hint="eastAsia" w:ascii="宋体" w:hAnsi="宋体"/>
                <w:color w:val="000000" w:themeColor="text1"/>
                <w:sz w:val="24"/>
                <w:szCs w:val="24"/>
              </w:rPr>
              <w:t>/a</w:t>
            </w:r>
            <w:r>
              <w:rPr>
                <w:rFonts w:hint="eastAsia" w:ascii="宋体" w:hAnsi="宋体"/>
                <w:color w:val="000000" w:themeColor="text1"/>
                <w:sz w:val="24"/>
              </w:rPr>
              <w:t>。根据《工业污染源产排污系数手册》第十册-4430 工业锅炉（热力生产和供应行业）产排污系数表-二氧化硫和氮氧化物产排系数计算得出锅炉废气产生情况如表9所示。计算得出用量为</w:t>
            </w:r>
            <w:r>
              <w:rPr>
                <w:rStyle w:val="94"/>
                <w:rFonts w:hint="eastAsia"/>
                <w:color w:val="000000" w:themeColor="text1"/>
                <w:sz w:val="24"/>
                <w:szCs w:val="24"/>
              </w:rPr>
              <w:t>57.58</w:t>
            </w:r>
            <w:r>
              <w:rPr>
                <w:rStyle w:val="94"/>
                <w:color w:val="000000" w:themeColor="text1"/>
                <w:sz w:val="24"/>
                <w:szCs w:val="24"/>
              </w:rPr>
              <w:t>万</w:t>
            </w:r>
            <w:r>
              <w:rPr>
                <w:rFonts w:ascii="宋体" w:hAnsi="宋体"/>
                <w:sz w:val="24"/>
                <w:szCs w:val="24"/>
              </w:rPr>
              <w:t>m</w:t>
            </w:r>
            <w:r>
              <w:rPr>
                <w:rFonts w:ascii="宋体" w:hAnsi="宋体"/>
                <w:sz w:val="24"/>
                <w:szCs w:val="24"/>
                <w:vertAlign w:val="superscript"/>
              </w:rPr>
              <w:t>3</w:t>
            </w:r>
            <w:r>
              <w:rPr>
                <w:rFonts w:hint="eastAsia" w:ascii="宋体" w:hAnsi="宋体"/>
                <w:sz w:val="24"/>
                <w:szCs w:val="24"/>
              </w:rPr>
              <w:t>/a</w:t>
            </w:r>
            <w:r>
              <w:rPr>
                <w:rFonts w:hint="eastAsia" w:ascii="宋体" w:hAnsi="宋体"/>
                <w:sz w:val="24"/>
              </w:rPr>
              <w:t>的天然气产生的污染物浓度及产生量分别为:SO</w:t>
            </w:r>
            <w:r>
              <w:rPr>
                <w:rFonts w:hint="eastAsia" w:ascii="宋体" w:hAnsi="宋体"/>
                <w:sz w:val="24"/>
                <w:vertAlign w:val="subscript"/>
              </w:rPr>
              <w:t>2</w:t>
            </w:r>
            <w:r>
              <w:rPr>
                <w:rFonts w:hint="eastAsia" w:ascii="宋体" w:hAnsi="宋体"/>
                <w:kern w:val="0"/>
                <w:szCs w:val="21"/>
              </w:rPr>
              <w:t>2.69</w:t>
            </w:r>
            <w:r>
              <w:rPr>
                <w:rFonts w:hint="eastAsia" w:ascii="宋体" w:hAnsi="宋体"/>
                <w:sz w:val="24"/>
              </w:rPr>
              <w:t>mg/m</w:t>
            </w:r>
            <w:r>
              <w:rPr>
                <w:rFonts w:hint="eastAsia" w:ascii="宋体" w:hAnsi="宋体"/>
                <w:sz w:val="24"/>
                <w:vertAlign w:val="superscript"/>
              </w:rPr>
              <w:t>3</w:t>
            </w:r>
            <w:r>
              <w:rPr>
                <w:rFonts w:hint="eastAsia" w:ascii="宋体" w:hAnsi="宋体"/>
                <w:sz w:val="24"/>
              </w:rPr>
              <w:t>、0.023t/a; NO</w:t>
            </w:r>
            <w:r>
              <w:rPr>
                <w:rFonts w:hint="eastAsia" w:ascii="宋体" w:hAnsi="宋体"/>
                <w:sz w:val="24"/>
                <w:vertAlign w:val="subscript"/>
              </w:rPr>
              <w:t>x</w:t>
            </w:r>
            <w:r>
              <w:rPr>
                <w:rFonts w:hint="eastAsia" w:ascii="宋体" w:hAnsi="宋体"/>
                <w:sz w:val="24"/>
              </w:rPr>
              <w:t>137.77mg/m</w:t>
            </w:r>
            <w:r>
              <w:rPr>
                <w:rFonts w:hint="eastAsia" w:ascii="宋体" w:hAnsi="宋体"/>
                <w:sz w:val="24"/>
                <w:vertAlign w:val="superscript"/>
              </w:rPr>
              <w:t>3</w:t>
            </w:r>
            <w:r>
              <w:rPr>
                <w:rFonts w:hint="eastAsia" w:ascii="宋体" w:hAnsi="宋体"/>
                <w:sz w:val="24"/>
              </w:rPr>
              <w:t>、1.08t/a,产生</w:t>
            </w:r>
            <w:r>
              <w:rPr>
                <w:rFonts w:hint="eastAsia" w:ascii="宋体" w:hAnsi="宋体"/>
                <w:color w:val="000000" w:themeColor="text1"/>
                <w:sz w:val="24"/>
              </w:rPr>
              <w:t>的废气通过不低于8米的专用烟道排放。</w:t>
            </w:r>
            <w:r>
              <w:rPr>
                <w:rFonts w:hint="eastAsia" w:ascii="宋体" w:hAnsi="宋体"/>
                <w:sz w:val="24"/>
              </w:rPr>
              <w:t>项目废气产生及排放情况见</w:t>
            </w:r>
            <w:r>
              <w:rPr>
                <w:rFonts w:hint="eastAsia" w:ascii="宋体" w:hAnsi="宋体"/>
                <w:color w:val="000000" w:themeColor="text1"/>
                <w:sz w:val="24"/>
              </w:rPr>
              <w:t>表11。</w:t>
            </w:r>
          </w:p>
          <w:p>
            <w:pPr>
              <w:spacing w:line="360" w:lineRule="auto"/>
              <w:jc w:val="center"/>
              <w:rPr>
                <w:rFonts w:ascii="宋体" w:hAnsi="宋体"/>
                <w:color w:val="000000" w:themeColor="text1"/>
                <w:sz w:val="24"/>
              </w:rPr>
            </w:pPr>
            <w:r>
              <w:rPr>
                <w:rFonts w:hint="eastAsia" w:ascii="宋体" w:hAnsi="宋体"/>
                <w:color w:val="000000" w:themeColor="text1"/>
                <w:sz w:val="24"/>
              </w:rPr>
              <w:t>表11  项目废气产生及排放情况一览表</w:t>
            </w:r>
          </w:p>
          <w:tbl>
            <w:tblPr>
              <w:tblStyle w:val="42"/>
              <w:tblW w:w="90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
              <w:gridCol w:w="1302"/>
              <w:gridCol w:w="1503"/>
              <w:gridCol w:w="1178"/>
              <w:gridCol w:w="1236"/>
              <w:gridCol w:w="1160"/>
              <w:gridCol w:w="1500"/>
              <w:gridCol w:w="2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62"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污染物</w:t>
                  </w:r>
                </w:p>
              </w:tc>
              <w:tc>
                <w:tcPr>
                  <w:tcW w:w="1302"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单位</w:t>
                  </w:r>
                </w:p>
              </w:tc>
              <w:tc>
                <w:tcPr>
                  <w:tcW w:w="1503"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产污系数</w:t>
                  </w:r>
                </w:p>
              </w:tc>
              <w:tc>
                <w:tcPr>
                  <w:tcW w:w="1178"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末端治理</w:t>
                  </w:r>
                </w:p>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技术名称</w:t>
                  </w:r>
                </w:p>
              </w:tc>
              <w:tc>
                <w:tcPr>
                  <w:tcW w:w="1236"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排污系数</w:t>
                  </w:r>
                </w:p>
              </w:tc>
              <w:tc>
                <w:tcPr>
                  <w:tcW w:w="1160"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排放浓度（</w:t>
                  </w:r>
                  <w:r>
                    <w:rPr>
                      <w:rFonts w:hint="eastAsia" w:ascii="宋体" w:hAnsi="宋体"/>
                      <w:kern w:val="0"/>
                      <w:szCs w:val="21"/>
                    </w:rPr>
                    <w:t>mg/</w:t>
                  </w:r>
                  <w:r>
                    <w:rPr>
                      <w:rFonts w:hint="eastAsia" w:ascii="宋体" w:hAnsi="宋体" w:cs="宋体"/>
                      <w:szCs w:val="21"/>
                    </w:rPr>
                    <w:t>m</w:t>
                  </w:r>
                  <w:r>
                    <w:rPr>
                      <w:rFonts w:hint="eastAsia" w:ascii="宋体" w:hAnsi="宋体" w:cs="宋体"/>
                      <w:szCs w:val="21"/>
                      <w:vertAlign w:val="superscript"/>
                    </w:rPr>
                    <w:t>3</w:t>
                  </w:r>
                  <w:r>
                    <w:rPr>
                      <w:rFonts w:hint="eastAsia" w:ascii="宋体" w:hAnsi="宋体" w:cs="SimSun,Bold"/>
                      <w:bCs/>
                      <w:kern w:val="0"/>
                      <w:szCs w:val="21"/>
                    </w:rPr>
                    <w:t>）</w:t>
                  </w:r>
                </w:p>
              </w:tc>
              <w:tc>
                <w:tcPr>
                  <w:tcW w:w="1500" w:type="dxa"/>
                  <w:tcBorders>
                    <w:righ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排放量</w:t>
                  </w:r>
                </w:p>
              </w:tc>
              <w:tc>
                <w:tcPr>
                  <w:tcW w:w="236" w:type="dxa"/>
                  <w:tcBorders>
                    <w:lef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5" w:hRule="atLeast"/>
              </w:trPr>
              <w:tc>
                <w:tcPr>
                  <w:tcW w:w="962"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工业废气量</w:t>
                  </w:r>
                </w:p>
              </w:tc>
              <w:tc>
                <w:tcPr>
                  <w:tcW w:w="1302" w:type="dxa"/>
                  <w:vAlign w:val="center"/>
                </w:tcPr>
                <w:p>
                  <w:pPr>
                    <w:snapToGrid w:val="0"/>
                    <w:spacing w:line="360" w:lineRule="exact"/>
                    <w:jc w:val="center"/>
                    <w:rPr>
                      <w:rFonts w:ascii="宋体" w:hAnsi="宋体"/>
                      <w:kern w:val="0"/>
                      <w:szCs w:val="21"/>
                    </w:rPr>
                  </w:pPr>
                  <w:r>
                    <w:rPr>
                      <w:rFonts w:ascii="宋体" w:hAnsi="宋体"/>
                      <w:kern w:val="0"/>
                      <w:szCs w:val="21"/>
                    </w:rPr>
                    <w:t>标</w:t>
                  </w:r>
                  <w:r>
                    <w:rPr>
                      <w:rFonts w:hint="eastAsia" w:ascii="宋体" w:hAnsi="宋体"/>
                      <w:kern w:val="0"/>
                      <w:szCs w:val="21"/>
                    </w:rPr>
                    <w:t>立</w:t>
                  </w:r>
                  <w:r>
                    <w:rPr>
                      <w:rFonts w:ascii="宋体" w:hAnsi="宋体"/>
                      <w:kern w:val="0"/>
                      <w:szCs w:val="21"/>
                    </w:rPr>
                    <w:t>方米/万立方米-原料</w:t>
                  </w:r>
                </w:p>
              </w:tc>
              <w:tc>
                <w:tcPr>
                  <w:tcW w:w="1503" w:type="dxa"/>
                  <w:vAlign w:val="center"/>
                </w:tcPr>
                <w:p>
                  <w:pPr>
                    <w:snapToGrid w:val="0"/>
                    <w:spacing w:line="360" w:lineRule="exact"/>
                    <w:jc w:val="center"/>
                    <w:rPr>
                      <w:rFonts w:ascii="宋体" w:hAnsi="宋体"/>
                      <w:kern w:val="0"/>
                      <w:szCs w:val="21"/>
                    </w:rPr>
                  </w:pPr>
                  <w:r>
                    <w:rPr>
                      <w:rFonts w:ascii="宋体" w:hAnsi="宋体"/>
                      <w:kern w:val="0"/>
                      <w:szCs w:val="21"/>
                    </w:rPr>
                    <w:t>136259.17</w:t>
                  </w:r>
                </w:p>
              </w:tc>
              <w:tc>
                <w:tcPr>
                  <w:tcW w:w="1178" w:type="dxa"/>
                  <w:vAlign w:val="center"/>
                </w:tcPr>
                <w:p>
                  <w:pPr>
                    <w:snapToGrid w:val="0"/>
                    <w:spacing w:line="360" w:lineRule="exact"/>
                    <w:jc w:val="center"/>
                    <w:rPr>
                      <w:rFonts w:ascii="宋体" w:hAnsi="宋体"/>
                      <w:kern w:val="0"/>
                      <w:szCs w:val="21"/>
                    </w:rPr>
                  </w:pPr>
                  <w:r>
                    <w:rPr>
                      <w:rFonts w:ascii="宋体" w:hAnsi="宋体"/>
                      <w:kern w:val="0"/>
                      <w:szCs w:val="21"/>
                    </w:rPr>
                    <w:t>直排</w:t>
                  </w:r>
                </w:p>
              </w:tc>
              <w:tc>
                <w:tcPr>
                  <w:tcW w:w="1236" w:type="dxa"/>
                  <w:vAlign w:val="center"/>
                </w:tcPr>
                <w:p>
                  <w:pPr>
                    <w:spacing w:line="360" w:lineRule="exact"/>
                    <w:jc w:val="center"/>
                    <w:rPr>
                      <w:rFonts w:ascii="宋体" w:hAnsi="宋体"/>
                      <w:kern w:val="0"/>
                      <w:szCs w:val="21"/>
                    </w:rPr>
                  </w:pPr>
                  <w:r>
                    <w:rPr>
                      <w:rFonts w:ascii="宋体" w:hAnsi="宋体"/>
                      <w:kern w:val="0"/>
                      <w:szCs w:val="21"/>
                    </w:rPr>
                    <w:t>136259.17</w:t>
                  </w:r>
                </w:p>
              </w:tc>
              <w:tc>
                <w:tcPr>
                  <w:tcW w:w="1160"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w:t>
                  </w:r>
                </w:p>
              </w:tc>
              <w:tc>
                <w:tcPr>
                  <w:tcW w:w="1500" w:type="dxa"/>
                  <w:tcBorders>
                    <w:righ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784.58万</w:t>
                  </w:r>
                  <w:r>
                    <w:rPr>
                      <w:rFonts w:hint="eastAsia" w:ascii="宋体" w:hAnsi="宋体" w:cs="宋体"/>
                      <w:szCs w:val="21"/>
                    </w:rPr>
                    <w:t>m</w:t>
                  </w:r>
                  <w:r>
                    <w:rPr>
                      <w:rFonts w:hint="eastAsia" w:ascii="宋体" w:hAnsi="宋体" w:cs="宋体"/>
                      <w:szCs w:val="21"/>
                      <w:vertAlign w:val="superscript"/>
                    </w:rPr>
                    <w:t>3</w:t>
                  </w:r>
                  <w:r>
                    <w:rPr>
                      <w:rFonts w:hint="eastAsia" w:ascii="宋体" w:hAnsi="宋体" w:cs="宋体"/>
                      <w:szCs w:val="21"/>
                    </w:rPr>
                    <w:t>/a</w:t>
                  </w:r>
                </w:p>
              </w:tc>
              <w:tc>
                <w:tcPr>
                  <w:tcW w:w="236" w:type="dxa"/>
                  <w:tcBorders>
                    <w:lef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5" w:hRule="atLeast"/>
              </w:trPr>
              <w:tc>
                <w:tcPr>
                  <w:tcW w:w="962" w:type="dxa"/>
                  <w:vAlign w:val="center"/>
                </w:tcPr>
                <w:p>
                  <w:pPr>
                    <w:autoSpaceDE w:val="0"/>
                    <w:autoSpaceDN w:val="0"/>
                    <w:adjustRightInd w:val="0"/>
                    <w:spacing w:line="360" w:lineRule="exact"/>
                    <w:jc w:val="center"/>
                    <w:rPr>
                      <w:rFonts w:ascii="宋体" w:hAnsi="宋体"/>
                      <w:szCs w:val="21"/>
                    </w:rPr>
                  </w:pPr>
                  <w:r>
                    <w:rPr>
                      <w:rFonts w:hint="eastAsia" w:ascii="宋体" w:hAnsi="宋体"/>
                      <w:szCs w:val="21"/>
                    </w:rPr>
                    <w:t>SO</w:t>
                  </w:r>
                  <w:r>
                    <w:rPr>
                      <w:rFonts w:hint="eastAsia" w:ascii="宋体" w:hAnsi="宋体"/>
                      <w:szCs w:val="21"/>
                      <w:vertAlign w:val="subscript"/>
                    </w:rPr>
                    <w:t>2</w:t>
                  </w:r>
                </w:p>
              </w:tc>
              <w:tc>
                <w:tcPr>
                  <w:tcW w:w="1302" w:type="dxa"/>
                  <w:vAlign w:val="center"/>
                </w:tcPr>
                <w:p>
                  <w:pPr>
                    <w:snapToGrid w:val="0"/>
                    <w:spacing w:line="360" w:lineRule="exact"/>
                    <w:jc w:val="center"/>
                    <w:rPr>
                      <w:rFonts w:ascii="宋体" w:hAnsi="宋体"/>
                      <w:kern w:val="0"/>
                      <w:szCs w:val="21"/>
                    </w:rPr>
                  </w:pPr>
                  <w:r>
                    <w:rPr>
                      <w:rFonts w:ascii="宋体" w:hAnsi="宋体"/>
                      <w:kern w:val="0"/>
                      <w:szCs w:val="21"/>
                    </w:rPr>
                    <w:t>千克/万立方米-原料</w:t>
                  </w:r>
                </w:p>
              </w:tc>
              <w:tc>
                <w:tcPr>
                  <w:tcW w:w="1503"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0.02S</w:t>
                  </w:r>
                </w:p>
              </w:tc>
              <w:tc>
                <w:tcPr>
                  <w:tcW w:w="1178"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直排</w:t>
                  </w:r>
                </w:p>
              </w:tc>
              <w:tc>
                <w:tcPr>
                  <w:tcW w:w="1236"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0.02S</w:t>
                  </w:r>
                </w:p>
              </w:tc>
              <w:tc>
                <w:tcPr>
                  <w:tcW w:w="1160" w:type="dxa"/>
                  <w:vAlign w:val="center"/>
                </w:tcPr>
                <w:p>
                  <w:pPr>
                    <w:autoSpaceDE w:val="0"/>
                    <w:autoSpaceDN w:val="0"/>
                    <w:adjustRightInd w:val="0"/>
                    <w:spacing w:line="360" w:lineRule="exact"/>
                    <w:jc w:val="center"/>
                    <w:rPr>
                      <w:rFonts w:ascii="宋体" w:hAnsi="宋体"/>
                      <w:kern w:val="0"/>
                      <w:szCs w:val="21"/>
                    </w:rPr>
                  </w:pPr>
                  <w:r>
                    <w:rPr>
                      <w:rFonts w:hint="eastAsia" w:ascii="宋体" w:hAnsi="宋体"/>
                      <w:kern w:val="0"/>
                      <w:szCs w:val="21"/>
                    </w:rPr>
                    <w:t>2.69</w:t>
                  </w:r>
                </w:p>
              </w:tc>
              <w:tc>
                <w:tcPr>
                  <w:tcW w:w="1500" w:type="dxa"/>
                  <w:tcBorders>
                    <w:righ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0.023t/a</w:t>
                  </w:r>
                </w:p>
              </w:tc>
              <w:tc>
                <w:tcPr>
                  <w:tcW w:w="236" w:type="dxa"/>
                  <w:tcBorders>
                    <w:lef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62" w:type="dxa"/>
                  <w:vAlign w:val="center"/>
                </w:tcPr>
                <w:p>
                  <w:pPr>
                    <w:autoSpaceDE w:val="0"/>
                    <w:autoSpaceDN w:val="0"/>
                    <w:adjustRightInd w:val="0"/>
                    <w:spacing w:line="360" w:lineRule="exact"/>
                    <w:jc w:val="center"/>
                    <w:rPr>
                      <w:rFonts w:ascii="宋体" w:hAnsi="宋体" w:cs="SimSun,Bold"/>
                      <w:bCs/>
                      <w:kern w:val="0"/>
                      <w:szCs w:val="21"/>
                    </w:rPr>
                  </w:pPr>
                  <w:r>
                    <w:rPr>
                      <w:rFonts w:ascii="宋体" w:hAnsi="宋体"/>
                      <w:szCs w:val="21"/>
                    </w:rPr>
                    <w:t>NO</w:t>
                  </w:r>
                  <w:r>
                    <w:rPr>
                      <w:rFonts w:ascii="宋体" w:hAnsi="宋体"/>
                      <w:szCs w:val="21"/>
                      <w:vertAlign w:val="subscript"/>
                    </w:rPr>
                    <w:t>x</w:t>
                  </w:r>
                </w:p>
              </w:tc>
              <w:tc>
                <w:tcPr>
                  <w:tcW w:w="1302" w:type="dxa"/>
                  <w:vAlign w:val="center"/>
                </w:tcPr>
                <w:p>
                  <w:pPr>
                    <w:snapToGrid w:val="0"/>
                    <w:spacing w:line="360" w:lineRule="exact"/>
                    <w:jc w:val="center"/>
                    <w:rPr>
                      <w:rFonts w:ascii="宋体" w:hAnsi="宋体"/>
                      <w:kern w:val="0"/>
                      <w:szCs w:val="21"/>
                    </w:rPr>
                  </w:pPr>
                  <w:r>
                    <w:rPr>
                      <w:rFonts w:ascii="宋体" w:hAnsi="宋体"/>
                      <w:kern w:val="0"/>
                      <w:szCs w:val="21"/>
                    </w:rPr>
                    <w:t>千克/万立方米-原料</w:t>
                  </w:r>
                </w:p>
              </w:tc>
              <w:tc>
                <w:tcPr>
                  <w:tcW w:w="1503" w:type="dxa"/>
                  <w:vAlign w:val="center"/>
                </w:tcPr>
                <w:p>
                  <w:pPr>
                    <w:autoSpaceDE w:val="0"/>
                    <w:autoSpaceDN w:val="0"/>
                    <w:adjustRightInd w:val="0"/>
                    <w:spacing w:line="360" w:lineRule="exact"/>
                    <w:jc w:val="center"/>
                    <w:rPr>
                      <w:rFonts w:ascii="宋体" w:hAnsi="宋体" w:cs="SimSun,Bold"/>
                      <w:bCs/>
                      <w:kern w:val="0"/>
                      <w:szCs w:val="21"/>
                    </w:rPr>
                  </w:pPr>
                  <w:r>
                    <w:rPr>
                      <w:rFonts w:ascii="宋体" w:hAnsi="宋体" w:cs="SimSun,Bold"/>
                      <w:bCs/>
                      <w:kern w:val="0"/>
                      <w:szCs w:val="21"/>
                    </w:rPr>
                    <w:t>18.71</w:t>
                  </w:r>
                </w:p>
              </w:tc>
              <w:tc>
                <w:tcPr>
                  <w:tcW w:w="1178"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直排</w:t>
                  </w:r>
                </w:p>
              </w:tc>
              <w:tc>
                <w:tcPr>
                  <w:tcW w:w="1236" w:type="dxa"/>
                  <w:vAlign w:val="center"/>
                </w:tcPr>
                <w:p>
                  <w:pPr>
                    <w:autoSpaceDE w:val="0"/>
                    <w:autoSpaceDN w:val="0"/>
                    <w:adjustRightInd w:val="0"/>
                    <w:spacing w:line="360" w:lineRule="exact"/>
                    <w:jc w:val="center"/>
                    <w:rPr>
                      <w:rFonts w:ascii="宋体" w:hAnsi="宋体" w:cs="SimSun,Bold"/>
                      <w:bCs/>
                      <w:kern w:val="0"/>
                      <w:szCs w:val="21"/>
                    </w:rPr>
                  </w:pPr>
                  <w:r>
                    <w:rPr>
                      <w:rFonts w:ascii="宋体" w:hAnsi="宋体" w:cs="SimSun,Bold"/>
                      <w:bCs/>
                      <w:kern w:val="0"/>
                      <w:szCs w:val="21"/>
                    </w:rPr>
                    <w:t>18.71</w:t>
                  </w:r>
                </w:p>
              </w:tc>
              <w:tc>
                <w:tcPr>
                  <w:tcW w:w="1160" w:type="dxa"/>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137.77</w:t>
                  </w:r>
                </w:p>
              </w:tc>
              <w:tc>
                <w:tcPr>
                  <w:tcW w:w="1500" w:type="dxa"/>
                  <w:tcBorders>
                    <w:righ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r>
                    <w:rPr>
                      <w:rFonts w:hint="eastAsia" w:ascii="宋体" w:hAnsi="宋体" w:cs="SimSun,Bold"/>
                      <w:bCs/>
                      <w:kern w:val="0"/>
                      <w:szCs w:val="21"/>
                    </w:rPr>
                    <w:t>1.08t/a</w:t>
                  </w:r>
                </w:p>
              </w:tc>
              <w:tc>
                <w:tcPr>
                  <w:tcW w:w="236" w:type="dxa"/>
                  <w:tcBorders>
                    <w:left w:val="single" w:color="auto" w:sz="4" w:space="0"/>
                  </w:tcBorders>
                  <w:vAlign w:val="center"/>
                </w:tcPr>
                <w:p>
                  <w:pPr>
                    <w:autoSpaceDE w:val="0"/>
                    <w:autoSpaceDN w:val="0"/>
                    <w:adjustRightInd w:val="0"/>
                    <w:spacing w:line="360" w:lineRule="exact"/>
                    <w:jc w:val="center"/>
                    <w:rPr>
                      <w:rFonts w:ascii="宋体" w:hAnsi="宋体" w:cs="SimSun,Bold"/>
                      <w:bCs/>
                      <w:kern w:val="0"/>
                      <w:szCs w:val="21"/>
                    </w:rPr>
                  </w:pPr>
                </w:p>
              </w:tc>
            </w:tr>
          </w:tbl>
          <w:p>
            <w:pPr>
              <w:spacing w:line="360" w:lineRule="auto"/>
              <w:ind w:firstLine="420" w:firstLineChars="200"/>
              <w:rPr>
                <w:rFonts w:ascii="宋体" w:hAnsi="宋体"/>
                <w:bCs/>
                <w:szCs w:val="21"/>
              </w:rPr>
            </w:pPr>
            <w:r>
              <w:rPr>
                <w:rFonts w:hint="eastAsia" w:ascii="宋体" w:hAnsi="宋体"/>
                <w:bCs/>
                <w:szCs w:val="21"/>
              </w:rPr>
              <w:t>注:①产排污系数表中二氧化硫的产排污系数是以含硫量（S）的形式表示的,其中含硫量（S）是指燃气收到基硫分含量,单位为毫克/立方米。例如燃料中含硫量（S）为200毫克/立方米,则S=200。国家标准GB17820-2012《天然气》,民用二类天然气的规范要求:含硫量（S）≤20mg/m</w:t>
            </w:r>
            <w:r>
              <w:rPr>
                <w:rFonts w:hint="eastAsia" w:ascii="宋体" w:hAnsi="宋体"/>
                <w:bCs/>
                <w:szCs w:val="21"/>
                <w:vertAlign w:val="superscript"/>
              </w:rPr>
              <w:t>3</w:t>
            </w:r>
            <w:r>
              <w:rPr>
                <w:rFonts w:hint="eastAsia" w:ascii="宋体" w:hAnsi="宋体"/>
                <w:bCs/>
                <w:szCs w:val="21"/>
              </w:rPr>
              <w:t>,本项目取20mg/m</w:t>
            </w:r>
            <w:r>
              <w:rPr>
                <w:rFonts w:hint="eastAsia" w:ascii="宋体" w:hAnsi="宋体"/>
                <w:bCs/>
                <w:szCs w:val="21"/>
                <w:vertAlign w:val="superscript"/>
              </w:rPr>
              <w:t>3</w:t>
            </w:r>
            <w:r>
              <w:rPr>
                <w:rFonts w:hint="eastAsia" w:ascii="宋体" w:hAnsi="宋体"/>
                <w:bCs/>
                <w:szCs w:val="21"/>
              </w:rPr>
              <w:t>,则S=20。</w:t>
            </w:r>
          </w:p>
          <w:p>
            <w:pPr>
              <w:spacing w:line="460" w:lineRule="exact"/>
              <w:ind w:firstLine="480" w:firstLineChars="200"/>
              <w:rPr>
                <w:rFonts w:ascii="宋体" w:hAnsi="宋体"/>
                <w:color w:val="000000"/>
                <w:sz w:val="24"/>
              </w:rPr>
            </w:pPr>
            <w:r>
              <w:rPr>
                <w:rFonts w:hint="eastAsia" w:ascii="宋体" w:hAnsi="宋体"/>
                <w:color w:val="000000"/>
                <w:sz w:val="24"/>
              </w:rPr>
              <w:t xml:space="preserve">（3）柴油发电机废气 </w:t>
            </w:r>
          </w:p>
          <w:p>
            <w:pPr>
              <w:pStyle w:val="95"/>
              <w:spacing w:line="460" w:lineRule="exact"/>
              <w:ind w:firstLine="480" w:firstLineChars="200"/>
              <w:jc w:val="both"/>
              <w:rPr>
                <w:color w:val="000000"/>
                <w:sz w:val="24"/>
                <w:szCs w:val="24"/>
              </w:rPr>
            </w:pPr>
            <w:r>
              <w:rPr>
                <w:rStyle w:val="94"/>
                <w:color w:val="000000"/>
                <w:sz w:val="24"/>
                <w:szCs w:val="24"/>
              </w:rPr>
              <w:t>本项目拟备用</w:t>
            </w:r>
            <w:r>
              <w:rPr>
                <w:rStyle w:val="233"/>
                <w:rFonts w:hint="eastAsia" w:hAnsi="宋体"/>
                <w:color w:val="000000"/>
                <w:sz w:val="24"/>
                <w:szCs w:val="24"/>
                <w:lang w:eastAsia="zh-CN"/>
              </w:rPr>
              <w:t>1</w:t>
            </w:r>
            <w:r>
              <w:rPr>
                <w:rStyle w:val="94"/>
                <w:color w:val="000000"/>
                <w:sz w:val="24"/>
                <w:szCs w:val="24"/>
              </w:rPr>
              <w:t>台</w:t>
            </w:r>
            <w:r>
              <w:rPr>
                <w:rStyle w:val="233"/>
                <w:rFonts w:hint="eastAsia" w:hAnsi="宋体"/>
                <w:color w:val="000000"/>
                <w:sz w:val="24"/>
                <w:szCs w:val="24"/>
                <w:lang w:eastAsia="zh-CN"/>
              </w:rPr>
              <w:t>800KW</w:t>
            </w:r>
            <w:r>
              <w:rPr>
                <w:rStyle w:val="94"/>
                <w:color w:val="000000"/>
                <w:sz w:val="24"/>
                <w:szCs w:val="24"/>
              </w:rPr>
              <w:t>的柴油发电机组,作为项目内应急电源,位于</w:t>
            </w:r>
            <w:r>
              <w:rPr>
                <w:rStyle w:val="94"/>
                <w:rFonts w:hint="eastAsia"/>
                <w:color w:val="000000"/>
                <w:sz w:val="24"/>
                <w:szCs w:val="24"/>
              </w:rPr>
              <w:t>地下室</w:t>
            </w:r>
            <w:r>
              <w:rPr>
                <w:rStyle w:val="94"/>
                <w:color w:val="000000"/>
                <w:sz w:val="24"/>
                <w:szCs w:val="24"/>
              </w:rPr>
              <w:t>设备房内。在发电机房设应急电源配电柜,将电源分配至各组变压器的应急母线。</w:t>
            </w:r>
          </w:p>
          <w:p>
            <w:pPr>
              <w:pStyle w:val="95"/>
              <w:spacing w:line="460" w:lineRule="exact"/>
              <w:ind w:firstLine="480" w:firstLineChars="200"/>
              <w:jc w:val="both"/>
              <w:rPr>
                <w:color w:val="000000"/>
                <w:sz w:val="24"/>
                <w:szCs w:val="24"/>
              </w:rPr>
            </w:pPr>
            <w:r>
              <w:rPr>
                <w:rStyle w:val="94"/>
                <w:color w:val="000000"/>
                <w:sz w:val="24"/>
                <w:szCs w:val="24"/>
              </w:rPr>
              <w:t>发电机组燃油釆用含硫量不大于</w:t>
            </w:r>
            <w:r>
              <w:rPr>
                <w:rStyle w:val="233"/>
                <w:rFonts w:hint="eastAsia" w:hAnsi="宋体"/>
                <w:color w:val="000000"/>
                <w:sz w:val="24"/>
                <w:szCs w:val="24"/>
                <w:lang w:eastAsia="zh-CN"/>
              </w:rPr>
              <w:t>0.035%</w:t>
            </w:r>
            <w:r>
              <w:rPr>
                <w:rStyle w:val="94"/>
                <w:color w:val="000000"/>
                <w:sz w:val="24"/>
                <w:szCs w:val="24"/>
              </w:rPr>
              <w:t>优质</w:t>
            </w:r>
            <w:r>
              <w:rPr>
                <w:rStyle w:val="233"/>
                <w:rFonts w:hint="eastAsia" w:hAnsi="宋体"/>
                <w:color w:val="000000"/>
                <w:sz w:val="24"/>
                <w:szCs w:val="24"/>
                <w:lang w:val="zh-TW" w:eastAsia="zh-TW"/>
              </w:rPr>
              <w:t>0#</w:t>
            </w:r>
            <w:r>
              <w:rPr>
                <w:rStyle w:val="94"/>
                <w:color w:val="000000"/>
                <w:sz w:val="24"/>
                <w:szCs w:val="24"/>
              </w:rPr>
              <w:t>柴油,按单台发电机耗油量</w:t>
            </w:r>
            <w:r>
              <w:rPr>
                <w:rStyle w:val="233"/>
                <w:rFonts w:hint="eastAsia" w:hAnsi="宋体"/>
                <w:color w:val="000000"/>
                <w:sz w:val="24"/>
                <w:szCs w:val="24"/>
                <w:lang w:eastAsia="zh-CN"/>
              </w:rPr>
              <w:t>220g/kwh计,1</w:t>
            </w:r>
            <w:r>
              <w:rPr>
                <w:rStyle w:val="94"/>
                <w:color w:val="000000"/>
                <w:sz w:val="24"/>
                <w:szCs w:val="24"/>
              </w:rPr>
              <w:t>台柴油发电机的总耗油量为</w:t>
            </w:r>
            <w:r>
              <w:rPr>
                <w:rStyle w:val="233"/>
                <w:rFonts w:hint="eastAsia" w:hAnsi="宋体"/>
                <w:color w:val="000000"/>
                <w:sz w:val="24"/>
                <w:szCs w:val="24"/>
                <w:lang w:eastAsia="zh-CN"/>
              </w:rPr>
              <w:t>176kg/h,</w:t>
            </w:r>
            <w:r>
              <w:rPr>
                <w:rStyle w:val="94"/>
                <w:color w:val="000000"/>
                <w:sz w:val="24"/>
                <w:szCs w:val="24"/>
              </w:rPr>
              <w:t>烟气量为</w:t>
            </w:r>
            <w:r>
              <w:rPr>
                <w:rStyle w:val="233"/>
                <w:rFonts w:hint="eastAsia" w:hAnsi="宋体"/>
                <w:color w:val="000000"/>
                <w:sz w:val="24"/>
                <w:szCs w:val="24"/>
                <w:lang w:eastAsia="zh-CN"/>
              </w:rPr>
              <w:t>4060m</w:t>
            </w:r>
            <w:r>
              <w:rPr>
                <w:rStyle w:val="233"/>
                <w:rFonts w:hint="eastAsia" w:hAnsi="宋体"/>
                <w:color w:val="000000"/>
                <w:sz w:val="24"/>
                <w:szCs w:val="24"/>
                <w:vertAlign w:val="superscript"/>
                <w:lang w:eastAsia="zh-CN"/>
              </w:rPr>
              <w:t>3</w:t>
            </w:r>
            <w:r>
              <w:rPr>
                <w:rStyle w:val="233"/>
                <w:rFonts w:hint="eastAsia" w:hAnsi="宋体"/>
                <w:color w:val="000000"/>
                <w:sz w:val="24"/>
                <w:szCs w:val="24"/>
                <w:lang w:eastAsia="zh-CN"/>
              </w:rPr>
              <w:t>/h</w:t>
            </w:r>
            <w:r>
              <w:rPr>
                <w:rStyle w:val="94"/>
                <w:color w:val="000000"/>
                <w:sz w:val="24"/>
                <w:szCs w:val="24"/>
              </w:rPr>
              <w:t>。</w:t>
            </w:r>
            <w:r>
              <w:rPr>
                <w:rStyle w:val="94"/>
                <w:rFonts w:hint="eastAsia"/>
                <w:color w:val="000000"/>
                <w:sz w:val="24"/>
                <w:szCs w:val="24"/>
              </w:rPr>
              <w:t>洪江市</w:t>
            </w:r>
            <w:r>
              <w:rPr>
                <w:rStyle w:val="94"/>
                <w:color w:val="000000"/>
                <w:sz w:val="24"/>
                <w:szCs w:val="24"/>
              </w:rPr>
              <w:t>城区内供电充足,因此备用柴油发电机的启用次数不多,每个月使用时间小于</w:t>
            </w:r>
            <w:r>
              <w:rPr>
                <w:rStyle w:val="235"/>
                <w:rFonts w:hint="default" w:eastAsia="宋体"/>
                <w:color w:val="000000"/>
                <w:sz w:val="24"/>
                <w:szCs w:val="24"/>
                <w:lang w:val="zh-TW" w:eastAsia="zh-TW"/>
              </w:rPr>
              <w:t>8</w:t>
            </w:r>
            <w:r>
              <w:rPr>
                <w:rStyle w:val="94"/>
                <w:color w:val="000000"/>
                <w:sz w:val="24"/>
                <w:szCs w:val="24"/>
              </w:rPr>
              <w:t>小时。现按每月发电一次,每次运行</w:t>
            </w:r>
            <w:r>
              <w:rPr>
                <w:rStyle w:val="235"/>
                <w:rFonts w:hint="default" w:eastAsia="宋体"/>
                <w:color w:val="000000"/>
                <w:sz w:val="24"/>
                <w:szCs w:val="24"/>
                <w:lang w:eastAsia="zh-CN"/>
              </w:rPr>
              <w:t>8</w:t>
            </w:r>
            <w:r>
              <w:rPr>
                <w:rStyle w:val="233"/>
                <w:rFonts w:hint="eastAsia" w:hAnsi="宋体"/>
                <w:color w:val="000000"/>
                <w:sz w:val="24"/>
                <w:szCs w:val="24"/>
                <w:lang w:eastAsia="zh-CN"/>
              </w:rPr>
              <w:t>h</w:t>
            </w:r>
            <w:r>
              <w:rPr>
                <w:rStyle w:val="94"/>
                <w:color w:val="000000"/>
                <w:sz w:val="24"/>
                <w:szCs w:val="24"/>
              </w:rPr>
              <w:t>计,年总耗油量约为</w:t>
            </w:r>
            <w:r>
              <w:rPr>
                <w:rStyle w:val="233"/>
                <w:rFonts w:hint="eastAsia" w:hAnsi="宋体"/>
                <w:color w:val="000000"/>
                <w:sz w:val="24"/>
                <w:szCs w:val="24"/>
                <w:lang w:eastAsia="zh-CN"/>
              </w:rPr>
              <w:t>16.90t。</w:t>
            </w:r>
            <w:r>
              <w:rPr>
                <w:rStyle w:val="94"/>
                <w:color w:val="000000"/>
                <w:sz w:val="24"/>
                <w:szCs w:val="24"/>
              </w:rPr>
              <w:t>据此,可得出该发电机组年大气污染物排放量（以发电机</w:t>
            </w:r>
            <w:r>
              <w:rPr>
                <w:rStyle w:val="246"/>
                <w:rFonts w:hint="default"/>
                <w:color w:val="000000"/>
                <w:sz w:val="24"/>
                <w:szCs w:val="24"/>
              </w:rPr>
              <w:t>100%</w:t>
            </w:r>
            <w:r>
              <w:rPr>
                <w:rStyle w:val="94"/>
                <w:color w:val="000000"/>
                <w:sz w:val="24"/>
                <w:szCs w:val="24"/>
              </w:rPr>
              <w:t>满载运行,燃用</w:t>
            </w:r>
            <w:r>
              <w:rPr>
                <w:rStyle w:val="233"/>
                <w:rFonts w:hint="eastAsia" w:hAnsi="宋体"/>
                <w:color w:val="000000"/>
                <w:sz w:val="24"/>
                <w:szCs w:val="24"/>
                <w:lang w:val="zh-TW" w:eastAsia="zh-TW"/>
              </w:rPr>
              <w:t>0#</w:t>
            </w:r>
            <w:r>
              <w:rPr>
                <w:rStyle w:val="94"/>
                <w:color w:val="000000"/>
                <w:sz w:val="24"/>
                <w:szCs w:val="24"/>
              </w:rPr>
              <w:t>含硫率</w:t>
            </w:r>
            <w:r>
              <w:rPr>
                <w:rStyle w:val="233"/>
                <w:rFonts w:hint="eastAsia" w:hAnsi="宋体"/>
                <w:color w:val="000000"/>
                <w:sz w:val="24"/>
                <w:szCs w:val="24"/>
                <w:lang w:eastAsia="zh-CN"/>
              </w:rPr>
              <w:t>0.035%</w:t>
            </w:r>
            <w:r>
              <w:rPr>
                <w:rStyle w:val="94"/>
                <w:color w:val="000000"/>
                <w:sz w:val="24"/>
                <w:szCs w:val="24"/>
              </w:rPr>
              <w:t>柴油,密度取</w:t>
            </w:r>
            <w:r>
              <w:rPr>
                <w:rStyle w:val="233"/>
                <w:rFonts w:hint="eastAsia" w:hAnsi="宋体"/>
                <w:color w:val="000000"/>
                <w:sz w:val="24"/>
                <w:szCs w:val="24"/>
                <w:lang w:eastAsia="zh-CN"/>
              </w:rPr>
              <w:t>0.85kg/l）</w:t>
            </w:r>
            <w:r>
              <w:rPr>
                <w:rStyle w:val="94"/>
                <w:color w:val="000000"/>
                <w:sz w:val="24"/>
                <w:szCs w:val="24"/>
              </w:rPr>
              <w:t>,</w:t>
            </w:r>
            <w:r>
              <w:rPr>
                <w:rStyle w:val="94"/>
                <w:rFonts w:hint="eastAsia"/>
                <w:color w:val="000000"/>
                <w:sz w:val="24"/>
                <w:szCs w:val="24"/>
              </w:rPr>
              <w:t>发电机燃油烟气产生预测详见表</w:t>
            </w:r>
            <w:r>
              <w:rPr>
                <w:rStyle w:val="94"/>
                <w:rFonts w:hint="eastAsia"/>
                <w:color w:val="000000" w:themeColor="text1"/>
                <w:sz w:val="24"/>
                <w:szCs w:val="24"/>
              </w:rPr>
              <w:t>12</w:t>
            </w:r>
            <w:r>
              <w:rPr>
                <w:rStyle w:val="94"/>
                <w:rFonts w:hint="eastAsia"/>
                <w:color w:val="0070C0"/>
                <w:sz w:val="24"/>
                <w:szCs w:val="24"/>
              </w:rPr>
              <w:t>。</w:t>
            </w:r>
          </w:p>
          <w:p>
            <w:pPr>
              <w:pStyle w:val="245"/>
              <w:spacing w:line="360" w:lineRule="auto"/>
              <w:jc w:val="center"/>
              <w:rPr>
                <w:rFonts w:ascii="宋体" w:hAnsi="宋体" w:eastAsia="宋体" w:cs="宋体"/>
                <w:color w:val="000000"/>
                <w:sz w:val="24"/>
              </w:rPr>
            </w:pPr>
            <w:r>
              <w:rPr>
                <w:rStyle w:val="244"/>
                <w:rFonts w:ascii="宋体" w:hAnsi="宋体" w:eastAsia="宋体" w:cs="宋体"/>
                <w:bCs/>
                <w:color w:val="000000" w:themeColor="text1"/>
                <w:sz w:val="24"/>
              </w:rPr>
              <w:t>表</w:t>
            </w:r>
            <w:r>
              <w:rPr>
                <w:rStyle w:val="244"/>
                <w:rFonts w:hint="eastAsia" w:ascii="宋体" w:hAnsi="宋体" w:eastAsia="宋体" w:cs="宋体"/>
                <w:bCs/>
                <w:color w:val="000000" w:themeColor="text1"/>
                <w:sz w:val="24"/>
              </w:rPr>
              <w:t xml:space="preserve">12 </w:t>
            </w:r>
            <w:r>
              <w:rPr>
                <w:rStyle w:val="241"/>
                <w:rFonts w:hint="eastAsia" w:ascii="宋体" w:hAnsi="宋体" w:eastAsia="宋体" w:cs="宋体"/>
                <w:bCs/>
                <w:color w:val="000000" w:themeColor="text1"/>
                <w:sz w:val="24"/>
                <w:lang w:eastAsia="zh-CN"/>
              </w:rPr>
              <w:t xml:space="preserve"> </w:t>
            </w:r>
            <w:r>
              <w:rPr>
                <w:rStyle w:val="244"/>
                <w:rFonts w:ascii="宋体" w:hAnsi="宋体" w:eastAsia="宋体" w:cs="宋体"/>
                <w:bCs/>
                <w:color w:val="000000"/>
                <w:sz w:val="24"/>
              </w:rPr>
              <w:t>发电机燃油烟气污染负荷一览表</w:t>
            </w:r>
          </w:p>
          <w:tbl>
            <w:tblPr>
              <w:tblStyle w:val="42"/>
              <w:tblW w:w="8987" w:type="dxa"/>
              <w:jc w:val="center"/>
              <w:tblInd w:w="200" w:type="dxa"/>
              <w:tblLayout w:type="fixed"/>
              <w:tblCellMar>
                <w:top w:w="0" w:type="dxa"/>
                <w:left w:w="0" w:type="dxa"/>
                <w:bottom w:w="0" w:type="dxa"/>
                <w:right w:w="0" w:type="dxa"/>
              </w:tblCellMar>
            </w:tblPr>
            <w:tblGrid>
              <w:gridCol w:w="3035"/>
              <w:gridCol w:w="1488"/>
              <w:gridCol w:w="1481"/>
              <w:gridCol w:w="1487"/>
              <w:gridCol w:w="1496"/>
            </w:tblGrid>
            <w:tr>
              <w:tblPrEx>
                <w:tblLayout w:type="fixed"/>
                <w:tblCellMar>
                  <w:top w:w="0" w:type="dxa"/>
                  <w:left w:w="0" w:type="dxa"/>
                  <w:bottom w:w="0" w:type="dxa"/>
                  <w:right w:w="0" w:type="dxa"/>
                </w:tblCellMar>
              </w:tblPrEx>
              <w:trPr>
                <w:trHeight w:val="414" w:hRule="exact"/>
                <w:jc w:val="center"/>
              </w:trPr>
              <w:tc>
                <w:tcPr>
                  <w:tcW w:w="3035" w:type="dxa"/>
                  <w:tcBorders>
                    <w:top w:val="single" w:color="auto" w:sz="4" w:space="0"/>
                    <w:left w:val="single" w:color="auto" w:sz="4" w:space="0"/>
                  </w:tcBorders>
                  <w:shd w:val="clear" w:color="auto" w:fill="FFFFFF"/>
                </w:tcPr>
                <w:p>
                  <w:pPr>
                    <w:pStyle w:val="95"/>
                    <w:spacing w:line="360" w:lineRule="auto"/>
                    <w:ind w:firstLine="0"/>
                    <w:jc w:val="center"/>
                    <w:rPr>
                      <w:color w:val="000000"/>
                    </w:rPr>
                  </w:pPr>
                  <w:r>
                    <w:rPr>
                      <w:rStyle w:val="240"/>
                      <w:rFonts w:hint="default"/>
                      <w:color w:val="000000"/>
                    </w:rPr>
                    <w:t>污染物</w:t>
                  </w:r>
                </w:p>
              </w:tc>
              <w:tc>
                <w:tcPr>
                  <w:tcW w:w="1488"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S0</w:t>
                  </w:r>
                  <w:r>
                    <w:rPr>
                      <w:rFonts w:hint="eastAsia" w:ascii="宋体" w:hAnsi="宋体" w:cs="宋体"/>
                      <w:color w:val="000000"/>
                      <w:vertAlign w:val="subscript"/>
                    </w:rPr>
                    <w:t>2</w:t>
                  </w:r>
                </w:p>
              </w:tc>
              <w:tc>
                <w:tcPr>
                  <w:tcW w:w="1481"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烟尘</w:t>
                  </w:r>
                </w:p>
              </w:tc>
              <w:tc>
                <w:tcPr>
                  <w:tcW w:w="1487"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NO</w:t>
                  </w:r>
                  <w:r>
                    <w:rPr>
                      <w:rFonts w:hint="eastAsia" w:ascii="宋体" w:hAnsi="宋体" w:cs="宋体"/>
                      <w:color w:val="000000"/>
                      <w:vertAlign w:val="subscript"/>
                    </w:rPr>
                    <w:t>2</w:t>
                  </w:r>
                </w:p>
              </w:tc>
              <w:tc>
                <w:tcPr>
                  <w:tcW w:w="1496" w:type="dxa"/>
                  <w:tcBorders>
                    <w:top w:val="single" w:color="auto" w:sz="4" w:space="0"/>
                    <w:left w:val="single" w:color="auto" w:sz="4" w:space="0"/>
                    <w:righ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废气</w:t>
                  </w:r>
                </w:p>
              </w:tc>
            </w:tr>
            <w:tr>
              <w:tblPrEx>
                <w:tblLayout w:type="fixed"/>
                <w:tblCellMar>
                  <w:top w:w="0" w:type="dxa"/>
                  <w:left w:w="0" w:type="dxa"/>
                  <w:bottom w:w="0" w:type="dxa"/>
                  <w:right w:w="0" w:type="dxa"/>
                </w:tblCellMar>
              </w:tblPrEx>
              <w:trPr>
                <w:trHeight w:val="396" w:hRule="exact"/>
                <w:jc w:val="center"/>
              </w:trPr>
              <w:tc>
                <w:tcPr>
                  <w:tcW w:w="3035" w:type="dxa"/>
                  <w:tcBorders>
                    <w:top w:val="single" w:color="auto" w:sz="4" w:space="0"/>
                    <w:left w:val="single" w:color="auto" w:sz="4" w:space="0"/>
                  </w:tcBorders>
                  <w:shd w:val="clear" w:color="auto" w:fill="FFFFFF"/>
                </w:tcPr>
                <w:p>
                  <w:pPr>
                    <w:pStyle w:val="95"/>
                    <w:spacing w:line="360" w:lineRule="auto"/>
                    <w:ind w:firstLine="0"/>
                    <w:jc w:val="center"/>
                    <w:rPr>
                      <w:color w:val="000000"/>
                    </w:rPr>
                  </w:pPr>
                  <w:r>
                    <w:rPr>
                      <w:rStyle w:val="240"/>
                      <w:rFonts w:hint="default"/>
                      <w:color w:val="000000"/>
                    </w:rPr>
                    <w:t>污染物产生系数（</w:t>
                  </w:r>
                  <w:r>
                    <w:rPr>
                      <w:rStyle w:val="243"/>
                      <w:rFonts w:hint="eastAsia"/>
                      <w:color w:val="000000"/>
                      <w:lang w:eastAsia="zh-CN"/>
                    </w:rPr>
                    <w:t>g/L</w:t>
                  </w:r>
                  <w:r>
                    <w:rPr>
                      <w:rStyle w:val="240"/>
                      <w:rFonts w:hint="default"/>
                      <w:color w:val="000000"/>
                    </w:rPr>
                    <w:t>油）</w:t>
                  </w:r>
                </w:p>
              </w:tc>
              <w:tc>
                <w:tcPr>
                  <w:tcW w:w="1488"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0.7</w:t>
                  </w:r>
                </w:p>
              </w:tc>
              <w:tc>
                <w:tcPr>
                  <w:tcW w:w="1481"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2.20</w:t>
                  </w:r>
                </w:p>
              </w:tc>
              <w:tc>
                <w:tcPr>
                  <w:tcW w:w="1487"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3.36</w:t>
                  </w:r>
                </w:p>
              </w:tc>
              <w:tc>
                <w:tcPr>
                  <w:tcW w:w="1496" w:type="dxa"/>
                  <w:tcBorders>
                    <w:top w:val="single" w:color="auto" w:sz="4" w:space="0"/>
                    <w:left w:val="single" w:color="auto" w:sz="4" w:space="0"/>
                    <w:righ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8352m</w:t>
                  </w:r>
                  <w:r>
                    <w:rPr>
                      <w:rFonts w:hint="eastAsia" w:ascii="宋体" w:hAnsi="宋体" w:cs="宋体"/>
                      <w:color w:val="000000"/>
                      <w:vertAlign w:val="superscript"/>
                    </w:rPr>
                    <w:t>3</w:t>
                  </w:r>
                  <w:r>
                    <w:rPr>
                      <w:rFonts w:hint="eastAsia" w:ascii="宋体" w:hAnsi="宋体" w:cs="宋体"/>
                      <w:color w:val="000000"/>
                    </w:rPr>
                    <w:t>/h</w:t>
                  </w:r>
                </w:p>
              </w:tc>
            </w:tr>
            <w:tr>
              <w:tblPrEx>
                <w:tblLayout w:type="fixed"/>
                <w:tblCellMar>
                  <w:top w:w="0" w:type="dxa"/>
                  <w:left w:w="0" w:type="dxa"/>
                  <w:bottom w:w="0" w:type="dxa"/>
                  <w:right w:w="0" w:type="dxa"/>
                </w:tblCellMar>
              </w:tblPrEx>
              <w:trPr>
                <w:trHeight w:val="400" w:hRule="exact"/>
                <w:jc w:val="center"/>
              </w:trPr>
              <w:tc>
                <w:tcPr>
                  <w:tcW w:w="3035" w:type="dxa"/>
                  <w:tcBorders>
                    <w:top w:val="single" w:color="auto" w:sz="4" w:space="0"/>
                    <w:left w:val="single" w:color="auto" w:sz="4" w:space="0"/>
                  </w:tcBorders>
                  <w:shd w:val="clear" w:color="auto" w:fill="FFFFFF"/>
                </w:tcPr>
                <w:p>
                  <w:pPr>
                    <w:pStyle w:val="95"/>
                    <w:spacing w:line="360" w:lineRule="auto"/>
                    <w:ind w:firstLine="0"/>
                    <w:jc w:val="center"/>
                    <w:rPr>
                      <w:color w:val="000000"/>
                    </w:rPr>
                  </w:pPr>
                  <w:r>
                    <w:rPr>
                      <w:rStyle w:val="243"/>
                      <w:rFonts w:hint="eastAsia"/>
                      <w:color w:val="000000"/>
                      <w:lang w:eastAsia="zh-CN"/>
                    </w:rPr>
                    <w:t>1</w:t>
                  </w:r>
                  <w:r>
                    <w:rPr>
                      <w:rStyle w:val="240"/>
                      <w:rFonts w:hint="default"/>
                      <w:color w:val="000000"/>
                    </w:rPr>
                    <w:t>台总年排放量（</w:t>
                  </w:r>
                  <w:r>
                    <w:rPr>
                      <w:rStyle w:val="243"/>
                      <w:rFonts w:hint="eastAsia"/>
                      <w:color w:val="000000"/>
                      <w:lang w:eastAsia="zh-CN"/>
                    </w:rPr>
                    <w:t>kg）</w:t>
                  </w:r>
                </w:p>
              </w:tc>
              <w:tc>
                <w:tcPr>
                  <w:tcW w:w="1488"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11.83</w:t>
                  </w:r>
                </w:p>
              </w:tc>
              <w:tc>
                <w:tcPr>
                  <w:tcW w:w="1481"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37.17</w:t>
                  </w:r>
                </w:p>
              </w:tc>
              <w:tc>
                <w:tcPr>
                  <w:tcW w:w="1487"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56.77</w:t>
                  </w:r>
                </w:p>
              </w:tc>
              <w:tc>
                <w:tcPr>
                  <w:tcW w:w="1496" w:type="dxa"/>
                  <w:tcBorders>
                    <w:top w:val="single" w:color="auto" w:sz="4" w:space="0"/>
                    <w:left w:val="single" w:color="auto" w:sz="4" w:space="0"/>
                    <w:righ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400896m</w:t>
                  </w:r>
                  <w:r>
                    <w:rPr>
                      <w:rFonts w:hint="eastAsia" w:ascii="宋体" w:hAnsi="宋体" w:cs="宋体"/>
                      <w:color w:val="000000"/>
                      <w:vertAlign w:val="superscript"/>
                    </w:rPr>
                    <w:t>3</w:t>
                  </w:r>
                </w:p>
              </w:tc>
            </w:tr>
            <w:tr>
              <w:tblPrEx>
                <w:tblLayout w:type="fixed"/>
                <w:tblCellMar>
                  <w:top w:w="0" w:type="dxa"/>
                  <w:left w:w="0" w:type="dxa"/>
                  <w:bottom w:w="0" w:type="dxa"/>
                  <w:right w:w="0" w:type="dxa"/>
                </w:tblCellMar>
              </w:tblPrEx>
              <w:trPr>
                <w:trHeight w:val="389" w:hRule="exact"/>
                <w:jc w:val="center"/>
              </w:trPr>
              <w:tc>
                <w:tcPr>
                  <w:tcW w:w="3035" w:type="dxa"/>
                  <w:tcBorders>
                    <w:top w:val="single" w:color="auto" w:sz="4" w:space="0"/>
                    <w:left w:val="single" w:color="auto" w:sz="4" w:space="0"/>
                  </w:tcBorders>
                  <w:shd w:val="clear" w:color="auto" w:fill="FFFFFF"/>
                </w:tcPr>
                <w:p>
                  <w:pPr>
                    <w:pStyle w:val="95"/>
                    <w:spacing w:line="360" w:lineRule="auto"/>
                    <w:ind w:firstLine="0"/>
                    <w:jc w:val="center"/>
                    <w:rPr>
                      <w:color w:val="000000"/>
                    </w:rPr>
                  </w:pPr>
                  <w:r>
                    <w:rPr>
                      <w:rStyle w:val="240"/>
                      <w:rFonts w:hint="default"/>
                      <w:color w:val="000000"/>
                    </w:rPr>
                    <w:t>单台排放速率（</w:t>
                  </w:r>
                  <w:r>
                    <w:rPr>
                      <w:rStyle w:val="243"/>
                      <w:rFonts w:hint="eastAsia"/>
                      <w:color w:val="000000"/>
                      <w:lang w:eastAsia="zh-CN"/>
                    </w:rPr>
                    <w:t>kg/</w:t>
                  </w:r>
                  <w:r>
                    <w:rPr>
                      <w:rStyle w:val="240"/>
                      <w:rFonts w:hint="default"/>
                      <w:color w:val="000000"/>
                    </w:rPr>
                    <w:t>小时）</w:t>
                  </w:r>
                </w:p>
              </w:tc>
              <w:tc>
                <w:tcPr>
                  <w:tcW w:w="1488"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0.12</w:t>
                  </w:r>
                </w:p>
              </w:tc>
              <w:tc>
                <w:tcPr>
                  <w:tcW w:w="1481"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0.39</w:t>
                  </w:r>
                </w:p>
              </w:tc>
              <w:tc>
                <w:tcPr>
                  <w:tcW w:w="1487"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0.59</w:t>
                  </w:r>
                </w:p>
              </w:tc>
              <w:tc>
                <w:tcPr>
                  <w:tcW w:w="1496" w:type="dxa"/>
                  <w:tcBorders>
                    <w:top w:val="single" w:color="auto" w:sz="4" w:space="0"/>
                    <w:left w:val="single" w:color="auto" w:sz="4" w:space="0"/>
                    <w:righ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8352m</w:t>
                  </w:r>
                  <w:r>
                    <w:rPr>
                      <w:rFonts w:hint="eastAsia" w:ascii="宋体" w:hAnsi="宋体" w:cs="宋体"/>
                      <w:color w:val="000000"/>
                      <w:vertAlign w:val="superscript"/>
                    </w:rPr>
                    <w:t>3</w:t>
                  </w:r>
                  <w:r>
                    <w:rPr>
                      <w:rFonts w:hint="eastAsia" w:ascii="宋体" w:hAnsi="宋体" w:cs="宋体"/>
                      <w:color w:val="000000"/>
                    </w:rPr>
                    <w:t>/h</w:t>
                  </w:r>
                </w:p>
              </w:tc>
            </w:tr>
            <w:tr>
              <w:tblPrEx>
                <w:tblLayout w:type="fixed"/>
                <w:tblCellMar>
                  <w:top w:w="0" w:type="dxa"/>
                  <w:left w:w="0" w:type="dxa"/>
                  <w:bottom w:w="0" w:type="dxa"/>
                  <w:right w:w="0" w:type="dxa"/>
                </w:tblCellMar>
              </w:tblPrEx>
              <w:trPr>
                <w:trHeight w:val="436" w:hRule="exact"/>
                <w:jc w:val="center"/>
              </w:trPr>
              <w:tc>
                <w:tcPr>
                  <w:tcW w:w="3035" w:type="dxa"/>
                  <w:tcBorders>
                    <w:top w:val="single" w:color="auto" w:sz="4" w:space="0"/>
                    <w:left w:val="single" w:color="auto" w:sz="4" w:space="0"/>
                    <w:bottom w:val="single" w:color="auto" w:sz="4" w:space="0"/>
                  </w:tcBorders>
                  <w:shd w:val="clear" w:color="auto" w:fill="FFFFFF"/>
                </w:tcPr>
                <w:p>
                  <w:pPr>
                    <w:pStyle w:val="95"/>
                    <w:spacing w:line="360" w:lineRule="auto"/>
                    <w:ind w:firstLine="0"/>
                    <w:jc w:val="center"/>
                    <w:rPr>
                      <w:color w:val="000000"/>
                    </w:rPr>
                  </w:pPr>
                  <w:r>
                    <w:rPr>
                      <w:rStyle w:val="240"/>
                      <w:rFonts w:hint="default"/>
                      <w:color w:val="000000"/>
                    </w:rPr>
                    <w:t>排放浓度（</w:t>
                  </w:r>
                  <w:r>
                    <w:rPr>
                      <w:rStyle w:val="243"/>
                      <w:rFonts w:hint="eastAsia"/>
                      <w:color w:val="000000"/>
                      <w:lang w:eastAsia="zh-CN"/>
                    </w:rPr>
                    <w:t>mg/m</w:t>
                  </w:r>
                  <w:r>
                    <w:rPr>
                      <w:rStyle w:val="243"/>
                      <w:rFonts w:hint="eastAsia"/>
                      <w:color w:val="000000"/>
                      <w:vertAlign w:val="superscript"/>
                      <w:lang w:eastAsia="zh-CN"/>
                    </w:rPr>
                    <w:t>3</w:t>
                  </w:r>
                  <w:r>
                    <w:rPr>
                      <w:rStyle w:val="243"/>
                      <w:rFonts w:hint="eastAsia"/>
                      <w:color w:val="000000"/>
                      <w:lang w:eastAsia="zh-CN"/>
                    </w:rPr>
                    <w:t>）</w:t>
                  </w:r>
                </w:p>
              </w:tc>
              <w:tc>
                <w:tcPr>
                  <w:tcW w:w="1488" w:type="dxa"/>
                  <w:tcBorders>
                    <w:top w:val="single" w:color="auto" w:sz="4" w:space="0"/>
                    <w:left w:val="single" w:color="auto" w:sz="4" w:space="0"/>
                    <w:bottom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7.18</w:t>
                  </w:r>
                </w:p>
              </w:tc>
              <w:tc>
                <w:tcPr>
                  <w:tcW w:w="1481" w:type="dxa"/>
                  <w:tcBorders>
                    <w:top w:val="single" w:color="auto" w:sz="4" w:space="0"/>
                    <w:left w:val="single" w:color="auto" w:sz="4" w:space="0"/>
                    <w:bottom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23.20</w:t>
                  </w:r>
                </w:p>
              </w:tc>
              <w:tc>
                <w:tcPr>
                  <w:tcW w:w="1487" w:type="dxa"/>
                  <w:tcBorders>
                    <w:top w:val="single" w:color="auto" w:sz="4" w:space="0"/>
                    <w:left w:val="single" w:color="auto" w:sz="4" w:space="0"/>
                    <w:bottom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35.32</w:t>
                  </w:r>
                </w:p>
              </w:tc>
              <w:tc>
                <w:tcPr>
                  <w:tcW w:w="1496" w:type="dxa"/>
                  <w:tcBorders>
                    <w:top w:val="single" w:color="auto" w:sz="4" w:space="0"/>
                    <w:left w:val="single" w:color="auto" w:sz="4" w:space="0"/>
                    <w:bottom w:val="single" w:color="auto" w:sz="4" w:space="0"/>
                    <w:right w:val="single" w:color="auto" w:sz="4" w:space="0"/>
                  </w:tcBorders>
                  <w:shd w:val="clear" w:color="auto" w:fill="FFFFFF"/>
                </w:tcPr>
                <w:p>
                  <w:pPr>
                    <w:spacing w:line="360" w:lineRule="auto"/>
                    <w:jc w:val="center"/>
                    <w:rPr>
                      <w:rFonts w:ascii="宋体" w:hAnsi="宋体" w:cs="宋体"/>
                      <w:color w:val="000000"/>
                    </w:rPr>
                  </w:pPr>
                  <w:r>
                    <w:rPr>
                      <w:rFonts w:hint="eastAsia" w:ascii="宋体" w:hAnsi="宋体" w:cs="宋体"/>
                      <w:color w:val="000000"/>
                    </w:rPr>
                    <w:t>/</w:t>
                  </w:r>
                </w:p>
              </w:tc>
            </w:tr>
          </w:tbl>
          <w:p>
            <w:pPr>
              <w:pStyle w:val="245"/>
              <w:spacing w:line="360" w:lineRule="auto"/>
              <w:ind w:firstLine="422"/>
              <w:rPr>
                <w:rFonts w:ascii="宋体" w:hAnsi="宋体" w:eastAsia="宋体" w:cs="MingLiU"/>
                <w:color w:val="000000"/>
                <w:sz w:val="2"/>
              </w:rPr>
            </w:pPr>
            <w:r>
              <w:rPr>
                <w:rStyle w:val="244"/>
                <w:rFonts w:ascii="宋体" w:hAnsi="宋体" w:eastAsia="宋体" w:cs="宋体"/>
                <w:color w:val="000000"/>
                <w:sz w:val="21"/>
                <w:szCs w:val="21"/>
              </w:rPr>
              <w:t xml:space="preserve">    注:废气排放量已换算为</w:t>
            </w:r>
            <w:r>
              <w:rPr>
                <w:rStyle w:val="241"/>
                <w:rFonts w:hint="eastAsia" w:ascii="宋体" w:hAnsi="宋体" w:eastAsia="宋体" w:cs="宋体"/>
                <w:color w:val="000000"/>
                <w:sz w:val="21"/>
                <w:szCs w:val="21"/>
                <w:lang w:eastAsia="zh-CN"/>
              </w:rPr>
              <w:t>20°C</w:t>
            </w:r>
            <w:r>
              <w:rPr>
                <w:rStyle w:val="244"/>
                <w:rFonts w:ascii="宋体" w:hAnsi="宋体" w:eastAsia="宋体" w:cs="宋体"/>
                <w:color w:val="000000"/>
                <w:sz w:val="21"/>
                <w:szCs w:val="21"/>
              </w:rPr>
              <w:t>状态下的体积。</w:t>
            </w:r>
          </w:p>
          <w:p>
            <w:pPr>
              <w:spacing w:line="440" w:lineRule="exact"/>
              <w:ind w:firstLine="480" w:firstLineChars="200"/>
              <w:rPr>
                <w:rFonts w:ascii="宋体" w:hAnsi="宋体"/>
                <w:color w:val="000000"/>
                <w:sz w:val="24"/>
                <w:szCs w:val="24"/>
              </w:rPr>
            </w:pPr>
            <w:r>
              <w:rPr>
                <w:rFonts w:hint="eastAsia" w:ascii="宋体" w:hAnsi="宋体"/>
                <w:color w:val="000000"/>
                <w:sz w:val="24"/>
              </w:rPr>
              <w:t>（</w:t>
            </w:r>
            <w:r>
              <w:rPr>
                <w:rFonts w:hint="eastAsia" w:ascii="宋体" w:hAnsi="宋体"/>
                <w:color w:val="000000"/>
                <w:sz w:val="24"/>
                <w:szCs w:val="24"/>
              </w:rPr>
              <w:t>4）汽车尾气</w:t>
            </w:r>
          </w:p>
          <w:p>
            <w:pPr>
              <w:pStyle w:val="95"/>
              <w:spacing w:line="500" w:lineRule="exact"/>
              <w:ind w:firstLine="480" w:firstLineChars="200"/>
              <w:jc w:val="both"/>
              <w:rPr>
                <w:rFonts w:ascii="新宋体" w:hAnsi="新宋体" w:eastAsia="新宋体" w:cs="新宋体"/>
                <w:color w:val="000000"/>
                <w:sz w:val="24"/>
                <w:szCs w:val="24"/>
              </w:rPr>
            </w:pPr>
            <w:r>
              <w:rPr>
                <w:rFonts w:hint="eastAsia" w:ascii="新宋体" w:hAnsi="新宋体" w:eastAsia="新宋体" w:cs="新宋体"/>
                <w:color w:val="000000"/>
                <w:sz w:val="24"/>
                <w:szCs w:val="24"/>
              </w:rPr>
              <w:t>根据规划设计，本项目共设机动车停车位</w:t>
            </w:r>
            <w:r>
              <w:rPr>
                <w:rFonts w:hint="eastAsia" w:ascii="新宋体" w:hAnsi="新宋体" w:eastAsia="新宋体" w:cs="新宋体"/>
                <w:sz w:val="24"/>
                <w:szCs w:val="24"/>
              </w:rPr>
              <w:t>347个，其中，地面停车位107个，地下停车位240个。</w:t>
            </w:r>
            <w:r>
              <w:rPr>
                <w:rFonts w:hint="eastAsia" w:ascii="新宋体" w:hAnsi="新宋体" w:eastAsia="新宋体" w:cs="新宋体"/>
                <w:color w:val="000000"/>
                <w:sz w:val="24"/>
                <w:szCs w:val="24"/>
              </w:rPr>
              <w:t>地面汽车尾气和地下车库尾气排放形式为无组织低矮面源排放，地下车库汽车尾气将通过机械通风方式引至建筑物外排放。</w:t>
            </w:r>
          </w:p>
          <w:p>
            <w:pPr>
              <w:pStyle w:val="237"/>
              <w:spacing w:before="0" w:after="0" w:line="500" w:lineRule="exact"/>
              <w:ind w:firstLine="480" w:firstLineChars="200"/>
              <w:jc w:val="both"/>
              <w:rPr>
                <w:rFonts w:ascii="宋体" w:hAnsi="宋体" w:eastAsia="宋体"/>
                <w:color w:val="000000" w:themeColor="text1"/>
                <w:sz w:val="24"/>
                <w:szCs w:val="24"/>
                <w:lang w:eastAsia="zh-CN"/>
              </w:rPr>
            </w:pPr>
            <w:r>
              <w:rPr>
                <w:rFonts w:hint="eastAsia" w:ascii="新宋体" w:hAnsi="新宋体" w:eastAsia="新宋体" w:cs="新宋体"/>
                <w:color w:val="000000"/>
                <w:spacing w:val="0"/>
                <w:sz w:val="24"/>
                <w:szCs w:val="24"/>
                <w:lang w:eastAsia="zh-CN"/>
              </w:rPr>
              <w:t>进出本项目内机动车辆主要为小轿车，从侧重安全的角度考虑均以地下停车位测算，按240个车位停车，每车每日进出3次测算，则平均日车流量为720车次。每车每次在项目区范围内行驶平均距离按200m计算。机动车进出车位时将排放一定量的CO、NO</w:t>
            </w:r>
            <w:r>
              <w:rPr>
                <w:rFonts w:hint="eastAsia" w:ascii="新宋体" w:hAnsi="新宋体" w:eastAsia="新宋体" w:cs="新宋体"/>
                <w:color w:val="000000"/>
                <w:spacing w:val="0"/>
                <w:sz w:val="24"/>
                <w:szCs w:val="24"/>
                <w:vertAlign w:val="subscript"/>
                <w:lang w:eastAsia="zh-CN"/>
              </w:rPr>
              <w:t>x</w:t>
            </w:r>
            <w:r>
              <w:rPr>
                <w:rFonts w:hint="eastAsia" w:ascii="新宋体" w:hAnsi="新宋体" w:eastAsia="新宋体" w:cs="新宋体"/>
                <w:color w:val="000000"/>
                <w:spacing w:val="0"/>
                <w:sz w:val="24"/>
                <w:szCs w:val="24"/>
                <w:lang w:eastAsia="zh-CN"/>
              </w:rPr>
              <w:t>、</w:t>
            </w:r>
            <w:r>
              <w:rPr>
                <w:rFonts w:hint="eastAsia" w:ascii="宋体" w:hAnsi="宋体" w:eastAsia="宋体"/>
                <w:color w:val="000000"/>
                <w:spacing w:val="0"/>
                <w:sz w:val="24"/>
                <w:szCs w:val="24"/>
                <w:lang w:eastAsia="zh-CN"/>
              </w:rPr>
              <w:t>HC，根据我国机动车发展的实际情况，参考《轻型汽车污染物排放限值及测量方法（中国Ⅲ、Ⅳ阶段）》</w:t>
            </w:r>
            <w:r>
              <w:rPr>
                <w:rFonts w:ascii="宋体" w:hAnsi="宋体" w:eastAsia="宋体"/>
                <w:color w:val="000000"/>
                <w:sz w:val="24"/>
                <w:szCs w:val="24"/>
                <w:lang w:eastAsia="zh-CN"/>
              </w:rPr>
              <w:t>（GB</w:t>
            </w:r>
            <w:r>
              <w:rPr>
                <w:rFonts w:hint="eastAsia" w:ascii="宋体" w:hAnsi="宋体" w:eastAsia="宋体"/>
                <w:color w:val="000000"/>
                <w:spacing w:val="0"/>
                <w:sz w:val="24"/>
                <w:szCs w:val="24"/>
                <w:lang w:eastAsia="zh-CN"/>
              </w:rPr>
              <w:t>1835.3-2005)</w:t>
            </w:r>
            <w:r>
              <w:rPr>
                <w:rFonts w:ascii="宋体" w:hAnsi="宋体" w:eastAsia="宋体"/>
                <w:color w:val="000000"/>
                <w:sz w:val="24"/>
                <w:szCs w:val="24"/>
                <w:lang w:eastAsia="zh-CN"/>
              </w:rPr>
              <w:t>中第</w:t>
            </w:r>
            <w:r>
              <w:rPr>
                <w:rFonts w:hint="eastAsia" w:ascii="宋体" w:hAnsi="宋体" w:eastAsia="宋体"/>
                <w:color w:val="000000"/>
                <w:spacing w:val="0"/>
                <w:sz w:val="24"/>
                <w:szCs w:val="24"/>
                <w:lang w:eastAsia="zh-CN"/>
              </w:rPr>
              <w:t>Ⅲ</w:t>
            </w:r>
            <w:r>
              <w:rPr>
                <w:rFonts w:ascii="宋体" w:hAnsi="宋体" w:eastAsia="宋体"/>
                <w:color w:val="000000"/>
                <w:sz w:val="24"/>
                <w:szCs w:val="24"/>
                <w:lang w:eastAsia="zh-CN"/>
              </w:rPr>
              <w:t>阶段的取值，分别取</w:t>
            </w:r>
            <w:r>
              <w:rPr>
                <w:rFonts w:hint="eastAsia" w:ascii="宋体" w:hAnsi="宋体" w:eastAsia="宋体"/>
                <w:color w:val="000000"/>
                <w:spacing w:val="0"/>
                <w:sz w:val="24"/>
                <w:szCs w:val="24"/>
                <w:lang w:eastAsia="zh-CN"/>
              </w:rPr>
              <w:t xml:space="preserve"> 2.30g/km</w:t>
            </w:r>
            <w:r>
              <w:rPr>
                <w:rFonts w:hint="eastAsia" w:ascii="宋体" w:hAnsi="宋体" w:eastAsia="宋体"/>
                <w:color w:val="000000"/>
                <w:sz w:val="24"/>
                <w:szCs w:val="24"/>
                <w:lang w:eastAsia="zh-CN"/>
              </w:rPr>
              <w:t>、</w:t>
            </w:r>
            <w:r>
              <w:rPr>
                <w:rFonts w:hint="eastAsia" w:ascii="宋体" w:hAnsi="宋体" w:eastAsia="宋体"/>
                <w:color w:val="000000"/>
                <w:spacing w:val="0"/>
                <w:sz w:val="24"/>
                <w:szCs w:val="24"/>
                <w:lang w:eastAsia="zh-CN"/>
              </w:rPr>
              <w:t>0.15g/km</w:t>
            </w:r>
            <w:r>
              <w:rPr>
                <w:rFonts w:hint="eastAsia" w:ascii="宋体" w:hAnsi="宋体" w:eastAsia="宋体"/>
                <w:color w:val="000000"/>
                <w:sz w:val="24"/>
                <w:szCs w:val="24"/>
                <w:lang w:eastAsia="zh-CN"/>
              </w:rPr>
              <w:t>、</w:t>
            </w:r>
            <w:r>
              <w:rPr>
                <w:rFonts w:hint="eastAsia" w:ascii="宋体" w:hAnsi="宋体" w:eastAsia="宋体"/>
                <w:color w:val="000000"/>
                <w:spacing w:val="0"/>
                <w:sz w:val="24"/>
                <w:szCs w:val="24"/>
                <w:lang w:eastAsia="zh-CN"/>
              </w:rPr>
              <w:t xml:space="preserve">0.20g/km, </w:t>
            </w:r>
            <w:r>
              <w:rPr>
                <w:rFonts w:ascii="宋体" w:hAnsi="宋体" w:eastAsia="宋体"/>
                <w:color w:val="000000"/>
                <w:sz w:val="24"/>
                <w:szCs w:val="24"/>
                <w:lang w:eastAsia="zh-CN"/>
              </w:rPr>
              <w:t>则本项目排放的污染物</w:t>
            </w:r>
            <w:r>
              <w:rPr>
                <w:rFonts w:hint="eastAsia" w:ascii="宋体" w:hAnsi="宋体" w:eastAsia="宋体"/>
                <w:color w:val="000000"/>
                <w:spacing w:val="0"/>
                <w:sz w:val="24"/>
                <w:szCs w:val="24"/>
                <w:lang w:eastAsia="zh-CN"/>
              </w:rPr>
              <w:t>CO</w:t>
            </w:r>
            <w:r>
              <w:rPr>
                <w:rFonts w:ascii="宋体" w:hAnsi="宋体" w:eastAsia="宋体"/>
                <w:color w:val="000000"/>
                <w:sz w:val="24"/>
                <w:szCs w:val="24"/>
                <w:lang w:eastAsia="zh-CN"/>
              </w:rPr>
              <w:t>、</w:t>
            </w:r>
            <w:r>
              <w:rPr>
                <w:rFonts w:hint="eastAsia" w:ascii="宋体" w:hAnsi="宋体" w:eastAsia="宋体"/>
                <w:color w:val="000000"/>
                <w:spacing w:val="0"/>
                <w:sz w:val="24"/>
                <w:szCs w:val="24"/>
                <w:lang w:eastAsia="zh-CN"/>
              </w:rPr>
              <w:t>NOx</w:t>
            </w:r>
            <w:r>
              <w:rPr>
                <w:rFonts w:ascii="宋体" w:hAnsi="宋体" w:eastAsia="宋体"/>
                <w:color w:val="000000"/>
                <w:sz w:val="24"/>
                <w:szCs w:val="24"/>
                <w:lang w:eastAsia="zh-CN"/>
              </w:rPr>
              <w:t>、</w:t>
            </w:r>
            <w:r>
              <w:rPr>
                <w:rFonts w:hint="eastAsia" w:ascii="宋体" w:hAnsi="宋体" w:eastAsia="宋体"/>
                <w:color w:val="000000"/>
                <w:spacing w:val="0"/>
                <w:sz w:val="24"/>
                <w:szCs w:val="24"/>
                <w:lang w:eastAsia="zh-CN"/>
              </w:rPr>
              <w:t>HC</w:t>
            </w:r>
            <w:r>
              <w:rPr>
                <w:rFonts w:ascii="宋体" w:hAnsi="宋体" w:eastAsia="宋体"/>
                <w:color w:val="000000"/>
                <w:sz w:val="24"/>
                <w:szCs w:val="24"/>
                <w:lang w:eastAsia="zh-CN"/>
              </w:rPr>
              <w:t>和</w:t>
            </w:r>
            <w:r>
              <w:rPr>
                <w:rFonts w:hint="eastAsia" w:ascii="宋体" w:hAnsi="宋体" w:eastAsia="宋体"/>
                <w:color w:val="000000"/>
                <w:spacing w:val="0"/>
                <w:sz w:val="24"/>
                <w:szCs w:val="24"/>
                <w:lang w:eastAsia="zh-CN"/>
              </w:rPr>
              <w:t>PM</w:t>
            </w:r>
            <w:r>
              <w:rPr>
                <w:rFonts w:ascii="宋体" w:hAnsi="宋体" w:eastAsia="宋体"/>
                <w:color w:val="000000"/>
                <w:sz w:val="24"/>
                <w:szCs w:val="24"/>
                <w:lang w:eastAsia="zh-CN"/>
              </w:rPr>
              <w:t>10计算结果见</w:t>
            </w:r>
            <w:r>
              <w:rPr>
                <w:rFonts w:ascii="宋体" w:hAnsi="宋体" w:eastAsia="宋体"/>
                <w:color w:val="000000" w:themeColor="text1"/>
                <w:sz w:val="24"/>
                <w:szCs w:val="24"/>
                <w:lang w:eastAsia="zh-CN"/>
              </w:rPr>
              <w:t>表</w:t>
            </w:r>
            <w:r>
              <w:rPr>
                <w:rFonts w:hint="eastAsia" w:ascii="宋体" w:hAnsi="宋体" w:eastAsia="宋体"/>
                <w:color w:val="000000" w:themeColor="text1"/>
                <w:sz w:val="24"/>
                <w:szCs w:val="24"/>
                <w:lang w:eastAsia="zh-CN"/>
              </w:rPr>
              <w:t>13。</w:t>
            </w:r>
          </w:p>
          <w:p>
            <w:pPr>
              <w:pStyle w:val="237"/>
              <w:spacing w:before="0" w:after="0" w:line="500" w:lineRule="exact"/>
              <w:rPr>
                <w:rFonts w:ascii="宋体" w:hAnsi="宋体" w:eastAsia="宋体"/>
                <w:color w:val="000000" w:themeColor="text1"/>
                <w:spacing w:val="0"/>
                <w:sz w:val="24"/>
                <w:szCs w:val="24"/>
                <w:lang w:eastAsia="zh-CN"/>
              </w:rPr>
            </w:pPr>
            <w:r>
              <w:rPr>
                <w:rStyle w:val="238"/>
                <w:rFonts w:hint="eastAsia" w:ascii="宋体" w:hAnsi="宋体" w:eastAsia="宋体" w:cs="宋体"/>
                <w:bCs/>
                <w:color w:val="000000" w:themeColor="text1"/>
                <w:sz w:val="24"/>
                <w:szCs w:val="24"/>
                <w:lang w:eastAsia="zh-CN"/>
              </w:rPr>
              <w:t>表</w:t>
            </w:r>
            <w:r>
              <w:rPr>
                <w:rStyle w:val="242"/>
                <w:rFonts w:hint="eastAsia" w:ascii="宋体" w:hAnsi="宋体" w:eastAsia="宋体" w:cs="宋体"/>
                <w:bCs/>
                <w:color w:val="000000" w:themeColor="text1"/>
                <w:sz w:val="24"/>
                <w:szCs w:val="24"/>
                <w:lang w:eastAsia="zh-CN"/>
              </w:rPr>
              <w:t xml:space="preserve">13         </w:t>
            </w:r>
            <w:r>
              <w:rPr>
                <w:rStyle w:val="238"/>
                <w:rFonts w:hint="eastAsia" w:ascii="宋体" w:hAnsi="宋体" w:eastAsia="宋体" w:cs="宋体"/>
                <w:bCs/>
                <w:color w:val="000000" w:themeColor="text1"/>
                <w:sz w:val="24"/>
                <w:szCs w:val="24"/>
                <w:lang w:eastAsia="zh-CN"/>
              </w:rPr>
              <w:t>机动车尾气主要大气污染物排放表</w:t>
            </w:r>
          </w:p>
          <w:tbl>
            <w:tblPr>
              <w:tblStyle w:val="42"/>
              <w:tblW w:w="8846" w:type="dxa"/>
              <w:jc w:val="center"/>
              <w:tblInd w:w="0" w:type="dxa"/>
              <w:tblLayout w:type="fixed"/>
              <w:tblCellMar>
                <w:top w:w="0" w:type="dxa"/>
                <w:left w:w="0" w:type="dxa"/>
                <w:bottom w:w="0" w:type="dxa"/>
                <w:right w:w="0" w:type="dxa"/>
              </w:tblCellMar>
            </w:tblPr>
            <w:tblGrid>
              <w:gridCol w:w="2263"/>
              <w:gridCol w:w="2303"/>
              <w:gridCol w:w="2126"/>
              <w:gridCol w:w="2154"/>
            </w:tblGrid>
            <w:tr>
              <w:tblPrEx>
                <w:tblLayout w:type="fixed"/>
                <w:tblCellMar>
                  <w:top w:w="0" w:type="dxa"/>
                  <w:left w:w="0" w:type="dxa"/>
                  <w:bottom w:w="0" w:type="dxa"/>
                  <w:right w:w="0" w:type="dxa"/>
                </w:tblCellMar>
              </w:tblPrEx>
              <w:trPr>
                <w:trHeight w:val="547" w:hRule="exact"/>
                <w:jc w:val="center"/>
              </w:trPr>
              <w:tc>
                <w:tcPr>
                  <w:tcW w:w="2263" w:type="dxa"/>
                  <w:vMerge w:val="restart"/>
                  <w:tcBorders>
                    <w:top w:val="single" w:color="auto" w:sz="4" w:space="0"/>
                    <w:left w:val="single" w:color="auto" w:sz="4" w:space="0"/>
                  </w:tcBorders>
                  <w:shd w:val="clear" w:color="auto" w:fill="FFFFFF"/>
                </w:tcPr>
                <w:p>
                  <w:pPr>
                    <w:pStyle w:val="95"/>
                    <w:spacing w:line="600" w:lineRule="auto"/>
                    <w:ind w:firstLine="0"/>
                    <w:jc w:val="center"/>
                    <w:rPr>
                      <w:color w:val="000000"/>
                      <w:sz w:val="24"/>
                      <w:szCs w:val="24"/>
                    </w:rPr>
                  </w:pPr>
                  <w:r>
                    <w:rPr>
                      <w:rStyle w:val="229"/>
                      <w:rFonts w:hint="eastAsia"/>
                      <w:color w:val="000000"/>
                      <w:sz w:val="24"/>
                      <w:szCs w:val="24"/>
                      <w:lang w:eastAsia="zh-CN"/>
                    </w:rPr>
                    <w:t>数量（个）</w:t>
                  </w:r>
                </w:p>
              </w:tc>
              <w:tc>
                <w:tcPr>
                  <w:tcW w:w="6583" w:type="dxa"/>
                  <w:gridSpan w:val="3"/>
                  <w:tcBorders>
                    <w:top w:val="single" w:color="auto" w:sz="4" w:space="0"/>
                    <w:left w:val="single" w:color="auto" w:sz="4" w:space="0"/>
                    <w:right w:val="single" w:color="auto" w:sz="4" w:space="0"/>
                  </w:tcBorders>
                  <w:shd w:val="clear" w:color="auto" w:fill="FFFFFF"/>
                </w:tcPr>
                <w:p>
                  <w:pPr>
                    <w:pStyle w:val="95"/>
                    <w:spacing w:line="360" w:lineRule="auto"/>
                    <w:ind w:firstLine="0"/>
                    <w:jc w:val="center"/>
                    <w:rPr>
                      <w:color w:val="000000"/>
                      <w:sz w:val="24"/>
                      <w:szCs w:val="24"/>
                    </w:rPr>
                  </w:pPr>
                  <w:r>
                    <w:rPr>
                      <w:rStyle w:val="229"/>
                      <w:rFonts w:hint="eastAsia"/>
                      <w:color w:val="000000"/>
                      <w:sz w:val="24"/>
                      <w:szCs w:val="24"/>
                      <w:lang w:eastAsia="zh-CN"/>
                    </w:rPr>
                    <w:t>污染物排放量（kg/a)</w:t>
                  </w:r>
                </w:p>
              </w:tc>
            </w:tr>
            <w:tr>
              <w:tblPrEx>
                <w:tblLayout w:type="fixed"/>
                <w:tblCellMar>
                  <w:top w:w="0" w:type="dxa"/>
                  <w:left w:w="0" w:type="dxa"/>
                  <w:bottom w:w="0" w:type="dxa"/>
                  <w:right w:w="0" w:type="dxa"/>
                </w:tblCellMar>
              </w:tblPrEx>
              <w:trPr>
                <w:trHeight w:val="407" w:hRule="exact"/>
                <w:jc w:val="center"/>
              </w:trPr>
              <w:tc>
                <w:tcPr>
                  <w:tcW w:w="2263" w:type="dxa"/>
                  <w:vMerge w:val="continue"/>
                  <w:tcBorders>
                    <w:left w:val="single" w:color="auto" w:sz="4" w:space="0"/>
                  </w:tcBorders>
                  <w:shd w:val="clear" w:color="auto" w:fill="FFFFFF"/>
                </w:tcPr>
                <w:p>
                  <w:pPr>
                    <w:pStyle w:val="95"/>
                    <w:spacing w:line="360" w:lineRule="auto"/>
                    <w:ind w:firstLine="0"/>
                    <w:jc w:val="center"/>
                    <w:rPr>
                      <w:color w:val="000000"/>
                      <w:sz w:val="24"/>
                      <w:szCs w:val="24"/>
                    </w:rPr>
                  </w:pPr>
                </w:p>
              </w:tc>
              <w:tc>
                <w:tcPr>
                  <w:tcW w:w="2303"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sz w:val="24"/>
                    </w:rPr>
                  </w:pPr>
                  <w:r>
                    <w:rPr>
                      <w:rFonts w:hint="eastAsia" w:ascii="宋体" w:hAnsi="宋体" w:cs="宋体"/>
                      <w:color w:val="000000"/>
                      <w:sz w:val="24"/>
                    </w:rPr>
                    <w:t>CO</w:t>
                  </w:r>
                </w:p>
              </w:tc>
              <w:tc>
                <w:tcPr>
                  <w:tcW w:w="2126" w:type="dxa"/>
                  <w:tcBorders>
                    <w:top w:val="single" w:color="auto" w:sz="4" w:space="0"/>
                    <w:left w:val="single" w:color="auto" w:sz="4" w:space="0"/>
                  </w:tcBorders>
                  <w:shd w:val="clear" w:color="auto" w:fill="FFFFFF"/>
                </w:tcPr>
                <w:p>
                  <w:pPr>
                    <w:spacing w:line="360" w:lineRule="auto"/>
                    <w:jc w:val="center"/>
                    <w:rPr>
                      <w:rFonts w:ascii="宋体" w:hAnsi="宋体" w:cs="宋体"/>
                      <w:color w:val="000000"/>
                      <w:sz w:val="24"/>
                    </w:rPr>
                  </w:pPr>
                  <w:r>
                    <w:rPr>
                      <w:rFonts w:hint="eastAsia" w:ascii="宋体" w:hAnsi="宋体" w:cs="宋体"/>
                      <w:color w:val="000000"/>
                      <w:sz w:val="24"/>
                    </w:rPr>
                    <w:t>NO</w:t>
                  </w:r>
                  <w:r>
                    <w:rPr>
                      <w:rFonts w:hint="eastAsia" w:ascii="宋体" w:hAnsi="宋体" w:cs="宋体"/>
                      <w:color w:val="000000"/>
                      <w:sz w:val="24"/>
                      <w:vertAlign w:val="subscript"/>
                    </w:rPr>
                    <w:t>x</w:t>
                  </w:r>
                </w:p>
              </w:tc>
              <w:tc>
                <w:tcPr>
                  <w:tcW w:w="2154" w:type="dxa"/>
                  <w:tcBorders>
                    <w:top w:val="single" w:color="auto" w:sz="4" w:space="0"/>
                    <w:left w:val="single" w:color="auto" w:sz="4" w:space="0"/>
                    <w:right w:val="single" w:color="auto" w:sz="4" w:space="0"/>
                  </w:tcBorders>
                  <w:shd w:val="clear" w:color="auto" w:fill="FFFFFF"/>
                </w:tcPr>
                <w:p>
                  <w:pPr>
                    <w:spacing w:line="360" w:lineRule="auto"/>
                    <w:jc w:val="center"/>
                    <w:rPr>
                      <w:rFonts w:ascii="宋体" w:hAnsi="宋体" w:cs="宋体"/>
                      <w:color w:val="000000"/>
                      <w:sz w:val="24"/>
                    </w:rPr>
                  </w:pPr>
                  <w:r>
                    <w:rPr>
                      <w:rFonts w:hint="eastAsia" w:ascii="宋体" w:hAnsi="宋体" w:cs="宋体"/>
                      <w:color w:val="000000"/>
                      <w:sz w:val="24"/>
                    </w:rPr>
                    <w:t>HC</w:t>
                  </w:r>
                </w:p>
              </w:tc>
            </w:tr>
            <w:tr>
              <w:tblPrEx>
                <w:tblLayout w:type="fixed"/>
                <w:tblCellMar>
                  <w:top w:w="0" w:type="dxa"/>
                  <w:left w:w="0" w:type="dxa"/>
                  <w:bottom w:w="0" w:type="dxa"/>
                  <w:right w:w="0" w:type="dxa"/>
                </w:tblCellMar>
              </w:tblPrEx>
              <w:trPr>
                <w:trHeight w:val="500" w:hRule="exact"/>
                <w:jc w:val="center"/>
              </w:trPr>
              <w:tc>
                <w:tcPr>
                  <w:tcW w:w="2263" w:type="dxa"/>
                  <w:tcBorders>
                    <w:top w:val="single" w:color="auto" w:sz="4" w:space="0"/>
                    <w:left w:val="single" w:color="auto" w:sz="4" w:space="0"/>
                    <w:bottom w:val="single" w:color="auto" w:sz="4" w:space="0"/>
                  </w:tcBorders>
                  <w:shd w:val="clear" w:color="auto" w:fill="FFFFFF"/>
                </w:tcPr>
                <w:p>
                  <w:pPr>
                    <w:pStyle w:val="95"/>
                    <w:spacing w:line="360" w:lineRule="auto"/>
                    <w:ind w:firstLine="0"/>
                    <w:jc w:val="center"/>
                    <w:rPr>
                      <w:color w:val="000000"/>
                      <w:sz w:val="24"/>
                      <w:szCs w:val="24"/>
                    </w:rPr>
                  </w:pPr>
                  <w:r>
                    <w:rPr>
                      <w:rStyle w:val="229"/>
                      <w:rFonts w:hint="eastAsia"/>
                      <w:color w:val="000000"/>
                      <w:sz w:val="24"/>
                      <w:szCs w:val="24"/>
                      <w:lang w:eastAsia="zh-CN"/>
                    </w:rPr>
                    <w:t>车位2</w:t>
                  </w:r>
                  <w:r>
                    <w:rPr>
                      <w:rStyle w:val="229"/>
                      <w:rFonts w:hint="eastAsia" w:asciiTheme="minorEastAsia" w:hAnsiTheme="minorEastAsia" w:eastAsiaTheme="minorEastAsia"/>
                      <w:color w:val="000000"/>
                      <w:sz w:val="24"/>
                      <w:szCs w:val="24"/>
                      <w:lang w:eastAsia="zh-CN"/>
                    </w:rPr>
                    <w:t>40</w:t>
                  </w:r>
                </w:p>
              </w:tc>
              <w:tc>
                <w:tcPr>
                  <w:tcW w:w="2303" w:type="dxa"/>
                  <w:tcBorders>
                    <w:top w:val="single" w:color="auto" w:sz="4" w:space="0"/>
                    <w:left w:val="single" w:color="auto" w:sz="4" w:space="0"/>
                    <w:bottom w:val="single" w:color="auto" w:sz="4" w:space="0"/>
                  </w:tcBorders>
                  <w:shd w:val="clear" w:color="auto" w:fill="FFFFFF"/>
                </w:tcPr>
                <w:p>
                  <w:pPr>
                    <w:spacing w:line="360" w:lineRule="auto"/>
                    <w:jc w:val="center"/>
                    <w:rPr>
                      <w:rFonts w:ascii="宋体" w:hAnsi="宋体" w:cs="宋体"/>
                      <w:color w:val="000000" w:themeColor="text1"/>
                      <w:sz w:val="24"/>
                    </w:rPr>
                  </w:pPr>
                  <w:r>
                    <w:rPr>
                      <w:rFonts w:hint="eastAsia" w:ascii="宋体" w:hAnsi="宋体" w:cs="宋体"/>
                      <w:color w:val="000000" w:themeColor="text1"/>
                      <w:sz w:val="24"/>
                    </w:rPr>
                    <w:t>0.33</w:t>
                  </w:r>
                </w:p>
              </w:tc>
              <w:tc>
                <w:tcPr>
                  <w:tcW w:w="2126" w:type="dxa"/>
                  <w:tcBorders>
                    <w:top w:val="single" w:color="auto" w:sz="4" w:space="0"/>
                    <w:left w:val="single" w:color="auto" w:sz="4" w:space="0"/>
                    <w:bottom w:val="single" w:color="auto" w:sz="4" w:space="0"/>
                  </w:tcBorders>
                  <w:shd w:val="clear" w:color="auto" w:fill="FFFFFF"/>
                </w:tcPr>
                <w:p>
                  <w:pPr>
                    <w:spacing w:line="360" w:lineRule="auto"/>
                    <w:jc w:val="center"/>
                    <w:rPr>
                      <w:rFonts w:ascii="宋体" w:hAnsi="宋体" w:cs="宋体"/>
                      <w:color w:val="000000" w:themeColor="text1"/>
                      <w:sz w:val="24"/>
                    </w:rPr>
                  </w:pPr>
                  <w:r>
                    <w:rPr>
                      <w:rFonts w:hint="eastAsia" w:ascii="宋体" w:hAnsi="宋体" w:cs="宋体"/>
                      <w:color w:val="000000" w:themeColor="text1"/>
                      <w:sz w:val="24"/>
                    </w:rPr>
                    <w:t>0.021</w:t>
                  </w:r>
                </w:p>
              </w:tc>
              <w:tc>
                <w:tcPr>
                  <w:tcW w:w="2154" w:type="dxa"/>
                  <w:tcBorders>
                    <w:top w:val="single" w:color="auto" w:sz="4" w:space="0"/>
                    <w:left w:val="single" w:color="auto" w:sz="4" w:space="0"/>
                    <w:bottom w:val="single" w:color="auto" w:sz="4" w:space="0"/>
                    <w:right w:val="single" w:color="auto" w:sz="4" w:space="0"/>
                  </w:tcBorders>
                  <w:shd w:val="clear" w:color="auto" w:fill="FFFFFF"/>
                </w:tcPr>
                <w:p>
                  <w:pPr>
                    <w:spacing w:line="360" w:lineRule="auto"/>
                    <w:jc w:val="center"/>
                    <w:rPr>
                      <w:rFonts w:ascii="宋体" w:hAnsi="宋体" w:cs="宋体"/>
                      <w:color w:val="000000" w:themeColor="text1"/>
                      <w:sz w:val="24"/>
                    </w:rPr>
                  </w:pPr>
                  <w:r>
                    <w:rPr>
                      <w:rFonts w:hint="eastAsia" w:ascii="宋体" w:hAnsi="宋体" w:cs="宋体"/>
                      <w:color w:val="000000" w:themeColor="text1"/>
                      <w:sz w:val="24"/>
                    </w:rPr>
                    <w:t>0.028</w:t>
                  </w:r>
                </w:p>
              </w:tc>
            </w:tr>
          </w:tbl>
          <w:p>
            <w:pPr>
              <w:spacing w:line="440" w:lineRule="exact"/>
              <w:ind w:firstLine="480"/>
              <w:rPr>
                <w:rFonts w:ascii="宋体" w:hAnsi="宋体"/>
                <w:sz w:val="24"/>
              </w:rPr>
            </w:pPr>
            <w:r>
              <w:rPr>
                <w:rFonts w:hint="eastAsia" w:ascii="宋体" w:hAnsi="宋体"/>
                <w:sz w:val="24"/>
              </w:rPr>
              <w:t>2、</w:t>
            </w:r>
            <w:r>
              <w:rPr>
                <w:rFonts w:ascii="宋体" w:hAnsi="宋体"/>
                <w:sz w:val="24"/>
              </w:rPr>
              <w:t>废</w:t>
            </w:r>
            <w:r>
              <w:rPr>
                <w:rFonts w:hint="eastAsia" w:ascii="宋体" w:hAnsi="宋体"/>
                <w:sz w:val="24"/>
              </w:rPr>
              <w:t>水</w:t>
            </w:r>
            <w:r>
              <w:rPr>
                <w:rFonts w:ascii="宋体" w:hAnsi="宋体"/>
                <w:sz w:val="24"/>
              </w:rPr>
              <w:t>污染源分析</w:t>
            </w:r>
          </w:p>
          <w:p>
            <w:pPr>
              <w:pStyle w:val="95"/>
              <w:spacing w:line="440" w:lineRule="exact"/>
              <w:ind w:firstLine="480" w:firstLineChars="200"/>
              <w:jc w:val="both"/>
              <w:rPr>
                <w:color w:val="000000" w:themeColor="text1"/>
                <w:sz w:val="24"/>
                <w:szCs w:val="24"/>
              </w:rPr>
            </w:pPr>
            <w:r>
              <w:rPr>
                <w:rStyle w:val="94"/>
                <w:rFonts w:hint="eastAsia"/>
                <w:color w:val="000000"/>
                <w:sz w:val="24"/>
                <w:szCs w:val="24"/>
              </w:rPr>
              <w:t>项目运营期产生的废水主要为工作人员、住宿客人、会议及休闲娱乐客人等产生的生活污水，主要污染物为</w:t>
            </w:r>
            <w:r>
              <w:rPr>
                <w:rStyle w:val="233"/>
                <w:rFonts w:hAnsi="宋体"/>
                <w:color w:val="000000"/>
                <w:sz w:val="24"/>
                <w:szCs w:val="24"/>
                <w:lang w:eastAsia="zh-CN"/>
              </w:rPr>
              <w:t>CODcr</w:t>
            </w:r>
            <w:r>
              <w:rPr>
                <w:rStyle w:val="94"/>
                <w:rFonts w:hint="eastAsia"/>
                <w:color w:val="000000"/>
                <w:sz w:val="24"/>
                <w:szCs w:val="24"/>
              </w:rPr>
              <w:t>、</w:t>
            </w:r>
            <w:r>
              <w:rPr>
                <w:rStyle w:val="233"/>
                <w:rFonts w:hAnsi="宋体"/>
                <w:color w:val="000000"/>
                <w:sz w:val="24"/>
                <w:szCs w:val="24"/>
                <w:lang w:eastAsia="zh-CN"/>
              </w:rPr>
              <w:t>BOD</w:t>
            </w:r>
            <w:r>
              <w:rPr>
                <w:rStyle w:val="235"/>
                <w:rFonts w:hint="default" w:eastAsia="宋体"/>
                <w:color w:val="000000"/>
                <w:sz w:val="24"/>
                <w:szCs w:val="24"/>
                <w:vertAlign w:val="subscript"/>
                <w:lang w:eastAsia="zh-CN"/>
              </w:rPr>
              <w:t>5</w:t>
            </w:r>
            <w:r>
              <w:rPr>
                <w:rStyle w:val="94"/>
                <w:rFonts w:hint="eastAsia"/>
                <w:color w:val="000000"/>
                <w:sz w:val="24"/>
                <w:szCs w:val="24"/>
              </w:rPr>
              <w:t>、</w:t>
            </w:r>
            <w:r>
              <w:rPr>
                <w:rStyle w:val="233"/>
                <w:rFonts w:hAnsi="宋体"/>
                <w:color w:val="000000"/>
                <w:sz w:val="24"/>
                <w:szCs w:val="24"/>
                <w:lang w:eastAsia="zh-CN"/>
              </w:rPr>
              <w:t>NH</w:t>
            </w:r>
            <w:r>
              <w:rPr>
                <w:rStyle w:val="235"/>
                <w:rFonts w:hint="default" w:eastAsia="宋体"/>
                <w:color w:val="000000"/>
                <w:sz w:val="24"/>
                <w:szCs w:val="24"/>
                <w:vertAlign w:val="subscript"/>
                <w:lang w:eastAsia="zh-CN"/>
              </w:rPr>
              <w:t>3</w:t>
            </w:r>
            <w:r>
              <w:rPr>
                <w:rStyle w:val="233"/>
                <w:rFonts w:hAnsi="宋体"/>
                <w:color w:val="000000"/>
                <w:sz w:val="24"/>
                <w:szCs w:val="24"/>
                <w:lang w:eastAsia="zh-CN"/>
              </w:rPr>
              <w:t>-N</w:t>
            </w:r>
            <w:r>
              <w:rPr>
                <w:rStyle w:val="94"/>
                <w:rFonts w:hint="eastAsia"/>
                <w:color w:val="000000"/>
                <w:sz w:val="24"/>
                <w:szCs w:val="24"/>
              </w:rPr>
              <w:t>、</w:t>
            </w:r>
            <w:r>
              <w:rPr>
                <w:rStyle w:val="233"/>
                <w:rFonts w:hAnsi="宋体"/>
                <w:color w:val="000000"/>
                <w:sz w:val="24"/>
                <w:szCs w:val="24"/>
                <w:lang w:eastAsia="zh-CN"/>
              </w:rPr>
              <w:t>SS</w:t>
            </w:r>
            <w:r>
              <w:rPr>
                <w:rStyle w:val="94"/>
                <w:rFonts w:hint="eastAsia"/>
                <w:color w:val="000000"/>
                <w:sz w:val="24"/>
                <w:szCs w:val="24"/>
              </w:rPr>
              <w:t>和动植物油等，</w:t>
            </w:r>
            <w:r>
              <w:rPr>
                <w:rStyle w:val="94"/>
                <w:rFonts w:hint="eastAsia"/>
                <w:color w:val="000000" w:themeColor="text1"/>
                <w:sz w:val="24"/>
                <w:szCs w:val="24"/>
              </w:rPr>
              <w:t>污水排放量为311.7m</w:t>
            </w:r>
            <w:r>
              <w:rPr>
                <w:rStyle w:val="94"/>
                <w:rFonts w:hint="eastAsia"/>
                <w:color w:val="000000" w:themeColor="text1"/>
                <w:sz w:val="24"/>
                <w:szCs w:val="24"/>
                <w:vertAlign w:val="superscript"/>
              </w:rPr>
              <w:t>3</w:t>
            </w:r>
            <w:r>
              <w:rPr>
                <w:rStyle w:val="94"/>
                <w:rFonts w:hint="eastAsia"/>
                <w:color w:val="000000" w:themeColor="text1"/>
                <w:sz w:val="24"/>
                <w:szCs w:val="24"/>
              </w:rPr>
              <w:t>/d，11.38×10</w:t>
            </w:r>
            <w:r>
              <w:rPr>
                <w:rStyle w:val="94"/>
                <w:rFonts w:hint="eastAsia"/>
                <w:color w:val="000000" w:themeColor="text1"/>
                <w:sz w:val="24"/>
                <w:szCs w:val="24"/>
                <w:vertAlign w:val="superscript"/>
              </w:rPr>
              <w:t>5</w:t>
            </w:r>
            <w:r>
              <w:rPr>
                <w:rStyle w:val="94"/>
                <w:rFonts w:hint="eastAsia"/>
                <w:color w:val="000000" w:themeColor="text1"/>
                <w:sz w:val="24"/>
                <w:szCs w:val="24"/>
              </w:rPr>
              <w:t>m</w:t>
            </w:r>
            <w:r>
              <w:rPr>
                <w:rStyle w:val="94"/>
                <w:rFonts w:hint="eastAsia"/>
                <w:color w:val="000000" w:themeColor="text1"/>
                <w:sz w:val="24"/>
                <w:szCs w:val="24"/>
                <w:vertAlign w:val="superscript"/>
              </w:rPr>
              <w:t>3</w:t>
            </w:r>
            <w:r>
              <w:rPr>
                <w:rStyle w:val="94"/>
                <w:rFonts w:hint="eastAsia"/>
                <w:color w:val="000000" w:themeColor="text1"/>
                <w:sz w:val="24"/>
                <w:szCs w:val="24"/>
              </w:rPr>
              <w:t>/a。</w:t>
            </w:r>
          </w:p>
          <w:p>
            <w:pPr>
              <w:spacing w:line="440" w:lineRule="exact"/>
              <w:ind w:firstLine="480"/>
              <w:rPr>
                <w:rFonts w:ascii="宋体" w:hAnsi="宋体"/>
                <w:sz w:val="24"/>
              </w:rPr>
            </w:pPr>
            <w:r>
              <w:rPr>
                <w:rFonts w:hint="eastAsia" w:ascii="宋体" w:hAnsi="宋体"/>
                <w:sz w:val="24"/>
              </w:rPr>
              <w:t>3、</w:t>
            </w:r>
            <w:r>
              <w:rPr>
                <w:rFonts w:ascii="宋体" w:hAnsi="宋体"/>
                <w:sz w:val="24"/>
              </w:rPr>
              <w:t>噪声</w:t>
            </w:r>
            <w:r>
              <w:rPr>
                <w:rFonts w:hint="eastAsia" w:ascii="宋体" w:hAnsi="宋体"/>
                <w:sz w:val="24"/>
              </w:rPr>
              <w:t>污染源分析</w:t>
            </w:r>
          </w:p>
          <w:p>
            <w:pPr>
              <w:spacing w:line="440" w:lineRule="exact"/>
              <w:ind w:firstLine="470" w:firstLineChars="196"/>
              <w:rPr>
                <w:rFonts w:ascii="宋体" w:hAnsi="宋体"/>
                <w:color w:val="000000" w:themeColor="text1"/>
                <w:sz w:val="24"/>
              </w:rPr>
            </w:pPr>
            <w:r>
              <w:rPr>
                <w:rFonts w:ascii="宋体" w:hAnsi="宋体"/>
                <w:sz w:val="24"/>
              </w:rPr>
              <w:t>本项目运营期噪声主要来自配电室、生活用水泵房、地下车库风机、中央空调冷却塔</w:t>
            </w:r>
            <w:r>
              <w:rPr>
                <w:rFonts w:hint="eastAsia" w:ascii="宋体" w:hAnsi="宋体"/>
                <w:sz w:val="24"/>
              </w:rPr>
              <w:t>、锅炉房</w:t>
            </w:r>
            <w:r>
              <w:rPr>
                <w:rFonts w:ascii="宋体" w:hAnsi="宋体"/>
                <w:sz w:val="24"/>
              </w:rPr>
              <w:t>等设备噪声及酒店营业期间产生的</w:t>
            </w:r>
            <w:r>
              <w:rPr>
                <w:rFonts w:hint="eastAsia" w:ascii="宋体" w:hAnsi="宋体"/>
                <w:sz w:val="24"/>
              </w:rPr>
              <w:t>餐饮噪声、</w:t>
            </w:r>
            <w:r>
              <w:rPr>
                <w:rFonts w:hint="eastAsia" w:ascii="宋体" w:hAnsi="宋体"/>
                <w:sz w:val="24"/>
                <w:lang w:eastAsia="zh-CN"/>
              </w:rPr>
              <w:t>演播厅</w:t>
            </w:r>
            <w:r>
              <w:rPr>
                <w:rFonts w:hint="eastAsia" w:ascii="宋体" w:hAnsi="宋体"/>
                <w:sz w:val="24"/>
              </w:rPr>
              <w:t>噪声、</w:t>
            </w:r>
            <w:r>
              <w:rPr>
                <w:rFonts w:ascii="宋体" w:hAnsi="宋体"/>
                <w:sz w:val="24"/>
              </w:rPr>
              <w:t>停车场交通噪声。。</w:t>
            </w:r>
            <w:r>
              <w:rPr>
                <w:rFonts w:hint="eastAsia" w:ascii="宋体" w:hAnsi="宋体"/>
                <w:sz w:val="24"/>
              </w:rPr>
              <w:t>酒店营业期间产生的餐饮噪声、</w:t>
            </w:r>
            <w:r>
              <w:rPr>
                <w:rFonts w:hint="eastAsia" w:ascii="宋体" w:hAnsi="宋体"/>
                <w:sz w:val="24"/>
                <w:lang w:eastAsia="zh-CN"/>
              </w:rPr>
              <w:t>演播厅</w:t>
            </w:r>
            <w:r>
              <w:rPr>
                <w:rFonts w:hint="eastAsia" w:ascii="宋体" w:hAnsi="宋体"/>
                <w:sz w:val="24"/>
              </w:rPr>
              <w:t>噪声、停车场交通噪声，锅炉噪声，声级大多不超过85dB(A)。设备</w:t>
            </w:r>
            <w:r>
              <w:rPr>
                <w:rFonts w:ascii="宋体" w:hAnsi="宋体"/>
                <w:sz w:val="24"/>
              </w:rPr>
              <w:t>噪声源强的确定主要参照有关规范推荐的公式和相关手册的数据，同时结合类比调查确定，</w:t>
            </w:r>
            <w:r>
              <w:rPr>
                <w:rFonts w:hint="eastAsia" w:ascii="宋体" w:hAnsi="宋体"/>
                <w:sz w:val="24"/>
              </w:rPr>
              <w:t>噪声源强见</w:t>
            </w:r>
            <w:r>
              <w:rPr>
                <w:rFonts w:ascii="宋体" w:hAnsi="宋体"/>
                <w:sz w:val="24"/>
              </w:rPr>
              <w:t>下</w:t>
            </w:r>
            <w:r>
              <w:rPr>
                <w:rFonts w:ascii="宋体" w:hAnsi="宋体"/>
                <w:color w:val="000000" w:themeColor="text1"/>
                <w:sz w:val="24"/>
              </w:rPr>
              <w:t>表</w:t>
            </w:r>
            <w:r>
              <w:rPr>
                <w:rFonts w:hint="eastAsia" w:ascii="宋体" w:hAnsi="宋体"/>
                <w:color w:val="000000" w:themeColor="text1"/>
                <w:sz w:val="24"/>
              </w:rPr>
              <w:t xml:space="preserve">14。 </w:t>
            </w:r>
          </w:p>
          <w:p>
            <w:pPr>
              <w:spacing w:line="440" w:lineRule="exact"/>
              <w:ind w:firstLine="470" w:firstLineChars="196"/>
              <w:jc w:val="center"/>
              <w:rPr>
                <w:rFonts w:ascii="宋体" w:hAnsi="宋体"/>
                <w:sz w:val="24"/>
              </w:rPr>
            </w:pPr>
            <w:r>
              <w:rPr>
                <w:rFonts w:ascii="宋体" w:hAnsi="宋体"/>
                <w:color w:val="000000" w:themeColor="text1"/>
                <w:sz w:val="24"/>
              </w:rPr>
              <w:t>表</w:t>
            </w:r>
            <w:r>
              <w:rPr>
                <w:rFonts w:hint="eastAsia" w:ascii="宋体" w:hAnsi="宋体"/>
                <w:color w:val="000000" w:themeColor="text1"/>
                <w:sz w:val="24"/>
              </w:rPr>
              <w:t xml:space="preserve">14     </w:t>
            </w:r>
            <w:r>
              <w:rPr>
                <w:rFonts w:ascii="宋体" w:hAnsi="宋体"/>
                <w:color w:val="000000" w:themeColor="text1"/>
                <w:sz w:val="24"/>
              </w:rPr>
              <w:t xml:space="preserve"> 噪</w:t>
            </w:r>
            <w:r>
              <w:rPr>
                <w:rFonts w:ascii="宋体" w:hAnsi="宋体"/>
                <w:sz w:val="24"/>
              </w:rPr>
              <w:t>声源强表</w:t>
            </w:r>
          </w:p>
          <w:tbl>
            <w:tblPr>
              <w:tblStyle w:val="42"/>
              <w:tblW w:w="88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7"/>
              <w:gridCol w:w="2947"/>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trPr>
              <w:tc>
                <w:tcPr>
                  <w:tcW w:w="2947" w:type="dxa"/>
                  <w:vAlign w:val="center"/>
                </w:tcPr>
                <w:p>
                  <w:pPr>
                    <w:spacing w:line="360" w:lineRule="auto"/>
                    <w:jc w:val="center"/>
                    <w:rPr>
                      <w:rFonts w:ascii="宋体" w:hAnsi="宋体"/>
                      <w:szCs w:val="21"/>
                    </w:rPr>
                  </w:pPr>
                  <w:r>
                    <w:rPr>
                      <w:rFonts w:ascii="宋体" w:hAnsi="宋体"/>
                      <w:szCs w:val="21"/>
                    </w:rPr>
                    <w:t>内容</w:t>
                  </w:r>
                </w:p>
              </w:tc>
              <w:tc>
                <w:tcPr>
                  <w:tcW w:w="2947" w:type="dxa"/>
                  <w:vAlign w:val="center"/>
                </w:tcPr>
                <w:p>
                  <w:pPr>
                    <w:spacing w:line="360" w:lineRule="auto"/>
                    <w:jc w:val="center"/>
                    <w:rPr>
                      <w:rFonts w:ascii="宋体" w:hAnsi="宋体"/>
                      <w:szCs w:val="21"/>
                    </w:rPr>
                  </w:pPr>
                  <w:r>
                    <w:rPr>
                      <w:rFonts w:ascii="宋体" w:hAnsi="宋体"/>
                      <w:szCs w:val="21"/>
                    </w:rPr>
                    <w:t>名称</w:t>
                  </w:r>
                </w:p>
              </w:tc>
              <w:tc>
                <w:tcPr>
                  <w:tcW w:w="2947" w:type="dxa"/>
                  <w:vAlign w:val="center"/>
                </w:tcPr>
                <w:p>
                  <w:pPr>
                    <w:spacing w:line="360" w:lineRule="auto"/>
                    <w:jc w:val="center"/>
                    <w:rPr>
                      <w:rFonts w:ascii="宋体" w:hAnsi="宋体"/>
                      <w:szCs w:val="21"/>
                    </w:rPr>
                  </w:pPr>
                  <w:r>
                    <w:rPr>
                      <w:rFonts w:ascii="宋体" w:hAnsi="宋体"/>
                      <w:szCs w:val="21"/>
                    </w:rPr>
                    <w:t>源强dB（A)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trPr>
              <w:tc>
                <w:tcPr>
                  <w:tcW w:w="2947" w:type="dxa"/>
                  <w:vMerge w:val="restart"/>
                  <w:vAlign w:val="center"/>
                </w:tcPr>
                <w:p>
                  <w:pPr>
                    <w:spacing w:line="360" w:lineRule="auto"/>
                    <w:jc w:val="center"/>
                    <w:rPr>
                      <w:rFonts w:ascii="宋体" w:hAnsi="宋体"/>
                      <w:szCs w:val="21"/>
                    </w:rPr>
                  </w:pPr>
                  <w:r>
                    <w:rPr>
                      <w:rFonts w:ascii="宋体" w:hAnsi="宋体"/>
                      <w:szCs w:val="21"/>
                    </w:rPr>
                    <w:t>运营期</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生</w:t>
                  </w:r>
                  <w:r>
                    <w:rPr>
                      <w:rFonts w:hint="eastAsia" w:ascii="宋体" w:hAnsi="宋体"/>
                      <w:color w:val="000000" w:themeColor="text1"/>
                      <w:szCs w:val="21"/>
                    </w:rPr>
                    <w:t>活</w:t>
                  </w:r>
                  <w:r>
                    <w:rPr>
                      <w:rFonts w:ascii="宋体" w:hAnsi="宋体"/>
                      <w:color w:val="000000" w:themeColor="text1"/>
                      <w:szCs w:val="21"/>
                    </w:rPr>
                    <w:t>用水泵</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trPr>
              <w:tc>
                <w:tcPr>
                  <w:tcW w:w="2947" w:type="dxa"/>
                  <w:vMerge w:val="continue"/>
                  <w:vAlign w:val="center"/>
                </w:tcPr>
                <w:p>
                  <w:pPr>
                    <w:spacing w:line="360" w:lineRule="auto"/>
                    <w:jc w:val="center"/>
                    <w:rPr>
                      <w:rFonts w:ascii="宋体" w:hAnsi="宋体"/>
                      <w:szCs w:val="21"/>
                    </w:rPr>
                  </w:pP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停车场交通噪声</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60～65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trPr>
              <w:tc>
                <w:tcPr>
                  <w:tcW w:w="2947" w:type="dxa"/>
                  <w:vMerge w:val="continue"/>
                  <w:vAlign w:val="center"/>
                </w:tcPr>
                <w:p>
                  <w:pPr>
                    <w:spacing w:line="360" w:lineRule="auto"/>
                    <w:jc w:val="center"/>
                    <w:rPr>
                      <w:rFonts w:ascii="宋体" w:hAnsi="宋体"/>
                      <w:szCs w:val="21"/>
                    </w:rPr>
                  </w:pP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酒店餐饮</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trPr>
              <w:tc>
                <w:tcPr>
                  <w:tcW w:w="2947" w:type="dxa"/>
                  <w:vMerge w:val="continue"/>
                  <w:vAlign w:val="center"/>
                </w:tcPr>
                <w:p>
                  <w:pPr>
                    <w:spacing w:line="360" w:lineRule="auto"/>
                    <w:jc w:val="center"/>
                    <w:rPr>
                      <w:rFonts w:ascii="宋体" w:hAnsi="宋体"/>
                      <w:szCs w:val="21"/>
                    </w:rPr>
                  </w:pP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中央空调冷却塔噪声</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65～75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trPr>
              <w:tc>
                <w:tcPr>
                  <w:tcW w:w="2947" w:type="dxa"/>
                  <w:vMerge w:val="continue"/>
                  <w:vAlign w:val="center"/>
                </w:tcPr>
                <w:p>
                  <w:pPr>
                    <w:spacing w:line="360" w:lineRule="auto"/>
                    <w:jc w:val="center"/>
                    <w:rPr>
                      <w:rFonts w:ascii="宋体" w:hAnsi="宋体"/>
                      <w:szCs w:val="21"/>
                    </w:rPr>
                  </w:pP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配电间</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trPr>
              <w:tc>
                <w:tcPr>
                  <w:tcW w:w="2947" w:type="dxa"/>
                  <w:vMerge w:val="continue"/>
                  <w:vAlign w:val="center"/>
                </w:tcPr>
                <w:p>
                  <w:pPr>
                    <w:spacing w:line="360" w:lineRule="auto"/>
                    <w:jc w:val="center"/>
                    <w:rPr>
                      <w:rFonts w:ascii="宋体" w:hAnsi="宋体"/>
                      <w:szCs w:val="21"/>
                    </w:rPr>
                  </w:pP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地下车库风机</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exact"/>
              </w:trPr>
              <w:tc>
                <w:tcPr>
                  <w:tcW w:w="2947" w:type="dxa"/>
                  <w:vMerge w:val="continue"/>
                  <w:vAlign w:val="center"/>
                </w:tcPr>
                <w:p>
                  <w:pPr>
                    <w:spacing w:line="360" w:lineRule="auto"/>
                    <w:jc w:val="center"/>
                    <w:rPr>
                      <w:rFonts w:ascii="宋体" w:hAnsi="宋体"/>
                      <w:szCs w:val="21"/>
                    </w:rPr>
                  </w:pPr>
                </w:p>
              </w:tc>
              <w:tc>
                <w:tcPr>
                  <w:tcW w:w="2947" w:type="dxa"/>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lang w:eastAsia="zh-CN"/>
                    </w:rPr>
                    <w:t>演播厅</w:t>
                  </w:r>
                  <w:r>
                    <w:rPr>
                      <w:rFonts w:ascii="宋体" w:hAnsi="宋体"/>
                      <w:color w:val="000000" w:themeColor="text1"/>
                      <w:szCs w:val="21"/>
                    </w:rPr>
                    <w:t>噪声</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exact"/>
              </w:trPr>
              <w:tc>
                <w:tcPr>
                  <w:tcW w:w="2947" w:type="dxa"/>
                  <w:vMerge w:val="continue"/>
                  <w:vAlign w:val="center"/>
                </w:tcPr>
                <w:p>
                  <w:pPr>
                    <w:spacing w:line="360" w:lineRule="auto"/>
                    <w:jc w:val="center"/>
                    <w:rPr>
                      <w:rFonts w:ascii="宋体" w:hAnsi="宋体"/>
                      <w:szCs w:val="21"/>
                    </w:rPr>
                  </w:pPr>
                </w:p>
              </w:tc>
              <w:tc>
                <w:tcPr>
                  <w:tcW w:w="2947" w:type="dxa"/>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锅炉噪声</w:t>
                  </w:r>
                </w:p>
              </w:tc>
              <w:tc>
                <w:tcPr>
                  <w:tcW w:w="2947" w:type="dxa"/>
                  <w:vAlign w:val="center"/>
                </w:tcPr>
                <w:p>
                  <w:pPr>
                    <w:spacing w:line="360" w:lineRule="auto"/>
                    <w:jc w:val="center"/>
                    <w:rPr>
                      <w:rFonts w:ascii="宋体" w:hAnsi="宋体"/>
                      <w:color w:val="000000" w:themeColor="text1"/>
                      <w:szCs w:val="21"/>
                    </w:rPr>
                  </w:pPr>
                  <w:r>
                    <w:rPr>
                      <w:rFonts w:ascii="宋体" w:hAnsi="宋体"/>
                      <w:color w:val="000000" w:themeColor="text1"/>
                      <w:szCs w:val="21"/>
                    </w:rPr>
                    <w:t>65～75</w:t>
                  </w:r>
                </w:p>
              </w:tc>
            </w:tr>
          </w:tbl>
          <w:p>
            <w:pPr>
              <w:spacing w:line="460" w:lineRule="exact"/>
              <w:rPr>
                <w:rFonts w:ascii="宋体" w:hAnsi="宋体"/>
                <w:sz w:val="24"/>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jc w:val="both"/>
              <w:textAlignment w:val="auto"/>
              <w:outlineLvl w:val="9"/>
              <w:rPr>
                <w:rFonts w:ascii="宋体" w:hAnsi="宋体"/>
                <w:sz w:val="24"/>
              </w:rPr>
            </w:pPr>
            <w:r>
              <w:rPr>
                <w:rFonts w:hint="eastAsia" w:ascii="宋体" w:hAnsi="宋体"/>
                <w:sz w:val="24"/>
              </w:rPr>
              <w:t>4、</w:t>
            </w:r>
            <w:r>
              <w:rPr>
                <w:rFonts w:ascii="宋体" w:hAnsi="宋体"/>
                <w:sz w:val="24"/>
              </w:rPr>
              <w:t>固体废物</w:t>
            </w:r>
            <w:r>
              <w:rPr>
                <w:rFonts w:hint="eastAsia" w:ascii="宋体" w:hAnsi="宋体"/>
                <w:sz w:val="24"/>
              </w:rPr>
              <w:t>污染源分析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70" w:firstLineChars="196"/>
              <w:jc w:val="both"/>
              <w:textAlignment w:val="auto"/>
              <w:outlineLvl w:val="9"/>
              <w:rPr>
                <w:rStyle w:val="94"/>
                <w:color w:val="000000"/>
                <w:sz w:val="24"/>
                <w:szCs w:val="24"/>
              </w:rPr>
            </w:pPr>
            <w:r>
              <w:rPr>
                <w:rStyle w:val="94"/>
                <w:rFonts w:hint="eastAsia"/>
                <w:color w:val="000000"/>
                <w:sz w:val="24"/>
                <w:szCs w:val="24"/>
              </w:rPr>
              <w:t>本项目建成后产生的固体废物主要为酒店、办公的生活垃圾、商铺商业营运活动中产生的商业垃圾和餐饮产生的餐厨垃圾。生活垃圾:按每人每天1.0kg计,职工150人,酒店客房488床/天 ,会议、休闲、娱乐400人/天,经计算知,生活垃圾日产生量为1038㎏/d，年产生量为378.87t/a。餐厨垃圾主要是用餐客人剩余剩菜、剩饭等，按0.5 kg/(餐位•餐)计算，本项目每天就餐按550人次计算，则日产生餐厨垃圾275kg/d，年产生量为100.4t。隔油池会产生少量的废油脂。</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70" w:firstLineChars="196"/>
              <w:jc w:val="both"/>
              <w:textAlignment w:val="auto"/>
              <w:outlineLvl w:val="9"/>
              <w:rPr>
                <w:rStyle w:val="94"/>
                <w:color w:val="000000"/>
                <w:sz w:val="24"/>
                <w:szCs w:val="24"/>
              </w:rPr>
            </w:pPr>
            <w:r>
              <w:rPr>
                <w:rStyle w:val="94"/>
                <w:rFonts w:hint="eastAsia"/>
                <w:color w:val="000000"/>
                <w:sz w:val="24"/>
                <w:szCs w:val="24"/>
              </w:rPr>
              <w:t>锅炉房产生的固体废物主要为软化水处理设备中使用失效后的离子交换树脂。本项目中软化水处理器的填料为强酸型阳离子交换树脂,离子交换树脂两年更换一次,更换一次产生废弃离子交换树脂</w:t>
            </w:r>
            <w:r>
              <w:rPr>
                <w:rStyle w:val="94"/>
                <w:rFonts w:hint="eastAsia"/>
                <w:color w:val="000000" w:themeColor="text1"/>
                <w:sz w:val="24"/>
                <w:szCs w:val="24"/>
              </w:rPr>
              <w:t>0.66t,折合0.33t/a。</w:t>
            </w:r>
            <w:r>
              <w:rPr>
                <w:rStyle w:val="94"/>
                <w:rFonts w:hint="eastAsia"/>
                <w:color w:val="000000"/>
                <w:sz w:val="24"/>
                <w:szCs w:val="24"/>
              </w:rPr>
              <w:t>失效后的离子交换树脂属于国家危险废物名录中规定的危险废物,应委托有资质单位进行处理。</w:t>
            </w:r>
          </w:p>
          <w:p>
            <w:pPr>
              <w:pStyle w:val="194"/>
              <w:snapToGrid w:val="0"/>
              <w:spacing w:line="360" w:lineRule="auto"/>
              <w:jc w:val="both"/>
              <w:rPr>
                <w:rStyle w:val="94"/>
                <w:color w:val="000000"/>
                <w:sz w:val="24"/>
                <w:szCs w:val="24"/>
              </w:rPr>
            </w:pPr>
          </w:p>
          <w:p>
            <w:pPr>
              <w:rPr>
                <w:rFonts w:ascii="宋体" w:hAnsi="宋体"/>
              </w:rPr>
            </w:pPr>
          </w:p>
        </w:tc>
      </w:tr>
    </w:tbl>
    <w:p>
      <w:pPr>
        <w:pStyle w:val="2"/>
        <w:keepLines/>
        <w:pageBreakBefore/>
        <w:rPr>
          <w:rFonts w:ascii="宋体" w:hAnsi="宋体"/>
          <w:b/>
          <w:color w:val="000000" w:themeColor="text1"/>
          <w:szCs w:val="28"/>
        </w:rPr>
      </w:pPr>
      <w:bookmarkStart w:id="12" w:name="_Toc295374657"/>
      <w:bookmarkStart w:id="13" w:name="_Toc509236304"/>
      <w:r>
        <w:rPr>
          <w:rFonts w:ascii="宋体" w:hAnsi="宋体"/>
          <w:b/>
          <w:color w:val="000000" w:themeColor="text1"/>
          <w:kern w:val="44"/>
          <w:szCs w:val="28"/>
        </w:rPr>
        <w:t>项目主要污染物产生及预计排放情况</w:t>
      </w:r>
      <w:bookmarkEnd w:id="12"/>
      <w:bookmarkEnd w:id="13"/>
    </w:p>
    <w:tbl>
      <w:tblPr>
        <w:tblStyle w:val="42"/>
        <w:tblW w:w="947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 w:hRule="atLeast"/>
          <w:jc w:val="center"/>
        </w:trPr>
        <w:tc>
          <w:tcPr>
            <w:tcW w:w="9479" w:type="dxa"/>
          </w:tcPr>
          <w:tbl>
            <w:tblPr>
              <w:tblStyle w:val="42"/>
              <w:tblW w:w="93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8"/>
              <w:gridCol w:w="374"/>
              <w:gridCol w:w="1254"/>
              <w:gridCol w:w="1654"/>
              <w:gridCol w:w="2497"/>
              <w:gridCol w:w="2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34" w:hRule="atLeast"/>
                <w:jc w:val="center"/>
              </w:trPr>
              <w:tc>
                <w:tcPr>
                  <w:tcW w:w="978" w:type="dxa"/>
                  <w:tcBorders>
                    <w:top w:val="single" w:color="auto" w:sz="4" w:space="0"/>
                    <w:left w:val="single" w:color="auto" w:sz="4" w:space="0"/>
                    <w:bottom w:val="single" w:color="auto" w:sz="4" w:space="0"/>
                    <w:right w:val="single" w:color="auto" w:sz="4" w:space="0"/>
                  </w:tcBorders>
                  <w:tcMar>
                    <w:top w:w="0" w:type="dxa"/>
                    <w:left w:w="28" w:type="dxa"/>
                    <w:bottom w:w="0" w:type="dxa"/>
                    <w:right w:w="0" w:type="dxa"/>
                  </w:tcMar>
                  <w:vAlign w:val="center"/>
                  <mc:AlternateContent>
                    <mc:Choice Requires="wpsCustomData">
                      <wpsCustomData:diagonals>
                        <wpsCustomData:diagonal from="10000" to="30000">
                          <wpsCustomData:border w:val="single" w:color="auto" w:sz="4" w:space="0"/>
                        </wpsCustomData:diagonal>
                      </wpsCustomData:diagonals>
                    </mc:Choice>
                  </mc:AlternateContent>
                </w:tcPr>
                <w:p>
                  <w:pPr>
                    <w:spacing w:line="240" w:lineRule="exact"/>
                    <w:ind w:right="120"/>
                    <w:jc w:val="both"/>
                    <w:rPr>
                      <w:rFonts w:ascii="宋体" w:hAnsi="宋体"/>
                      <w:color w:val="000000"/>
                      <w:szCs w:val="21"/>
                    </w:rPr>
                  </w:pPr>
                  <w:bookmarkStart w:id="14" w:name="_Toc295374658"/>
                </w:p>
                <w:p>
                  <w:pPr>
                    <w:spacing w:line="240" w:lineRule="exact"/>
                    <w:ind w:right="120"/>
                    <w:jc w:val="both"/>
                    <w:rPr>
                      <w:rFonts w:hint="eastAsia" w:ascii="宋体" w:hAnsi="宋体"/>
                      <w:color w:val="000000"/>
                      <w:szCs w:val="21"/>
                    </w:rPr>
                  </w:pPr>
                </w:p>
                <w:p>
                  <w:pPr>
                    <w:snapToGrid w:val="0"/>
                    <w:spacing w:line="240" w:lineRule="auto"/>
                    <w:jc w:val="center"/>
                    <w:textAlignment w:val="baseline"/>
                    <mc:AlternateContent>
                      <mc:Choice Requires="wpsCustomData">
                        <wpsCustomData:diagonalParaType/>
                      </mc:Choice>
                    </mc:AlternateContent>
                    <w:rPr>
                      <w:rFonts w:hint="eastAsia" w:ascii="宋体" w:hAnsi="宋体" w:eastAsia="宋体"/>
                      <w:color w:val="000000"/>
                      <w:szCs w:val="21"/>
                      <w:lang w:eastAsia="zh-CN"/>
                    </w:rPr>
                  </w:pPr>
                  <w:r>
                    <w:rPr>
                      <w:rFonts w:hint="eastAsia" w:ascii="宋体" w:hAnsi="宋体"/>
                      <w:color w:val="000000"/>
                      <w:szCs w:val="21"/>
                      <w:lang w:eastAsia="zh-CN"/>
                    </w:rPr>
                    <w:t>类型</w:t>
                  </w:r>
                </w:p>
                <w:p>
                  <w:pPr>
                    <w:spacing w:line="280" w:lineRule="exact"/>
                    <w:jc w:val="center"/>
                    <w:textAlignment w:val="baseline"/>
                    <w:rPr>
                      <w:rFonts w:hint="eastAsia" w:ascii="宋体" w:hAnsi="宋体" w:eastAsia="宋体"/>
                      <w:color w:val="000000"/>
                      <w:szCs w:val="21"/>
                      <w:lang w:eastAsia="zh-CN"/>
                    </w:rPr>
                  </w:pPr>
                  <w:r>
                    <w:rPr>
                      <w:rFonts w:hint="eastAsia" w:ascii="宋体" w:hAnsi="宋体"/>
                      <w:color w:val="000000"/>
                      <w:szCs w:val="21"/>
                      <w:lang w:eastAsia="zh-CN"/>
                    </w:rPr>
                    <w:t>内容</w:t>
                  </w:r>
                </w:p>
              </w:tc>
              <w:tc>
                <w:tcPr>
                  <w:tcW w:w="1628"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排放源</w:t>
                  </w:r>
                </w:p>
                <w:p>
                  <w:pPr>
                    <w:spacing w:line="280" w:lineRule="exact"/>
                    <w:jc w:val="center"/>
                    <w:textAlignment w:val="baseline"/>
                    <w:rPr>
                      <w:rFonts w:ascii="宋体" w:hAnsi="宋体"/>
                      <w:color w:val="000000"/>
                      <w:szCs w:val="21"/>
                    </w:rPr>
                  </w:pPr>
                  <w:r>
                    <w:rPr>
                      <w:rFonts w:hint="eastAsia" w:ascii="宋体" w:hAnsi="宋体"/>
                      <w:color w:val="000000"/>
                      <w:szCs w:val="21"/>
                    </w:rPr>
                    <w:t>（编号）</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0"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污染物</w:t>
                  </w:r>
                </w:p>
                <w:p>
                  <w:pPr>
                    <w:spacing w:line="280" w:lineRule="exact"/>
                    <w:jc w:val="center"/>
                    <w:textAlignment w:val="baseline"/>
                    <w:rPr>
                      <w:rFonts w:ascii="宋体" w:hAnsi="宋体"/>
                      <w:color w:val="000000"/>
                      <w:szCs w:val="21"/>
                    </w:rPr>
                  </w:pPr>
                  <w:r>
                    <w:rPr>
                      <w:rFonts w:hint="eastAsia" w:ascii="宋体" w:hAnsi="宋体"/>
                      <w:color w:val="000000"/>
                      <w:szCs w:val="21"/>
                    </w:rPr>
                    <w:t>名 称</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0" w:type="dxa"/>
                  </w:tcMar>
                  <w:vAlign w:val="center"/>
                </w:tcPr>
                <w:p>
                  <w:pPr>
                    <w:spacing w:line="280" w:lineRule="exact"/>
                    <w:jc w:val="center"/>
                    <w:textAlignment w:val="baseline"/>
                    <w:rPr>
                      <w:rFonts w:ascii="宋体" w:hAnsi="宋体"/>
                      <w:color w:val="000000"/>
                      <w:spacing w:val="-20"/>
                      <w:szCs w:val="21"/>
                    </w:rPr>
                  </w:pPr>
                  <w:r>
                    <w:rPr>
                      <w:rFonts w:hint="eastAsia" w:ascii="宋体" w:hAnsi="宋体"/>
                      <w:color w:val="000000"/>
                      <w:spacing w:val="-20"/>
                      <w:szCs w:val="21"/>
                    </w:rPr>
                    <w:t>处理前浓度（mg/Nm</w:t>
                  </w:r>
                  <w:r>
                    <w:rPr>
                      <w:rFonts w:hint="eastAsia" w:ascii="宋体" w:hAnsi="宋体"/>
                      <w:color w:val="000000"/>
                      <w:spacing w:val="-20"/>
                      <w:szCs w:val="21"/>
                      <w:vertAlign w:val="superscript"/>
                    </w:rPr>
                    <w:t>3</w:t>
                  </w:r>
                  <w:r>
                    <w:rPr>
                      <w:rFonts w:hint="eastAsia" w:ascii="宋体" w:hAnsi="宋体"/>
                      <w:color w:val="000000"/>
                      <w:spacing w:val="-20"/>
                      <w:szCs w:val="21"/>
                    </w:rPr>
                    <w:t>或mg/L）及产生量（t/a）</w:t>
                  </w:r>
                </w:p>
              </w:tc>
              <w:tc>
                <w:tcPr>
                  <w:tcW w:w="2570" w:type="dxa"/>
                  <w:tcBorders>
                    <w:top w:val="single" w:color="auto" w:sz="4" w:space="0"/>
                    <w:left w:val="single" w:color="auto" w:sz="4" w:space="0"/>
                    <w:bottom w:val="single" w:color="auto" w:sz="4" w:space="0"/>
                    <w:right w:val="single" w:color="auto" w:sz="4" w:space="0"/>
                  </w:tcBorders>
                  <w:tcMar>
                    <w:top w:w="0" w:type="dxa"/>
                    <w:left w:w="28" w:type="dxa"/>
                    <w:bottom w:w="0" w:type="dxa"/>
                    <w:right w:w="0" w:type="dxa"/>
                  </w:tcMar>
                  <w:vAlign w:val="center"/>
                </w:tcPr>
                <w:p>
                  <w:pPr>
                    <w:spacing w:line="280" w:lineRule="exact"/>
                    <w:jc w:val="center"/>
                    <w:textAlignment w:val="baseline"/>
                    <w:rPr>
                      <w:rFonts w:ascii="宋体" w:hAnsi="宋体"/>
                      <w:color w:val="000000"/>
                      <w:spacing w:val="-20"/>
                      <w:szCs w:val="21"/>
                    </w:rPr>
                  </w:pPr>
                  <w:r>
                    <w:rPr>
                      <w:rFonts w:hint="eastAsia" w:ascii="宋体" w:hAnsi="宋体"/>
                      <w:color w:val="000000"/>
                      <w:spacing w:val="-20"/>
                      <w:szCs w:val="21"/>
                    </w:rPr>
                    <w:t>排放浓度（mg/Nm</w:t>
                  </w:r>
                  <w:r>
                    <w:rPr>
                      <w:rFonts w:hint="eastAsia" w:ascii="宋体" w:hAnsi="宋体"/>
                      <w:color w:val="000000"/>
                      <w:spacing w:val="-20"/>
                      <w:szCs w:val="21"/>
                      <w:vertAlign w:val="superscript"/>
                    </w:rPr>
                    <w:t>3</w:t>
                  </w:r>
                  <w:r>
                    <w:rPr>
                      <w:rFonts w:hint="eastAsia" w:ascii="宋体" w:hAnsi="宋体"/>
                      <w:color w:val="000000"/>
                      <w:spacing w:val="-20"/>
                      <w:szCs w:val="21"/>
                    </w:rPr>
                    <w:t>或mg/L）及排放量（t/a）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3" w:hRule="atLeast"/>
                <w:jc w:val="center"/>
              </w:trPr>
              <w:tc>
                <w:tcPr>
                  <w:tcW w:w="978" w:type="dxa"/>
                  <w:vMerge w:val="restart"/>
                  <w:tcBorders>
                    <w:top w:val="single" w:color="auto" w:sz="4" w:space="0"/>
                    <w:left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大</w:t>
                  </w:r>
                </w:p>
                <w:p>
                  <w:pPr>
                    <w:spacing w:line="280" w:lineRule="exact"/>
                    <w:jc w:val="center"/>
                    <w:textAlignment w:val="baseline"/>
                    <w:rPr>
                      <w:rFonts w:ascii="宋体" w:hAnsi="宋体"/>
                      <w:color w:val="000000"/>
                      <w:szCs w:val="21"/>
                    </w:rPr>
                  </w:pPr>
                  <w:r>
                    <w:rPr>
                      <w:rFonts w:hint="eastAsia" w:ascii="宋体" w:hAnsi="宋体"/>
                      <w:color w:val="000000"/>
                      <w:szCs w:val="21"/>
                    </w:rPr>
                    <w:t>气</w:t>
                  </w:r>
                </w:p>
                <w:p>
                  <w:pPr>
                    <w:spacing w:line="280" w:lineRule="exact"/>
                    <w:jc w:val="center"/>
                    <w:textAlignment w:val="baseline"/>
                    <w:rPr>
                      <w:rFonts w:ascii="宋体" w:hAnsi="宋体"/>
                      <w:color w:val="000000"/>
                      <w:szCs w:val="21"/>
                    </w:rPr>
                  </w:pPr>
                  <w:r>
                    <w:rPr>
                      <w:rFonts w:hint="eastAsia" w:ascii="宋体" w:hAnsi="宋体"/>
                      <w:color w:val="000000"/>
                      <w:szCs w:val="21"/>
                    </w:rPr>
                    <w:t>污</w:t>
                  </w:r>
                </w:p>
                <w:p>
                  <w:pPr>
                    <w:spacing w:line="280" w:lineRule="exact"/>
                    <w:jc w:val="center"/>
                    <w:textAlignment w:val="baseline"/>
                    <w:rPr>
                      <w:rFonts w:ascii="宋体" w:hAnsi="宋体"/>
                      <w:color w:val="000000"/>
                      <w:szCs w:val="21"/>
                    </w:rPr>
                  </w:pPr>
                  <w:r>
                    <w:rPr>
                      <w:rFonts w:hint="eastAsia" w:ascii="宋体" w:hAnsi="宋体"/>
                      <w:color w:val="000000"/>
                      <w:szCs w:val="21"/>
                    </w:rPr>
                    <w:t>染</w:t>
                  </w:r>
                </w:p>
                <w:p>
                  <w:pPr>
                    <w:spacing w:line="280" w:lineRule="exact"/>
                    <w:jc w:val="center"/>
                    <w:textAlignment w:val="baseline"/>
                    <w:rPr>
                      <w:rFonts w:ascii="宋体" w:hAnsi="宋体"/>
                      <w:color w:val="000000"/>
                      <w:szCs w:val="21"/>
                    </w:rPr>
                  </w:pPr>
                  <w:r>
                    <w:rPr>
                      <w:rFonts w:hint="eastAsia" w:ascii="宋体" w:hAnsi="宋体"/>
                      <w:color w:val="000000"/>
                      <w:szCs w:val="21"/>
                    </w:rPr>
                    <w:t>物</w:t>
                  </w:r>
                </w:p>
              </w:tc>
              <w:tc>
                <w:tcPr>
                  <w:tcW w:w="1628"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施工期</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pacing w:val="-20"/>
                      <w:sz w:val="18"/>
                      <w:szCs w:val="18"/>
                    </w:rPr>
                    <w:t>扬尘</w:t>
                  </w:r>
                </w:p>
              </w:tc>
              <w:tc>
                <w:tcPr>
                  <w:tcW w:w="5067"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产生的扬尘属无组织排放,其量难以估算,多产生在晴天,导致施工场地及建筑材料沿途运输局部区域环境空气中TSP升高。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70" w:hRule="atLeast"/>
                <w:jc w:val="center"/>
              </w:trPr>
              <w:tc>
                <w:tcPr>
                  <w:tcW w:w="978" w:type="dxa"/>
                  <w:vMerge w:val="continue"/>
                  <w:tcBorders>
                    <w:left w:val="single" w:color="auto" w:sz="4" w:space="0"/>
                    <w:right w:val="single" w:color="auto" w:sz="4" w:space="0"/>
                  </w:tcBorders>
                  <w:vAlign w:val="center"/>
                </w:tcPr>
                <w:p>
                  <w:pPr>
                    <w:widowControl/>
                    <w:jc w:val="left"/>
                    <w:rPr>
                      <w:rFonts w:ascii="宋体" w:hAnsi="宋体"/>
                      <w:color w:val="000000"/>
                      <w:szCs w:val="21"/>
                    </w:rPr>
                  </w:pPr>
                </w:p>
              </w:tc>
              <w:tc>
                <w:tcPr>
                  <w:tcW w:w="374" w:type="dxa"/>
                  <w:vMerge w:val="restart"/>
                  <w:tcBorders>
                    <w:top w:val="single" w:color="auto" w:sz="4" w:space="0"/>
                    <w:left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厨房</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油烟废气</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182.5kg/a</w:t>
                  </w:r>
                </w:p>
              </w:tc>
              <w:tc>
                <w:tcPr>
                  <w:tcW w:w="25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27.28kg/a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5" w:hRule="atLeast"/>
                <w:jc w:val="center"/>
              </w:trPr>
              <w:tc>
                <w:tcPr>
                  <w:tcW w:w="978" w:type="dxa"/>
                  <w:vMerge w:val="continue"/>
                  <w:tcBorders>
                    <w:left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left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p>
              </w:tc>
              <w:tc>
                <w:tcPr>
                  <w:tcW w:w="1254" w:type="dxa"/>
                  <w:vMerge w:val="restart"/>
                  <w:tcBorders>
                    <w:top w:val="single" w:color="auto" w:sz="4" w:space="0"/>
                    <w:left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锅炉废气</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sz w:val="18"/>
                      <w:szCs w:val="18"/>
                    </w:rPr>
                    <w:t>SO</w:t>
                  </w:r>
                  <w:r>
                    <w:rPr>
                      <w:rFonts w:hint="eastAsia" w:ascii="宋体" w:hAnsi="宋体"/>
                      <w:sz w:val="18"/>
                      <w:szCs w:val="18"/>
                      <w:vertAlign w:val="subscript"/>
                    </w:rPr>
                    <w:t>2</w:t>
                  </w:r>
                </w:p>
              </w:tc>
              <w:tc>
                <w:tcPr>
                  <w:tcW w:w="2497" w:type="dxa"/>
                  <w:tcBorders>
                    <w:top w:val="single" w:color="auto" w:sz="4" w:space="0"/>
                    <w:left w:val="single" w:color="auto" w:sz="4" w:space="0"/>
                    <w:right w:val="single" w:color="auto" w:sz="4" w:space="0"/>
                  </w:tcBorders>
                  <w:tcMar>
                    <w:top w:w="0" w:type="dxa"/>
                    <w:left w:w="28" w:type="dxa"/>
                    <w:bottom w:w="0" w:type="dxa"/>
                    <w:right w:w="28" w:type="dxa"/>
                  </w:tcMar>
                  <w:vAlign w:val="center"/>
                </w:tcPr>
                <w:p>
                  <w:pPr>
                    <w:pStyle w:val="180"/>
                    <w:spacing w:line="280" w:lineRule="exact"/>
                    <w:ind w:firstLine="900" w:firstLineChars="500"/>
                    <w:jc w:val="both"/>
                    <w:textAlignment w:val="baseline"/>
                    <w:rPr>
                      <w:rFonts w:ascii="宋体" w:hAnsi="宋体"/>
                      <w:color w:val="000000"/>
                      <w:sz w:val="18"/>
                      <w:szCs w:val="18"/>
                    </w:rPr>
                  </w:pPr>
                  <w:r>
                    <w:rPr>
                      <w:rFonts w:hint="eastAsia" w:ascii="宋体" w:hAnsi="宋体"/>
                      <w:kern w:val="0"/>
                      <w:sz w:val="18"/>
                      <w:szCs w:val="18"/>
                    </w:rPr>
                    <w:t>2.69</w:t>
                  </w:r>
                  <w:r>
                    <w:rPr>
                      <w:rFonts w:hint="eastAsia" w:ascii="宋体" w:hAnsi="宋体"/>
                      <w:sz w:val="18"/>
                      <w:szCs w:val="18"/>
                    </w:rPr>
                    <w:t>mg/m</w:t>
                  </w:r>
                  <w:r>
                    <w:rPr>
                      <w:rFonts w:hint="eastAsia" w:ascii="宋体" w:hAnsi="宋体"/>
                      <w:sz w:val="18"/>
                      <w:szCs w:val="18"/>
                      <w:vertAlign w:val="superscript"/>
                    </w:rPr>
                    <w:t>3</w:t>
                  </w:r>
                </w:p>
              </w:tc>
              <w:tc>
                <w:tcPr>
                  <w:tcW w:w="2570" w:type="dxa"/>
                  <w:tcBorders>
                    <w:top w:val="single" w:color="auto" w:sz="4" w:space="0"/>
                    <w:left w:val="single" w:color="auto" w:sz="4" w:space="0"/>
                    <w:right w:val="single" w:color="auto" w:sz="4" w:space="0"/>
                  </w:tcBorders>
                  <w:vAlign w:val="center"/>
                </w:tcPr>
                <w:p>
                  <w:pPr>
                    <w:pStyle w:val="180"/>
                    <w:spacing w:line="280" w:lineRule="exact"/>
                    <w:ind w:firstLine="810" w:firstLineChars="450"/>
                    <w:jc w:val="both"/>
                    <w:textAlignment w:val="baseline"/>
                    <w:rPr>
                      <w:rFonts w:ascii="宋体" w:hAnsi="宋体"/>
                      <w:color w:val="000000"/>
                      <w:sz w:val="18"/>
                      <w:szCs w:val="18"/>
                    </w:rPr>
                  </w:pPr>
                  <w:r>
                    <w:rPr>
                      <w:rFonts w:hint="eastAsia" w:ascii="宋体" w:hAnsi="宋体"/>
                      <w:sz w:val="18"/>
                      <w:szCs w:val="18"/>
                    </w:rPr>
                    <w:t>0.0234t/a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15" w:hRule="atLeast"/>
                <w:jc w:val="center"/>
              </w:trPr>
              <w:tc>
                <w:tcPr>
                  <w:tcW w:w="97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p>
              </w:tc>
              <w:tc>
                <w:tcPr>
                  <w:tcW w:w="1254" w:type="dxa"/>
                  <w:vMerge w:val="continue"/>
                  <w:tcBorders>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sz w:val="18"/>
                      <w:szCs w:val="18"/>
                    </w:rPr>
                    <w:t>NO</w:t>
                  </w:r>
                </w:p>
              </w:tc>
              <w:tc>
                <w:tcPr>
                  <w:tcW w:w="2497" w:type="dxa"/>
                  <w:tcBorders>
                    <w:left w:val="single" w:color="auto" w:sz="4" w:space="0"/>
                    <w:bottom w:val="single" w:color="auto" w:sz="4" w:space="0"/>
                    <w:right w:val="single" w:color="auto" w:sz="4" w:space="0"/>
                  </w:tcBorders>
                  <w:tcMar>
                    <w:top w:w="0" w:type="dxa"/>
                    <w:left w:w="28" w:type="dxa"/>
                    <w:bottom w:w="0" w:type="dxa"/>
                    <w:right w:w="28" w:type="dxa"/>
                  </w:tcMar>
                  <w:vAlign w:val="center"/>
                </w:tcPr>
                <w:p>
                  <w:pPr>
                    <w:pStyle w:val="180"/>
                    <w:spacing w:line="280" w:lineRule="exact"/>
                    <w:ind w:firstLine="900" w:firstLineChars="500"/>
                    <w:jc w:val="both"/>
                    <w:textAlignment w:val="baseline"/>
                    <w:rPr>
                      <w:rFonts w:ascii="宋体" w:hAnsi="宋体"/>
                      <w:color w:val="000000"/>
                      <w:sz w:val="18"/>
                      <w:szCs w:val="18"/>
                    </w:rPr>
                  </w:pPr>
                  <w:r>
                    <w:rPr>
                      <w:rFonts w:hint="eastAsia" w:ascii="宋体" w:hAnsi="宋体"/>
                      <w:sz w:val="18"/>
                      <w:szCs w:val="18"/>
                    </w:rPr>
                    <w:t>137.77mg/m</w:t>
                  </w:r>
                  <w:r>
                    <w:rPr>
                      <w:rFonts w:hint="eastAsia" w:ascii="宋体" w:hAnsi="宋体"/>
                      <w:sz w:val="18"/>
                      <w:szCs w:val="18"/>
                      <w:vertAlign w:val="superscript"/>
                    </w:rPr>
                    <w:t>3</w:t>
                  </w:r>
                </w:p>
              </w:tc>
              <w:tc>
                <w:tcPr>
                  <w:tcW w:w="2570" w:type="dxa"/>
                  <w:tcBorders>
                    <w:left w:val="single" w:color="auto" w:sz="4" w:space="0"/>
                    <w:bottom w:val="single" w:color="auto" w:sz="4" w:space="0"/>
                    <w:right w:val="single" w:color="auto" w:sz="4" w:space="0"/>
                  </w:tcBorders>
                  <w:vAlign w:val="center"/>
                </w:tcPr>
                <w:p>
                  <w:pPr>
                    <w:pStyle w:val="180"/>
                    <w:spacing w:line="280" w:lineRule="exact"/>
                    <w:ind w:firstLine="810" w:firstLineChars="450"/>
                    <w:jc w:val="both"/>
                    <w:textAlignment w:val="baseline"/>
                    <w:rPr>
                      <w:rFonts w:ascii="宋体" w:hAnsi="宋体"/>
                      <w:color w:val="000000"/>
                      <w:sz w:val="18"/>
                      <w:szCs w:val="18"/>
                    </w:rPr>
                  </w:pPr>
                  <w:r>
                    <w:rPr>
                      <w:rFonts w:hint="eastAsia" w:ascii="宋体" w:hAnsi="宋体"/>
                      <w:sz w:val="18"/>
                      <w:szCs w:val="18"/>
                    </w:rPr>
                    <w:t>1.0tg/a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9" w:hRule="atLeast"/>
                <w:jc w:val="center"/>
              </w:trPr>
              <w:tc>
                <w:tcPr>
                  <w:tcW w:w="978" w:type="dxa"/>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水污染物</w:t>
                  </w:r>
                </w:p>
              </w:tc>
              <w:tc>
                <w:tcPr>
                  <w:tcW w:w="374" w:type="dxa"/>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施工期</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生活污水</w:t>
                  </w:r>
                </w:p>
              </w:tc>
              <w:tc>
                <w:tcPr>
                  <w:tcW w:w="6721" w:type="dxa"/>
                  <w:gridSpan w:val="3"/>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180"/>
                    <w:spacing w:line="280" w:lineRule="exact"/>
                    <w:textAlignment w:val="baseline"/>
                    <w:rPr>
                      <w:rFonts w:ascii="宋体" w:hAnsi="宋体"/>
                      <w:color w:val="000000"/>
                      <w:sz w:val="18"/>
                      <w:szCs w:val="18"/>
                    </w:rPr>
                  </w:pPr>
                  <w:r>
                    <w:rPr>
                      <w:rFonts w:hint="eastAsia" w:ascii="宋体" w:hAnsi="宋体"/>
                      <w:color w:val="000000"/>
                      <w:spacing w:val="-20"/>
                      <w:sz w:val="18"/>
                      <w:szCs w:val="18"/>
                    </w:rPr>
                    <w:t>施工人员均为当地居民,不在场内食宿,无集中的生活污水外排。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25"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施工废水</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主要为SS</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180"/>
                    <w:spacing w:line="280" w:lineRule="exact"/>
                    <w:textAlignment w:val="baseline"/>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少量、浓度偶然性较大</w:t>
                  </w:r>
                </w:p>
              </w:tc>
              <w:tc>
                <w:tcPr>
                  <w:tcW w:w="2570" w:type="dxa"/>
                  <w:tcBorders>
                    <w:top w:val="single" w:color="auto" w:sz="4" w:space="0"/>
                    <w:left w:val="single" w:color="auto" w:sz="4" w:space="0"/>
                    <w:bottom w:val="single" w:color="auto" w:sz="4" w:space="0"/>
                    <w:right w:val="single" w:color="auto" w:sz="4" w:space="0"/>
                  </w:tcBorders>
                  <w:vAlign w:val="center"/>
                </w:tcPr>
                <w:p>
                  <w:pPr>
                    <w:pStyle w:val="180"/>
                    <w:spacing w:line="280" w:lineRule="exact"/>
                    <w:textAlignment w:val="baseline"/>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经沉淀处理后回用，对环境影响小。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9"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p>
                <w:p>
                  <w:pPr>
                    <w:spacing w:line="280" w:lineRule="exact"/>
                    <w:jc w:val="center"/>
                    <w:textAlignment w:val="baseline"/>
                    <w:rPr>
                      <w:rFonts w:ascii="宋体" w:hAnsi="宋体"/>
                      <w:color w:val="000000"/>
                      <w:szCs w:val="21"/>
                    </w:rPr>
                  </w:pPr>
                  <w:r>
                    <w:rPr>
                      <w:rFonts w:hint="eastAsia" w:ascii="宋体" w:hAnsi="宋体"/>
                      <w:color w:val="000000"/>
                      <w:szCs w:val="21"/>
                    </w:rPr>
                    <w:t>营运期</w:t>
                  </w:r>
                </w:p>
                <w:p>
                  <w:pPr>
                    <w:spacing w:line="280" w:lineRule="exact"/>
                    <w:jc w:val="center"/>
                    <w:textAlignment w:val="baseline"/>
                    <w:rPr>
                      <w:rFonts w:ascii="宋体" w:hAnsi="宋体"/>
                      <w:color w:val="000000"/>
                      <w:szCs w:val="21"/>
                    </w:rPr>
                  </w:pPr>
                </w:p>
              </w:tc>
              <w:tc>
                <w:tcPr>
                  <w:tcW w:w="1254" w:type="dxa"/>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（生活污水）</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spacing w:val="-6"/>
                      <w:sz w:val="18"/>
                      <w:szCs w:val="18"/>
                    </w:rPr>
                  </w:pPr>
                  <w:r>
                    <w:rPr>
                      <w:rFonts w:hint="eastAsia" w:ascii="宋体" w:hAnsi="宋体"/>
                      <w:color w:val="000000"/>
                      <w:sz w:val="18"/>
                      <w:szCs w:val="18"/>
                    </w:rPr>
                    <w:t>废水量</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themeColor="text1"/>
                      <w:spacing w:val="-6"/>
                      <w:sz w:val="18"/>
                      <w:szCs w:val="18"/>
                    </w:rPr>
                  </w:pPr>
                  <w:r>
                    <w:rPr>
                      <w:rStyle w:val="94"/>
                      <w:rFonts w:hint="eastAsia"/>
                      <w:color w:val="000000"/>
                      <w:sz w:val="18"/>
                      <w:szCs w:val="18"/>
                    </w:rPr>
                    <w:t>11.38×10</w:t>
                  </w:r>
                  <w:r>
                    <w:rPr>
                      <w:rStyle w:val="94"/>
                      <w:rFonts w:hint="eastAsia"/>
                      <w:color w:val="000000"/>
                      <w:sz w:val="18"/>
                      <w:szCs w:val="18"/>
                      <w:vertAlign w:val="superscript"/>
                    </w:rPr>
                    <w:t>5</w:t>
                  </w:r>
                  <w:r>
                    <w:rPr>
                      <w:rStyle w:val="94"/>
                      <w:rFonts w:hint="eastAsia"/>
                      <w:color w:val="000000" w:themeColor="text1"/>
                      <w:sz w:val="18"/>
                      <w:szCs w:val="18"/>
                    </w:rPr>
                    <w:t>m</w:t>
                  </w:r>
                  <w:r>
                    <w:rPr>
                      <w:rStyle w:val="94"/>
                      <w:rFonts w:hint="eastAsia"/>
                      <w:color w:val="000000" w:themeColor="text1"/>
                      <w:sz w:val="18"/>
                      <w:szCs w:val="18"/>
                      <w:vertAlign w:val="superscript"/>
                    </w:rPr>
                    <w:t>3</w:t>
                  </w:r>
                  <w:r>
                    <w:rPr>
                      <w:rStyle w:val="94"/>
                      <w:rFonts w:hint="eastAsia"/>
                      <w:color w:val="000000" w:themeColor="text1"/>
                      <w:sz w:val="18"/>
                      <w:szCs w:val="18"/>
                    </w:rPr>
                    <w:t>/a</w:t>
                  </w:r>
                </w:p>
              </w:tc>
              <w:tc>
                <w:tcPr>
                  <w:tcW w:w="25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olor w:val="000000" w:themeColor="text1"/>
                      <w:spacing w:val="-6"/>
                      <w:sz w:val="18"/>
                      <w:szCs w:val="18"/>
                    </w:rPr>
                  </w:pPr>
                  <w:r>
                    <w:rPr>
                      <w:rStyle w:val="94"/>
                      <w:rFonts w:hint="eastAsia"/>
                      <w:color w:val="000000"/>
                      <w:sz w:val="18"/>
                      <w:szCs w:val="18"/>
                    </w:rPr>
                    <w:t>11.38×10</w:t>
                  </w:r>
                  <w:r>
                    <w:rPr>
                      <w:rStyle w:val="94"/>
                      <w:rFonts w:hint="eastAsia"/>
                      <w:color w:val="000000"/>
                      <w:sz w:val="18"/>
                      <w:szCs w:val="18"/>
                      <w:vertAlign w:val="superscript"/>
                    </w:rPr>
                    <w:t>5</w:t>
                  </w:r>
                  <w:r>
                    <w:rPr>
                      <w:rStyle w:val="94"/>
                      <w:rFonts w:hint="eastAsia"/>
                      <w:color w:val="000000" w:themeColor="text1"/>
                      <w:sz w:val="18"/>
                      <w:szCs w:val="18"/>
                    </w:rPr>
                    <w:t>m</w:t>
                  </w:r>
                  <w:r>
                    <w:rPr>
                      <w:rStyle w:val="94"/>
                      <w:rFonts w:hint="eastAsia"/>
                      <w:color w:val="000000" w:themeColor="text1"/>
                      <w:sz w:val="18"/>
                      <w:szCs w:val="18"/>
                      <w:vertAlign w:val="superscript"/>
                    </w:rPr>
                    <w:t>3</w:t>
                  </w:r>
                  <w:r>
                    <w:rPr>
                      <w:rStyle w:val="94"/>
                      <w:rFonts w:hint="eastAsia"/>
                      <w:color w:val="000000" w:themeColor="text1"/>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83"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 w:val="18"/>
                      <w:szCs w:val="18"/>
                    </w:rPr>
                  </w:pP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sz w:val="18"/>
                      <w:szCs w:val="18"/>
                    </w:rPr>
                  </w:pPr>
                  <w:r>
                    <w:rPr>
                      <w:rFonts w:hint="eastAsia" w:ascii="宋体" w:hAnsi="宋体"/>
                      <w:color w:val="000000"/>
                      <w:sz w:val="18"/>
                      <w:szCs w:val="18"/>
                    </w:rPr>
                    <w:t>CODcr</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ind w:firstLine="90" w:firstLineChars="50"/>
                    <w:jc w:val="center"/>
                    <w:rPr>
                      <w:rFonts w:ascii="宋体" w:hAnsi="宋体"/>
                      <w:color w:val="000000" w:themeColor="text1"/>
                      <w:sz w:val="18"/>
                      <w:szCs w:val="18"/>
                    </w:rPr>
                  </w:pPr>
                  <w:r>
                    <w:rPr>
                      <w:rFonts w:hint="eastAsia" w:ascii="宋体" w:hAnsi="宋体"/>
                      <w:color w:val="000000" w:themeColor="text1"/>
                      <w:sz w:val="18"/>
                      <w:szCs w:val="18"/>
                    </w:rPr>
                    <w:t>400mg/L,45.52t/a</w:t>
                  </w:r>
                </w:p>
              </w:tc>
              <w:tc>
                <w:tcPr>
                  <w:tcW w:w="257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themeColor="text1"/>
                      <w:sz w:val="18"/>
                      <w:szCs w:val="18"/>
                    </w:rPr>
                  </w:pPr>
                  <w:r>
                    <w:rPr>
                      <w:rFonts w:hint="eastAsia" w:ascii="宋体" w:hAnsi="宋体"/>
                      <w:color w:val="000000" w:themeColor="text1"/>
                      <w:sz w:val="18"/>
                      <w:szCs w:val="18"/>
                    </w:rPr>
                    <w:t>240mg/L,27.31t/a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72"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 w:val="18"/>
                      <w:szCs w:val="18"/>
                    </w:rPr>
                  </w:pP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sz w:val="18"/>
                      <w:szCs w:val="18"/>
                    </w:rPr>
                  </w:pPr>
                  <w:r>
                    <w:rPr>
                      <w:rFonts w:hint="eastAsia" w:ascii="宋体" w:hAnsi="宋体"/>
                      <w:color w:val="000000"/>
                      <w:sz w:val="18"/>
                      <w:szCs w:val="18"/>
                    </w:rPr>
                    <w:t>BOD</w:t>
                  </w:r>
                  <w:r>
                    <w:rPr>
                      <w:rFonts w:hint="eastAsia" w:ascii="宋体" w:hAnsi="宋体"/>
                      <w:color w:val="000000"/>
                      <w:sz w:val="18"/>
                      <w:szCs w:val="18"/>
                      <w:vertAlign w:val="subscript"/>
                    </w:rPr>
                    <w:t>5</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pPr>
                    <w:jc w:val="center"/>
                    <w:rPr>
                      <w:rFonts w:ascii="宋体" w:hAnsi="宋体"/>
                      <w:color w:val="000000" w:themeColor="text1"/>
                      <w:sz w:val="18"/>
                      <w:szCs w:val="18"/>
                    </w:rPr>
                  </w:pPr>
                  <w:r>
                    <w:rPr>
                      <w:rFonts w:hint="eastAsia" w:ascii="宋体" w:hAnsi="宋体"/>
                      <w:color w:val="000000" w:themeColor="text1"/>
                      <w:sz w:val="18"/>
                      <w:szCs w:val="18"/>
                    </w:rPr>
                    <w:t>200mg/L,22.76t/a</w:t>
                  </w:r>
                </w:p>
              </w:tc>
              <w:tc>
                <w:tcPr>
                  <w:tcW w:w="257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themeColor="text1"/>
                      <w:sz w:val="18"/>
                      <w:szCs w:val="18"/>
                    </w:rPr>
                  </w:pPr>
                  <w:r>
                    <w:rPr>
                      <w:rFonts w:hint="eastAsia" w:ascii="宋体" w:hAnsi="宋体"/>
                      <w:color w:val="000000" w:themeColor="text1"/>
                      <w:sz w:val="18"/>
                      <w:szCs w:val="18"/>
                    </w:rPr>
                    <w:t>100mg/L, 11.38t/a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63"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 w:val="18"/>
                      <w:szCs w:val="18"/>
                    </w:rPr>
                  </w:pP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sz w:val="18"/>
                      <w:szCs w:val="18"/>
                    </w:rPr>
                  </w:pPr>
                  <w:r>
                    <w:rPr>
                      <w:rFonts w:hint="eastAsia" w:ascii="宋体" w:hAnsi="宋体"/>
                      <w:color w:val="000000"/>
                      <w:sz w:val="18"/>
                      <w:szCs w:val="18"/>
                    </w:rPr>
                    <w:t>SS</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pPr>
                    <w:jc w:val="center"/>
                    <w:rPr>
                      <w:rFonts w:ascii="宋体" w:hAnsi="宋体"/>
                      <w:color w:val="000000" w:themeColor="text1"/>
                      <w:sz w:val="18"/>
                      <w:szCs w:val="18"/>
                    </w:rPr>
                  </w:pPr>
                  <w:r>
                    <w:rPr>
                      <w:rFonts w:hint="eastAsia" w:ascii="宋体" w:hAnsi="宋体"/>
                      <w:color w:val="000000" w:themeColor="text1"/>
                      <w:sz w:val="18"/>
                      <w:szCs w:val="18"/>
                    </w:rPr>
                    <w:t>35mg/L,3.98t/a</w:t>
                  </w:r>
                </w:p>
              </w:tc>
              <w:tc>
                <w:tcPr>
                  <w:tcW w:w="257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themeColor="text1"/>
                      <w:sz w:val="18"/>
                      <w:szCs w:val="18"/>
                    </w:rPr>
                  </w:pPr>
                  <w:r>
                    <w:rPr>
                      <w:rFonts w:hint="eastAsia" w:ascii="宋体" w:hAnsi="宋体"/>
                      <w:color w:val="000000" w:themeColor="text1"/>
                      <w:sz w:val="18"/>
                      <w:szCs w:val="18"/>
                    </w:rPr>
                    <w:t>28mg/L,3.19t/a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19"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 w:val="18"/>
                      <w:szCs w:val="18"/>
                    </w:rPr>
                  </w:pP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sz w:val="18"/>
                      <w:szCs w:val="18"/>
                    </w:rPr>
                  </w:pPr>
                  <w:r>
                    <w:rPr>
                      <w:rFonts w:hint="eastAsia" w:ascii="宋体" w:hAnsi="宋体"/>
                      <w:color w:val="000000"/>
                      <w:sz w:val="18"/>
                      <w:szCs w:val="18"/>
                    </w:rPr>
                    <w:t>NH</w:t>
                  </w:r>
                  <w:r>
                    <w:rPr>
                      <w:rFonts w:hint="eastAsia" w:ascii="宋体" w:hAnsi="宋体"/>
                      <w:color w:val="000000"/>
                      <w:sz w:val="18"/>
                      <w:szCs w:val="18"/>
                      <w:vertAlign w:val="subscript"/>
                    </w:rPr>
                    <w:t>3</w:t>
                  </w:r>
                  <w:r>
                    <w:rPr>
                      <w:rFonts w:hint="eastAsia" w:ascii="宋体" w:hAnsi="宋体"/>
                      <w:color w:val="000000"/>
                      <w:sz w:val="18"/>
                      <w:szCs w:val="18"/>
                    </w:rPr>
                    <w:t>-N</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pPr>
                    <w:jc w:val="center"/>
                    <w:rPr>
                      <w:rFonts w:ascii="宋体" w:hAnsi="宋体"/>
                      <w:color w:val="000000" w:themeColor="text1"/>
                      <w:sz w:val="18"/>
                      <w:szCs w:val="18"/>
                    </w:rPr>
                  </w:pPr>
                  <w:r>
                    <w:rPr>
                      <w:rFonts w:hint="eastAsia" w:ascii="宋体" w:hAnsi="宋体"/>
                      <w:color w:val="000000" w:themeColor="text1"/>
                      <w:sz w:val="18"/>
                      <w:szCs w:val="18"/>
                    </w:rPr>
                    <w:t>250mg/L,28.45t/a</w:t>
                  </w:r>
                </w:p>
              </w:tc>
              <w:tc>
                <w:tcPr>
                  <w:tcW w:w="257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themeColor="text1"/>
                      <w:sz w:val="18"/>
                      <w:szCs w:val="18"/>
                    </w:rPr>
                  </w:pPr>
                  <w:r>
                    <w:rPr>
                      <w:rFonts w:hint="eastAsia" w:ascii="宋体" w:hAnsi="宋体"/>
                      <w:color w:val="000000" w:themeColor="text1"/>
                      <w:sz w:val="18"/>
                      <w:szCs w:val="18"/>
                    </w:rPr>
                    <w:t>75mg/L,8.54t/a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5"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 w:val="18"/>
                      <w:szCs w:val="18"/>
                    </w:rPr>
                  </w:pP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sz w:val="18"/>
                      <w:szCs w:val="18"/>
                    </w:rPr>
                  </w:pPr>
                  <w:r>
                    <w:rPr>
                      <w:rFonts w:hint="eastAsia" w:ascii="宋体" w:hAnsi="宋体"/>
                      <w:color w:val="000000"/>
                      <w:sz w:val="18"/>
                      <w:szCs w:val="18"/>
                    </w:rPr>
                    <w:t>动植物油</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pPr>
                    <w:jc w:val="center"/>
                    <w:rPr>
                      <w:rFonts w:ascii="宋体" w:hAnsi="宋体"/>
                      <w:color w:val="000000" w:themeColor="text1"/>
                      <w:sz w:val="18"/>
                      <w:szCs w:val="18"/>
                    </w:rPr>
                  </w:pPr>
                  <w:r>
                    <w:rPr>
                      <w:rFonts w:hint="eastAsia" w:ascii="宋体" w:hAnsi="宋体"/>
                      <w:color w:val="000000" w:themeColor="text1"/>
                      <w:sz w:val="18"/>
                      <w:szCs w:val="18"/>
                    </w:rPr>
                    <w:t>50mg/L,5.69t/a</w:t>
                  </w:r>
                </w:p>
              </w:tc>
              <w:tc>
                <w:tcPr>
                  <w:tcW w:w="2570"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themeColor="text1"/>
                      <w:sz w:val="18"/>
                      <w:szCs w:val="18"/>
                    </w:rPr>
                  </w:pPr>
                  <w:r>
                    <w:rPr>
                      <w:rFonts w:hint="eastAsia" w:ascii="宋体" w:hAnsi="宋体"/>
                      <w:color w:val="000000" w:themeColor="text1"/>
                      <w:sz w:val="18"/>
                      <w:szCs w:val="18"/>
                    </w:rPr>
                    <w:t>10mg/L,1.14t/a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7" w:hRule="atLeast"/>
                <w:jc w:val="center"/>
              </w:trPr>
              <w:tc>
                <w:tcPr>
                  <w:tcW w:w="978" w:type="dxa"/>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固体污染物</w:t>
                  </w:r>
                </w:p>
              </w:tc>
              <w:tc>
                <w:tcPr>
                  <w:tcW w:w="374" w:type="dxa"/>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textAlignment w:val="baseline"/>
                    <w:rPr>
                      <w:rFonts w:ascii="宋体" w:hAnsi="宋体"/>
                      <w:color w:val="000000"/>
                      <w:szCs w:val="21"/>
                    </w:rPr>
                  </w:pPr>
                  <w:r>
                    <w:rPr>
                      <w:rFonts w:hint="eastAsia" w:ascii="宋体" w:hAnsi="宋体"/>
                      <w:color w:val="000000"/>
                      <w:szCs w:val="21"/>
                    </w:rPr>
                    <w:t>施工期</w:t>
                  </w: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建筑</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建筑垃圾</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Fonts w:ascii="宋体" w:hAnsi="宋体"/>
                      <w:color w:val="000000" w:themeColor="text1"/>
                      <w:sz w:val="18"/>
                      <w:szCs w:val="18"/>
                    </w:rPr>
                  </w:pPr>
                  <w:r>
                    <w:rPr>
                      <w:rFonts w:hint="eastAsia" w:ascii="宋体" w:hAnsi="宋体"/>
                      <w:color w:val="000000" w:themeColor="text1"/>
                      <w:sz w:val="18"/>
                      <w:szCs w:val="18"/>
                    </w:rPr>
                    <w:t>210.1t</w:t>
                  </w:r>
                </w:p>
              </w:tc>
              <w:tc>
                <w:tcPr>
                  <w:tcW w:w="25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baseline"/>
                    <w:rPr>
                      <w:rFonts w:ascii="宋体" w:hAnsi="宋体"/>
                      <w:color w:val="000000"/>
                      <w:spacing w:val="-6"/>
                      <w:sz w:val="18"/>
                      <w:szCs w:val="18"/>
                    </w:rPr>
                  </w:pPr>
                  <w:r>
                    <w:rPr>
                      <w:rFonts w:hint="eastAsia" w:cs="宋体"/>
                      <w:sz w:val="18"/>
                      <w:szCs w:val="18"/>
                    </w:rPr>
                    <w:t>市政部门指定的填埋地进行填埋</w:t>
                  </w:r>
                  <w:r>
                    <w:rPr>
                      <w:rFonts w:hint="eastAsia" w:ascii="宋体" w:hAnsi="宋体"/>
                      <w:color w:val="000000"/>
                      <w:spacing w:val="-6"/>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7"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施工人员</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生活垃圾</w:t>
                  </w:r>
                </w:p>
              </w:tc>
              <w:tc>
                <w:tcPr>
                  <w:tcW w:w="5067"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pacing w:val="-6"/>
                      <w:sz w:val="18"/>
                      <w:szCs w:val="18"/>
                    </w:rPr>
                  </w:pPr>
                  <w:r>
                    <w:rPr>
                      <w:rFonts w:hint="eastAsia" w:ascii="宋体" w:hAnsi="宋体"/>
                      <w:color w:val="000000"/>
                      <w:sz w:val="18"/>
                      <w:szCs w:val="18"/>
                    </w:rPr>
                    <w:t>施工人员不在场内食宿，生活垃圾产生量少，收集后由环卫部门清运。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7"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营运运期期</w:t>
                  </w: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客房、办公等</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生活垃圾</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olor w:val="000000"/>
                      <w:sz w:val="18"/>
                      <w:szCs w:val="18"/>
                    </w:rPr>
                  </w:pPr>
                  <w:r>
                    <w:rPr>
                      <w:rFonts w:hint="eastAsia" w:ascii="宋体" w:hAnsi="宋体"/>
                      <w:color w:val="000000"/>
                      <w:sz w:val="18"/>
                      <w:szCs w:val="18"/>
                    </w:rPr>
                    <w:t>378.87t/a</w:t>
                  </w:r>
                </w:p>
              </w:tc>
              <w:tc>
                <w:tcPr>
                  <w:tcW w:w="2570" w:type="dxa"/>
                  <w:tcBorders>
                    <w:top w:val="single" w:color="auto" w:sz="4" w:space="0"/>
                    <w:left w:val="single" w:color="auto" w:sz="4" w:space="0"/>
                    <w:bottom w:val="single" w:color="auto" w:sz="4" w:space="0"/>
                    <w:right w:val="single" w:color="auto" w:sz="4" w:space="0"/>
                  </w:tcBorders>
                </w:tcPr>
                <w:p>
                  <w:pPr>
                    <w:jc w:val="center"/>
                    <w:rPr>
                      <w:color w:val="0070C0"/>
                      <w:sz w:val="18"/>
                      <w:szCs w:val="18"/>
                    </w:rPr>
                  </w:pPr>
                  <w:r>
                    <w:rPr>
                      <w:rFonts w:ascii="宋体" w:hAnsi="宋体"/>
                      <w:sz w:val="18"/>
                      <w:szCs w:val="18"/>
                    </w:rPr>
                    <w:t>由环卫部门</w:t>
                  </w:r>
                  <w:r>
                    <w:rPr>
                      <w:rFonts w:hint="eastAsia" w:ascii="宋体" w:hAnsi="宋体"/>
                      <w:sz w:val="18"/>
                      <w:szCs w:val="18"/>
                    </w:rPr>
                    <w:t>清运至洪江市</w:t>
                  </w:r>
                  <w:r>
                    <w:rPr>
                      <w:rFonts w:ascii="宋体" w:hAnsi="宋体"/>
                      <w:sz w:val="18"/>
                      <w:szCs w:val="18"/>
                    </w:rPr>
                    <w:t>垃圾填埋场进行卫生填埋</w:t>
                  </w:r>
                  <w:r>
                    <w:rPr>
                      <w:rFonts w:hint="eastAsia" w:ascii="宋体" w:hAnsi="宋体"/>
                      <w:sz w:val="18"/>
                      <w:szCs w:val="18"/>
                    </w:rPr>
                    <w:t>，废油脂集中收集交有资质单位处理。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75"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危险固废</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离子交换树脂</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 w:val="18"/>
                      <w:szCs w:val="18"/>
                    </w:rPr>
                  </w:pPr>
                  <w:r>
                    <w:rPr>
                      <w:rFonts w:hint="eastAsia" w:ascii="宋体" w:hAnsi="宋体"/>
                      <w:color w:val="000000"/>
                      <w:sz w:val="18"/>
                      <w:szCs w:val="18"/>
                    </w:rPr>
                    <w:t>0.985t/a</w:t>
                  </w:r>
                </w:p>
              </w:tc>
              <w:tc>
                <w:tcPr>
                  <w:tcW w:w="25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baseline"/>
                    <w:rPr>
                      <w:rFonts w:ascii="宋体" w:hAnsi="宋体"/>
                      <w:color w:val="000000" w:themeColor="text1"/>
                      <w:sz w:val="18"/>
                      <w:szCs w:val="18"/>
                    </w:rPr>
                  </w:pPr>
                  <w:r>
                    <w:rPr>
                      <w:rFonts w:hint="eastAsia" w:ascii="宋体" w:hAnsi="宋体"/>
                      <w:color w:val="000000" w:themeColor="text1"/>
                      <w:sz w:val="18"/>
                      <w:szCs w:val="18"/>
                    </w:rPr>
                    <w:t>委托有资质单位进行处理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20"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themeColor="text1"/>
                      <w:sz w:val="18"/>
                      <w:szCs w:val="18"/>
                    </w:rPr>
                  </w:pPr>
                  <w:r>
                    <w:rPr>
                      <w:rFonts w:hint="eastAsia" w:ascii="宋体" w:hAnsi="宋体"/>
                      <w:color w:val="000000" w:themeColor="text1"/>
                      <w:sz w:val="18"/>
                      <w:szCs w:val="18"/>
                    </w:rPr>
                    <w:t>餐饮</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themeColor="text1"/>
                      <w:sz w:val="18"/>
                      <w:szCs w:val="18"/>
                    </w:rPr>
                  </w:pPr>
                  <w:r>
                    <w:rPr>
                      <w:rStyle w:val="94"/>
                      <w:color w:val="000000" w:themeColor="text1"/>
                      <w:sz w:val="18"/>
                      <w:szCs w:val="18"/>
                    </w:rPr>
                    <w:t>餐厨垃圾</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Style w:val="233"/>
                      <w:rFonts w:ascii="宋体" w:hAnsi="宋体"/>
                      <w:color w:val="000000" w:themeColor="text1"/>
                      <w:sz w:val="18"/>
                      <w:szCs w:val="18"/>
                      <w:u w:val="single"/>
                    </w:rPr>
                  </w:pPr>
                  <w:r>
                    <w:rPr>
                      <w:rStyle w:val="94"/>
                      <w:rFonts w:hint="eastAsia"/>
                      <w:color w:val="000000" w:themeColor="text1"/>
                      <w:sz w:val="18"/>
                      <w:szCs w:val="18"/>
                    </w:rPr>
                    <w:t>100.4t</w:t>
                  </w:r>
                </w:p>
              </w:tc>
              <w:tc>
                <w:tcPr>
                  <w:tcW w:w="25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baseline"/>
                    <w:rPr>
                      <w:rFonts w:ascii="宋体" w:hAnsi="宋体"/>
                      <w:color w:val="000000" w:themeColor="text1"/>
                      <w:spacing w:val="-6"/>
                      <w:sz w:val="18"/>
                      <w:szCs w:val="18"/>
                      <w:u w:val="single"/>
                    </w:rPr>
                  </w:pPr>
                  <w:r>
                    <w:rPr>
                      <w:rFonts w:hint="eastAsia" w:ascii="宋体" w:hAnsi="宋体"/>
                      <w:color w:val="000000" w:themeColor="text1"/>
                      <w:sz w:val="18"/>
                      <w:szCs w:val="18"/>
                    </w:rPr>
                    <w:t>委托有资质单位进行处理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75" w:hRule="atLeast"/>
                <w:jc w:val="center"/>
              </w:trPr>
              <w:tc>
                <w:tcPr>
                  <w:tcW w:w="9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12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themeColor="text1"/>
                      <w:sz w:val="18"/>
                      <w:szCs w:val="18"/>
                    </w:rPr>
                  </w:pPr>
                  <w:r>
                    <w:rPr>
                      <w:rFonts w:hint="eastAsia" w:ascii="宋体" w:hAnsi="宋体"/>
                      <w:color w:val="000000" w:themeColor="text1"/>
                      <w:sz w:val="18"/>
                      <w:szCs w:val="18"/>
                    </w:rPr>
                    <w:t>隔油池</w:t>
                  </w:r>
                </w:p>
              </w:tc>
              <w:tc>
                <w:tcPr>
                  <w:tcW w:w="165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themeColor="text1"/>
                      <w:sz w:val="18"/>
                      <w:szCs w:val="18"/>
                    </w:rPr>
                  </w:pPr>
                  <w:r>
                    <w:rPr>
                      <w:rFonts w:hint="eastAsia" w:ascii="宋体" w:hAnsi="宋体"/>
                      <w:color w:val="000000" w:themeColor="text1"/>
                      <w:sz w:val="18"/>
                      <w:szCs w:val="18"/>
                    </w:rPr>
                    <w:t>废油脂</w:t>
                  </w:r>
                </w:p>
              </w:tc>
              <w:tc>
                <w:tcPr>
                  <w:tcW w:w="249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rPr>
                      <w:rStyle w:val="233"/>
                      <w:rFonts w:ascii="宋体" w:hAnsi="宋体"/>
                      <w:color w:val="000000" w:themeColor="text1"/>
                      <w:sz w:val="18"/>
                      <w:szCs w:val="18"/>
                      <w:u w:val="single"/>
                    </w:rPr>
                  </w:pPr>
                  <w:r>
                    <w:rPr>
                      <w:rStyle w:val="233"/>
                      <w:color w:val="000000" w:themeColor="text1"/>
                      <w:sz w:val="18"/>
                      <w:szCs w:val="18"/>
                    </w:rPr>
                    <w:t>少</w:t>
                  </w:r>
                  <w:r>
                    <w:rPr>
                      <w:rStyle w:val="233"/>
                      <w:rFonts w:hint="eastAsia"/>
                      <w:color w:val="000000" w:themeColor="text1"/>
                      <w:sz w:val="18"/>
                      <w:szCs w:val="18"/>
                      <w:lang w:eastAsia="zh-CN"/>
                    </w:rPr>
                    <w:t>量</w:t>
                  </w:r>
                </w:p>
              </w:tc>
              <w:tc>
                <w:tcPr>
                  <w:tcW w:w="25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baseline"/>
                    <w:rPr>
                      <w:rFonts w:ascii="宋体" w:hAnsi="宋体"/>
                      <w:color w:val="000000" w:themeColor="text1"/>
                      <w:spacing w:val="-6"/>
                      <w:sz w:val="18"/>
                      <w:szCs w:val="18"/>
                      <w:u w:val="single"/>
                    </w:rPr>
                  </w:pPr>
                  <w:r>
                    <w:rPr>
                      <w:rFonts w:hint="eastAsia" w:ascii="宋体" w:hAnsi="宋体"/>
                      <w:color w:val="000000" w:themeColor="text1"/>
                      <w:sz w:val="18"/>
                      <w:szCs w:val="18"/>
                    </w:rPr>
                    <w:t>委托有资质单位进行处理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2" w:hRule="atLeast"/>
                <w:jc w:val="center"/>
              </w:trPr>
              <w:tc>
                <w:tcPr>
                  <w:tcW w:w="97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噪声</w:t>
                  </w:r>
                </w:p>
              </w:tc>
              <w:tc>
                <w:tcPr>
                  <w:tcW w:w="8349" w:type="dxa"/>
                  <w:gridSpan w:val="5"/>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left"/>
                    <w:textAlignment w:val="baseline"/>
                    <w:rPr>
                      <w:rFonts w:ascii="宋体" w:hAnsi="宋体"/>
                      <w:color w:val="000000"/>
                      <w:szCs w:val="21"/>
                    </w:rPr>
                  </w:pPr>
                  <w:r>
                    <w:rPr>
                      <w:rFonts w:hint="eastAsia" w:ascii="宋体" w:hAnsi="宋体"/>
                      <w:color w:val="000000" w:themeColor="text1"/>
                      <w:sz w:val="18"/>
                      <w:szCs w:val="18"/>
                    </w:rPr>
                    <w:t>营运后的噪声来自源于于空调机组、冷却塔、风机、锅炉、备用发电机运行时产生的噪声等,其噪声强度达70～90dB(A)。</w:t>
                  </w:r>
                  <w:r>
                    <w:rPr>
                      <w:rFonts w:hint="eastAsia" w:ascii="宋体" w:hAnsi="宋体"/>
                      <w:color w:val="000000" w:themeColor="text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14" w:hRule="atLeast"/>
                <w:jc w:val="center"/>
              </w:trPr>
              <w:tc>
                <w:tcPr>
                  <w:tcW w:w="97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r>
                    <w:rPr>
                      <w:rFonts w:hint="eastAsia" w:ascii="宋体" w:hAnsi="宋体"/>
                      <w:color w:val="000000"/>
                      <w:szCs w:val="21"/>
                    </w:rPr>
                    <w:t>其它</w:t>
                  </w:r>
                </w:p>
              </w:tc>
              <w:tc>
                <w:tcPr>
                  <w:tcW w:w="8349" w:type="dxa"/>
                  <w:gridSpan w:val="5"/>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spacing w:line="280" w:lineRule="exact"/>
                    <w:jc w:val="center"/>
                    <w:textAlignment w:val="baseline"/>
                    <w:rPr>
                      <w:rFonts w:ascii="宋体" w:hAnsi="宋体"/>
                      <w:color w:val="000000"/>
                      <w:szCs w:val="21"/>
                    </w:rPr>
                  </w:pPr>
                </w:p>
              </w:tc>
            </w:tr>
          </w:tbl>
          <w:p>
            <w:pPr>
              <w:spacing w:line="360" w:lineRule="auto"/>
              <w:rPr>
                <w:rFonts w:ascii="宋体" w:hAnsi="宋体"/>
                <w:b/>
                <w:color w:val="000000"/>
                <w:sz w:val="24"/>
                <w:szCs w:val="24"/>
              </w:rPr>
            </w:pPr>
            <w:r>
              <w:rPr>
                <w:rFonts w:hint="eastAsia" w:ascii="宋体" w:hAnsi="宋体"/>
                <w:b/>
                <w:color w:val="000000"/>
                <w:sz w:val="24"/>
                <w:szCs w:val="24"/>
              </w:rPr>
              <w:t>主要生态影响：</w:t>
            </w:r>
          </w:p>
          <w:p>
            <w:pPr>
              <w:spacing w:line="360" w:lineRule="auto"/>
              <w:ind w:firstLine="420" w:firstLineChars="200"/>
              <w:rPr>
                <w:rFonts w:hint="eastAsia" w:ascii="宋体" w:hAnsi="宋体"/>
                <w:bCs/>
                <w:color w:val="000000"/>
                <w:sz w:val="21"/>
                <w:szCs w:val="21"/>
              </w:rPr>
            </w:pPr>
            <w:r>
              <w:rPr>
                <w:rFonts w:hint="eastAsia" w:ascii="宋体" w:hAnsi="宋体"/>
                <w:bCs/>
                <w:color w:val="000000"/>
                <w:sz w:val="21"/>
                <w:szCs w:val="21"/>
              </w:rPr>
              <w:t>工程生态环境影响主要表现为因对土地的永久性占用 ，改变了土地利用类型，破坏地表植被；改变原有地形地貌，施工期间产生的弃土、渣和地表开挖，填筑形成的裸露边坡而引起的水土流失；工程施便道及场地由于地表植被的破坏，使土壤裸露、加剧水土流失的程度。</w:t>
            </w:r>
          </w:p>
          <w:p>
            <w:pPr>
              <w:spacing w:line="360" w:lineRule="auto"/>
              <w:rPr>
                <w:rFonts w:hint="eastAsia" w:ascii="宋体" w:hAnsi="宋体"/>
                <w:bCs/>
                <w:color w:val="000000"/>
                <w:sz w:val="21"/>
                <w:szCs w:val="21"/>
              </w:rPr>
            </w:pPr>
          </w:p>
        </w:tc>
      </w:tr>
    </w:tbl>
    <w:p>
      <w:pPr>
        <w:pStyle w:val="2"/>
        <w:keepLines/>
        <w:pageBreakBefore/>
        <w:rPr>
          <w:rFonts w:ascii="宋体" w:hAnsi="宋体"/>
          <w:b/>
          <w:color w:val="000000"/>
          <w:kern w:val="44"/>
          <w:sz w:val="30"/>
        </w:rPr>
      </w:pPr>
      <w:bookmarkStart w:id="15" w:name="_Toc509236305"/>
      <w:r>
        <w:rPr>
          <w:rFonts w:ascii="宋体" w:hAnsi="宋体"/>
          <w:b/>
          <w:color w:val="000000"/>
          <w:kern w:val="44"/>
          <w:sz w:val="30"/>
        </w:rPr>
        <w:t>环境影响分析</w:t>
      </w:r>
      <w:bookmarkEnd w:id="14"/>
      <w:bookmarkEnd w:id="15"/>
    </w:p>
    <w:tbl>
      <w:tblPr>
        <w:tblStyle w:val="42"/>
        <w:tblW w:w="9331"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3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48" w:hRule="atLeast"/>
          <w:jc w:val="center"/>
        </w:trPr>
        <w:tc>
          <w:tcPr>
            <w:tcW w:w="9331" w:type="dxa"/>
          </w:tcPr>
          <w:p>
            <w:pPr>
              <w:spacing w:line="360" w:lineRule="auto"/>
              <w:rPr>
                <w:rFonts w:ascii="宋体" w:hAnsi="宋体"/>
                <w:b/>
                <w:color w:val="000000"/>
                <w:sz w:val="24"/>
                <w:szCs w:val="24"/>
              </w:rPr>
            </w:pPr>
            <w:r>
              <w:rPr>
                <w:rFonts w:ascii="宋体" w:hAnsi="宋体"/>
                <w:b/>
                <w:color w:val="000000"/>
                <w:sz w:val="24"/>
                <w:szCs w:val="24"/>
              </w:rPr>
              <w:t>施工期环境影响简要分析：</w:t>
            </w:r>
          </w:p>
          <w:p>
            <w:pPr>
              <w:spacing w:line="400" w:lineRule="exact"/>
              <w:ind w:firstLine="480" w:firstLineChars="200"/>
              <w:rPr>
                <w:rFonts w:ascii="宋体" w:hAnsi="宋体"/>
                <w:bCs/>
                <w:color w:val="000000"/>
                <w:sz w:val="24"/>
              </w:rPr>
            </w:pPr>
            <w:r>
              <w:rPr>
                <w:rFonts w:hint="eastAsia" w:ascii="宋体" w:hAnsi="宋体"/>
                <w:bCs/>
                <w:color w:val="000000"/>
                <w:sz w:val="24"/>
              </w:rPr>
              <w:t>施工期对环境的影响主要表现为施工噪声、固体污染物、扬尘、施工废水等对环境的影响。</w:t>
            </w:r>
          </w:p>
          <w:p>
            <w:pPr>
              <w:pStyle w:val="248"/>
              <w:spacing w:after="63" w:line="400" w:lineRule="exact"/>
              <w:ind w:firstLine="482"/>
              <w:rPr>
                <w:bCs/>
                <w:color w:val="000000"/>
              </w:rPr>
            </w:pPr>
            <w:r>
              <w:rPr>
                <w:rFonts w:hint="eastAsia"/>
                <w:bCs/>
                <w:color w:val="000000"/>
              </w:rPr>
              <w:t>（一）施工期大气环境影响分析及环境保护措施</w:t>
            </w:r>
          </w:p>
          <w:p>
            <w:pPr>
              <w:spacing w:line="400" w:lineRule="exact"/>
              <w:ind w:firstLine="480" w:firstLineChars="200"/>
              <w:rPr>
                <w:rFonts w:ascii="宋体" w:hAnsi="宋体"/>
                <w:color w:val="000000"/>
                <w:sz w:val="24"/>
              </w:rPr>
            </w:pPr>
            <w:r>
              <w:rPr>
                <w:rFonts w:ascii="宋体" w:hAnsi="宋体"/>
                <w:color w:val="000000"/>
                <w:sz w:val="24"/>
              </w:rPr>
              <w:t>该项目建设施工过程中的大气污染主要来自于施工场地的扬尘，其次为运输车辆及施工机械排放的废气及装修产生的废气等。施工期间主要的空气污染物为TSP、NO</w:t>
            </w:r>
            <w:r>
              <w:rPr>
                <w:rFonts w:ascii="宋体" w:hAnsi="宋体"/>
                <w:color w:val="000000"/>
                <w:sz w:val="24"/>
                <w:vertAlign w:val="subscript"/>
              </w:rPr>
              <w:t>X</w:t>
            </w:r>
            <w:r>
              <w:rPr>
                <w:rFonts w:ascii="宋体" w:hAnsi="宋体"/>
                <w:color w:val="000000"/>
                <w:sz w:val="24"/>
              </w:rPr>
              <w:t>、CO、THC。</w:t>
            </w:r>
          </w:p>
          <w:p>
            <w:pPr>
              <w:pStyle w:val="9"/>
              <w:spacing w:line="400" w:lineRule="exact"/>
              <w:ind w:firstLine="480"/>
              <w:rPr>
                <w:rFonts w:ascii="宋体" w:hAnsi="宋体"/>
                <w:sz w:val="24"/>
                <w:szCs w:val="24"/>
              </w:rPr>
            </w:pPr>
            <w:r>
              <w:rPr>
                <w:rFonts w:ascii="宋体" w:hAnsi="宋体"/>
                <w:sz w:val="24"/>
              </w:rPr>
              <w:t>1</w:t>
            </w:r>
            <w:r>
              <w:rPr>
                <w:rFonts w:hint="eastAsia" w:ascii="宋体" w:hAnsi="宋体"/>
                <w:sz w:val="24"/>
              </w:rPr>
              <w:t>、</w:t>
            </w:r>
            <w:r>
              <w:rPr>
                <w:rFonts w:ascii="宋体" w:hAnsi="宋体"/>
                <w:sz w:val="24"/>
                <w:szCs w:val="24"/>
              </w:rPr>
              <w:t>扬尘</w:t>
            </w:r>
          </w:p>
          <w:p>
            <w:pPr>
              <w:pStyle w:val="9"/>
              <w:spacing w:line="400" w:lineRule="exact"/>
              <w:ind w:firstLine="480"/>
              <w:rPr>
                <w:rFonts w:ascii="宋体" w:hAnsi="宋体"/>
                <w:sz w:val="24"/>
                <w:szCs w:val="24"/>
              </w:rPr>
            </w:pPr>
            <w:r>
              <w:rPr>
                <w:rFonts w:ascii="宋体" w:hAnsi="宋体"/>
                <w:sz w:val="24"/>
                <w:szCs w:val="24"/>
              </w:rPr>
              <w:t>施工扬尘的产生与影响是有时间性的，它随着施工的结束而自行消失。</w:t>
            </w:r>
          </w:p>
          <w:p>
            <w:pPr>
              <w:pStyle w:val="9"/>
              <w:spacing w:line="400" w:lineRule="exact"/>
              <w:ind w:firstLine="480"/>
              <w:rPr>
                <w:rFonts w:ascii="宋体" w:hAnsi="宋体"/>
                <w:kern w:val="28"/>
                <w:sz w:val="24"/>
                <w:szCs w:val="24"/>
              </w:rPr>
            </w:pPr>
            <w:r>
              <w:rPr>
                <w:rFonts w:ascii="宋体" w:hAnsi="宋体"/>
                <w:kern w:val="28"/>
                <w:sz w:val="24"/>
                <w:szCs w:val="24"/>
              </w:rPr>
              <w:t>在整个施工期，产生扬尘的作业有土地平整、基础开挖、回填、道路浇注、建材</w:t>
            </w:r>
            <w:r>
              <w:rPr>
                <w:rFonts w:hint="eastAsia" w:ascii="宋体" w:hAnsi="宋体"/>
                <w:kern w:val="28"/>
                <w:sz w:val="24"/>
                <w:szCs w:val="24"/>
              </w:rPr>
              <w:t>、土方</w:t>
            </w:r>
            <w:r>
              <w:rPr>
                <w:rFonts w:ascii="宋体" w:hAnsi="宋体"/>
                <w:kern w:val="28"/>
                <w:sz w:val="24"/>
                <w:szCs w:val="24"/>
              </w:rPr>
              <w:t>运输、露天堆放、装卸和搅拌等过程，如遇干旱无雨季节，加上大风，施工扬尘将更严重。</w:t>
            </w:r>
          </w:p>
          <w:p>
            <w:pPr>
              <w:pStyle w:val="9"/>
              <w:spacing w:line="400" w:lineRule="exact"/>
              <w:ind w:firstLine="480"/>
              <w:rPr>
                <w:rFonts w:ascii="宋体" w:hAnsi="宋体"/>
                <w:kern w:val="28"/>
                <w:sz w:val="24"/>
                <w:szCs w:val="24"/>
              </w:rPr>
            </w:pPr>
            <w:r>
              <w:rPr>
                <w:rFonts w:ascii="宋体" w:hAnsi="宋体"/>
                <w:kern w:val="28"/>
                <w:sz w:val="24"/>
                <w:szCs w:val="24"/>
              </w:rPr>
              <w:t>（1）运输扬尘</w:t>
            </w:r>
          </w:p>
          <w:p>
            <w:pPr>
              <w:pStyle w:val="9"/>
              <w:spacing w:line="400" w:lineRule="exact"/>
              <w:ind w:firstLine="480"/>
              <w:rPr>
                <w:rFonts w:ascii="宋体" w:hAnsi="宋体"/>
                <w:szCs w:val="24"/>
              </w:rPr>
            </w:pPr>
            <w:r>
              <w:rPr>
                <w:rFonts w:ascii="宋体" w:hAnsi="宋体"/>
                <w:sz w:val="24"/>
                <w:szCs w:val="24"/>
              </w:rPr>
              <w:t>施工及装卸车辆行驶产生的扬尘， 在完全干燥情况下，可按下列经验公式计算</w:t>
            </w:r>
            <w:r>
              <w:rPr>
                <w:rFonts w:ascii="宋体" w:hAnsi="宋体"/>
                <w:szCs w:val="24"/>
              </w:rPr>
              <w:t>：</w:t>
            </w:r>
          </w:p>
          <w:p>
            <w:pPr>
              <w:spacing w:line="380" w:lineRule="atLeast"/>
              <w:jc w:val="center"/>
              <w:rPr>
                <w:rFonts w:ascii="宋体" w:hAnsi="宋体"/>
                <w:kern w:val="28"/>
                <w:sz w:val="24"/>
              </w:rPr>
            </w:pPr>
            <w:r>
              <w:rPr>
                <w:rFonts w:ascii="宋体" w:hAnsi="宋体"/>
                <w:kern w:val="28"/>
                <w:position w:val="-28"/>
                <w:sz w:val="24"/>
              </w:rPr>
              <w:object>
                <v:shape id="_x0000_i1025" o:spt="75" type="#_x0000_t75" style="height:33.8pt;width:150.9pt;" o:ole="t" fillcolor="#6D6D6D" filled="f" o:preferrelative="t" stroked="f" coordsize="21600,21600">
                  <v:path/>
                  <v:fill on="f" focussize="0,0"/>
                  <v:stroke on="f" joinstyle="miter"/>
                  <v:imagedata r:id="rId17" o:title=""/>
                  <o:lock v:ext="edit" aspectratio="t"/>
                  <w10:wrap type="none"/>
                  <w10:anchorlock/>
                </v:shape>
                <o:OLEObject Type="Embed" ProgID="Equation.3" ShapeID="_x0000_i1025" DrawAspect="Content" ObjectID="_1468075725" r:id="rId16">
                  <o:LockedField>false</o:LockedField>
                </o:OLEObject>
              </w:object>
            </w:r>
          </w:p>
          <w:p>
            <w:pPr>
              <w:spacing w:line="380" w:lineRule="atLeast"/>
              <w:ind w:firstLine="480" w:firstLineChars="200"/>
              <w:rPr>
                <w:rFonts w:ascii="宋体" w:hAnsi="宋体"/>
                <w:kern w:val="28"/>
                <w:sz w:val="24"/>
              </w:rPr>
            </w:pPr>
            <w:r>
              <w:rPr>
                <w:rFonts w:ascii="宋体" w:hAnsi="宋体"/>
                <w:kern w:val="28"/>
                <w:sz w:val="24"/>
              </w:rPr>
              <w:t>式中：Q——汽车行驶的扬尘，kg/km·辆；</w:t>
            </w:r>
          </w:p>
          <w:p>
            <w:pPr>
              <w:spacing w:line="380" w:lineRule="atLeast"/>
              <w:ind w:firstLine="480" w:firstLineChars="200"/>
              <w:rPr>
                <w:rFonts w:ascii="宋体" w:hAnsi="宋体"/>
                <w:kern w:val="28"/>
                <w:sz w:val="24"/>
              </w:rPr>
            </w:pPr>
            <w:r>
              <w:rPr>
                <w:rFonts w:ascii="宋体" w:hAnsi="宋体"/>
                <w:kern w:val="28"/>
                <w:sz w:val="24"/>
              </w:rPr>
              <w:t xml:space="preserve">      V——汽车速度，km/h；</w:t>
            </w:r>
          </w:p>
          <w:p>
            <w:pPr>
              <w:spacing w:line="380" w:lineRule="atLeast"/>
              <w:ind w:firstLine="480" w:firstLineChars="200"/>
              <w:rPr>
                <w:rFonts w:ascii="宋体" w:hAnsi="宋体"/>
                <w:kern w:val="28"/>
                <w:sz w:val="24"/>
              </w:rPr>
            </w:pPr>
            <w:r>
              <w:rPr>
                <w:rFonts w:ascii="宋体" w:hAnsi="宋体"/>
                <w:kern w:val="28"/>
                <w:sz w:val="24"/>
              </w:rPr>
              <w:t xml:space="preserve">      W——汽车载重量，t；</w:t>
            </w:r>
          </w:p>
          <w:p>
            <w:pPr>
              <w:spacing w:line="380" w:lineRule="atLeast"/>
              <w:ind w:firstLine="480" w:firstLineChars="200"/>
              <w:rPr>
                <w:rFonts w:ascii="宋体" w:hAnsi="宋体"/>
                <w:color w:val="000000" w:themeColor="text1"/>
                <w:kern w:val="28"/>
                <w:sz w:val="24"/>
              </w:rPr>
            </w:pPr>
            <w:r>
              <w:rPr>
                <w:rFonts w:ascii="宋体" w:hAnsi="宋体"/>
                <w:color w:val="000000" w:themeColor="text1"/>
                <w:kern w:val="28"/>
                <w:sz w:val="24"/>
              </w:rPr>
              <w:t xml:space="preserve">      P——道路表面粉尘量，kg/m</w:t>
            </w:r>
            <w:r>
              <w:rPr>
                <w:rFonts w:ascii="宋体" w:hAnsi="宋体"/>
                <w:color w:val="000000" w:themeColor="text1"/>
                <w:kern w:val="28"/>
                <w:sz w:val="24"/>
                <w:vertAlign w:val="superscript"/>
              </w:rPr>
              <w:t>2</w:t>
            </w:r>
            <w:r>
              <w:rPr>
                <w:rFonts w:ascii="宋体" w:hAnsi="宋体"/>
                <w:color w:val="000000" w:themeColor="text1"/>
                <w:kern w:val="28"/>
                <w:sz w:val="24"/>
              </w:rPr>
              <w:t>。</w:t>
            </w:r>
          </w:p>
          <w:p>
            <w:pPr>
              <w:spacing w:line="380" w:lineRule="atLeast"/>
              <w:ind w:firstLine="480" w:firstLineChars="200"/>
              <w:rPr>
                <w:rFonts w:ascii="宋体" w:hAnsi="宋体"/>
                <w:color w:val="000000" w:themeColor="text1"/>
                <w:kern w:val="28"/>
                <w:sz w:val="24"/>
              </w:rPr>
            </w:pPr>
            <w:r>
              <w:rPr>
                <w:rFonts w:ascii="宋体" w:hAnsi="宋体"/>
                <w:color w:val="000000" w:themeColor="text1"/>
                <w:kern w:val="28"/>
                <w:sz w:val="24"/>
              </w:rPr>
              <w:t>表</w:t>
            </w:r>
            <w:r>
              <w:rPr>
                <w:rFonts w:hint="eastAsia" w:ascii="宋体" w:hAnsi="宋体"/>
                <w:color w:val="000000" w:themeColor="text1"/>
                <w:kern w:val="28"/>
                <w:sz w:val="24"/>
              </w:rPr>
              <w:t>15</w:t>
            </w:r>
            <w:r>
              <w:rPr>
                <w:rFonts w:ascii="宋体" w:hAnsi="宋体"/>
                <w:color w:val="000000" w:themeColor="text1"/>
                <w:kern w:val="28"/>
                <w:sz w:val="24"/>
              </w:rPr>
              <w:t>为一辆载重5吨的卡车，通过一段长度为500米的路面时，不同路面清洁程度，不同行驶速度情况下产生的扬尘量。由此可见，在同样路面清洁情况下，车速越快，扬尘量越大；而在同样车速情况下，路面清洁度越差，则扬尘量越大。</w:t>
            </w:r>
          </w:p>
          <w:p>
            <w:pPr>
              <w:spacing w:line="360" w:lineRule="auto"/>
              <w:jc w:val="center"/>
              <w:rPr>
                <w:rFonts w:ascii="宋体" w:hAnsi="宋体"/>
                <w:color w:val="000000" w:themeColor="text1"/>
                <w:kern w:val="28"/>
                <w:sz w:val="24"/>
              </w:rPr>
            </w:pPr>
            <w:r>
              <w:rPr>
                <w:rFonts w:ascii="宋体" w:hAnsi="宋体"/>
                <w:color w:val="000000" w:themeColor="text1"/>
                <w:kern w:val="28"/>
                <w:sz w:val="24"/>
              </w:rPr>
              <w:t>表</w:t>
            </w:r>
            <w:r>
              <w:rPr>
                <w:rFonts w:hint="eastAsia" w:ascii="宋体" w:hAnsi="宋体"/>
                <w:color w:val="000000" w:themeColor="text1"/>
                <w:kern w:val="28"/>
                <w:sz w:val="24"/>
              </w:rPr>
              <w:t>15</w:t>
            </w:r>
            <w:r>
              <w:rPr>
                <w:rFonts w:ascii="宋体" w:hAnsi="宋体"/>
                <w:color w:val="000000" w:themeColor="text1"/>
                <w:kern w:val="28"/>
                <w:sz w:val="24"/>
              </w:rPr>
              <w:t>不同车速和地面清洁程度时的汽车扬尘   单位：kg/辆·公里</w:t>
            </w:r>
          </w:p>
          <w:tbl>
            <w:tblPr>
              <w:tblStyle w:val="42"/>
              <w:tblW w:w="92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04"/>
              <w:gridCol w:w="937"/>
              <w:gridCol w:w="1133"/>
              <w:gridCol w:w="1204"/>
              <w:gridCol w:w="1237"/>
              <w:gridCol w:w="1254"/>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2" w:hRule="atLeast"/>
              </w:trPr>
              <w:tc>
                <w:tcPr>
                  <w:tcW w:w="2204" w:type="dxa"/>
                  <w:tcBorders>
                    <w:top w:val="single" w:color="auto" w:sz="4" w:space="0"/>
                    <w:left w:val="single" w:color="auto" w:sz="4" w:space="0"/>
                    <w:tl2br w:val="single" w:color="auto" w:sz="4" w:space="0"/>
                  </w:tcBorders>
                  <w:vAlign w:val="center"/>
                </w:tcPr>
                <w:p>
                  <w:pPr>
                    <w:widowControl/>
                    <w:spacing w:line="360" w:lineRule="auto"/>
                    <w:rPr>
                      <w:rFonts w:ascii="宋体" w:hAnsi="宋体"/>
                      <w:color w:val="000000" w:themeColor="text1"/>
                      <w:kern w:val="28"/>
                      <w:szCs w:val="21"/>
                    </w:rPr>
                  </w:pPr>
                  <w:r>
                    <w:rPr>
                      <w:rFonts w:ascii="宋体" w:hAnsi="宋体"/>
                      <w:color w:val="000000" w:themeColor="text1"/>
                      <w:kern w:val="28"/>
                      <w:szCs w:val="21"/>
                    </w:rPr>
                    <w:t xml:space="preserve">        P（kg/m</w:t>
                  </w:r>
                  <w:r>
                    <w:rPr>
                      <w:rFonts w:ascii="宋体" w:hAnsi="宋体"/>
                      <w:color w:val="000000" w:themeColor="text1"/>
                      <w:kern w:val="28"/>
                      <w:szCs w:val="21"/>
                      <w:vertAlign w:val="superscript"/>
                    </w:rPr>
                    <w:t>2</w:t>
                  </w:r>
                  <w:r>
                    <w:rPr>
                      <w:rFonts w:ascii="宋体" w:hAnsi="宋体"/>
                      <w:color w:val="000000" w:themeColor="text1"/>
                      <w:kern w:val="28"/>
                      <w:szCs w:val="21"/>
                    </w:rPr>
                    <w:t>）</w:t>
                  </w:r>
                </w:p>
                <w:p>
                  <w:pPr>
                    <w:widowControl/>
                    <w:spacing w:line="360" w:lineRule="auto"/>
                    <w:rPr>
                      <w:rFonts w:ascii="宋体" w:hAnsi="宋体"/>
                      <w:color w:val="000000" w:themeColor="text1"/>
                      <w:kern w:val="28"/>
                      <w:szCs w:val="21"/>
                    </w:rPr>
                  </w:pPr>
                  <w:r>
                    <w:rPr>
                      <w:rFonts w:ascii="宋体" w:hAnsi="宋体"/>
                      <w:color w:val="000000" w:themeColor="text1"/>
                      <w:kern w:val="28"/>
                      <w:szCs w:val="21"/>
                    </w:rPr>
                    <w:t>车速（km/h）</w:t>
                  </w:r>
                </w:p>
              </w:tc>
              <w:tc>
                <w:tcPr>
                  <w:tcW w:w="937" w:type="dxa"/>
                  <w:tcBorders>
                    <w:top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w:t>
                  </w:r>
                </w:p>
              </w:tc>
              <w:tc>
                <w:tcPr>
                  <w:tcW w:w="1133" w:type="dxa"/>
                  <w:tcBorders>
                    <w:top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0.2</w:t>
                  </w:r>
                </w:p>
              </w:tc>
              <w:tc>
                <w:tcPr>
                  <w:tcW w:w="1204" w:type="dxa"/>
                  <w:tcBorders>
                    <w:top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0.3</w:t>
                  </w:r>
                </w:p>
              </w:tc>
              <w:tc>
                <w:tcPr>
                  <w:tcW w:w="1237" w:type="dxa"/>
                  <w:tcBorders>
                    <w:top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0.4</w:t>
                  </w:r>
                </w:p>
              </w:tc>
              <w:tc>
                <w:tcPr>
                  <w:tcW w:w="1254" w:type="dxa"/>
                  <w:tcBorders>
                    <w:top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0.5</w:t>
                  </w:r>
                </w:p>
              </w:tc>
              <w:tc>
                <w:tcPr>
                  <w:tcW w:w="1263" w:type="dxa"/>
                  <w:tcBorders>
                    <w:top w:val="single" w:color="auto" w:sz="4" w:space="0"/>
                    <w:right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7" w:hRule="atLeast"/>
              </w:trPr>
              <w:tc>
                <w:tcPr>
                  <w:tcW w:w="2204" w:type="dxa"/>
                  <w:tcBorders>
                    <w:left w:val="single" w:color="auto" w:sz="4" w:space="0"/>
                  </w:tcBorders>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5</w:t>
                  </w:r>
                </w:p>
              </w:tc>
              <w:tc>
                <w:tcPr>
                  <w:tcW w:w="937"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0.0283</w:t>
                  </w:r>
                </w:p>
              </w:tc>
              <w:tc>
                <w:tcPr>
                  <w:tcW w:w="1133"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0.047</w:t>
                  </w:r>
                </w:p>
              </w:tc>
              <w:tc>
                <w:tcPr>
                  <w:tcW w:w="1204"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0.0646</w:t>
                  </w:r>
                </w:p>
              </w:tc>
              <w:tc>
                <w:tcPr>
                  <w:tcW w:w="1237"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0.0801</w:t>
                  </w:r>
                </w:p>
              </w:tc>
              <w:tc>
                <w:tcPr>
                  <w:tcW w:w="1254"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0.0947</w:t>
                  </w:r>
                </w:p>
              </w:tc>
              <w:tc>
                <w:tcPr>
                  <w:tcW w:w="1263" w:type="dxa"/>
                  <w:tcBorders>
                    <w:right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2" w:hRule="atLeast"/>
              </w:trPr>
              <w:tc>
                <w:tcPr>
                  <w:tcW w:w="2204" w:type="dxa"/>
                  <w:tcBorders>
                    <w:left w:val="single" w:color="auto" w:sz="4" w:space="0"/>
                  </w:tcBorders>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10</w:t>
                  </w:r>
                </w:p>
              </w:tc>
              <w:tc>
                <w:tcPr>
                  <w:tcW w:w="937"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0.0566</w:t>
                  </w:r>
                </w:p>
              </w:tc>
              <w:tc>
                <w:tcPr>
                  <w:tcW w:w="1133"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0.0953</w:t>
                  </w:r>
                </w:p>
              </w:tc>
              <w:tc>
                <w:tcPr>
                  <w:tcW w:w="1204"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0.1291</w:t>
                  </w:r>
                </w:p>
              </w:tc>
              <w:tc>
                <w:tcPr>
                  <w:tcW w:w="1237"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0.1602</w:t>
                  </w:r>
                </w:p>
              </w:tc>
              <w:tc>
                <w:tcPr>
                  <w:tcW w:w="1254"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0.1894</w:t>
                  </w:r>
                </w:p>
              </w:tc>
              <w:tc>
                <w:tcPr>
                  <w:tcW w:w="1263" w:type="dxa"/>
                  <w:tcBorders>
                    <w:right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0.3186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2" w:hRule="atLeast"/>
              </w:trPr>
              <w:tc>
                <w:tcPr>
                  <w:tcW w:w="2204" w:type="dxa"/>
                  <w:tcBorders>
                    <w:left w:val="single" w:color="auto" w:sz="4" w:space="0"/>
                  </w:tcBorders>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15</w:t>
                  </w:r>
                </w:p>
              </w:tc>
              <w:tc>
                <w:tcPr>
                  <w:tcW w:w="937"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0.01038</w:t>
                  </w:r>
                </w:p>
              </w:tc>
              <w:tc>
                <w:tcPr>
                  <w:tcW w:w="1133"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0.1429</w:t>
                  </w:r>
                </w:p>
              </w:tc>
              <w:tc>
                <w:tcPr>
                  <w:tcW w:w="1204"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0.1937</w:t>
                  </w:r>
                </w:p>
              </w:tc>
              <w:tc>
                <w:tcPr>
                  <w:tcW w:w="1237"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0.2403</w:t>
                  </w:r>
                </w:p>
              </w:tc>
              <w:tc>
                <w:tcPr>
                  <w:tcW w:w="1254" w:type="dxa"/>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0.2841</w:t>
                  </w:r>
                </w:p>
              </w:tc>
              <w:tc>
                <w:tcPr>
                  <w:tcW w:w="1263" w:type="dxa"/>
                  <w:tcBorders>
                    <w:right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0.4778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2" w:hRule="atLeast"/>
              </w:trPr>
              <w:tc>
                <w:tcPr>
                  <w:tcW w:w="2204" w:type="dxa"/>
                  <w:tcBorders>
                    <w:left w:val="single" w:color="auto" w:sz="4" w:space="0"/>
                    <w:bottom w:val="single" w:color="auto" w:sz="4" w:space="0"/>
                  </w:tcBorders>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20</w:t>
                  </w:r>
                </w:p>
              </w:tc>
              <w:tc>
                <w:tcPr>
                  <w:tcW w:w="937" w:type="dxa"/>
                  <w:tcBorders>
                    <w:bottom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0.1133</w:t>
                  </w:r>
                </w:p>
              </w:tc>
              <w:tc>
                <w:tcPr>
                  <w:tcW w:w="1133" w:type="dxa"/>
                  <w:tcBorders>
                    <w:bottom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0.1905</w:t>
                  </w:r>
                </w:p>
              </w:tc>
              <w:tc>
                <w:tcPr>
                  <w:tcW w:w="1204" w:type="dxa"/>
                  <w:tcBorders>
                    <w:bottom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0.2583</w:t>
                  </w:r>
                </w:p>
              </w:tc>
              <w:tc>
                <w:tcPr>
                  <w:tcW w:w="1237" w:type="dxa"/>
                  <w:tcBorders>
                    <w:bottom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0.3204</w:t>
                  </w:r>
                </w:p>
              </w:tc>
              <w:tc>
                <w:tcPr>
                  <w:tcW w:w="1254" w:type="dxa"/>
                  <w:tcBorders>
                    <w:bottom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0.3788</w:t>
                  </w:r>
                </w:p>
              </w:tc>
              <w:tc>
                <w:tcPr>
                  <w:tcW w:w="1263" w:type="dxa"/>
                  <w:tcBorders>
                    <w:bottom w:val="single" w:color="auto" w:sz="4" w:space="0"/>
                    <w:right w:val="single" w:color="auto" w:sz="4" w:space="0"/>
                  </w:tcBorders>
                  <w:vAlign w:val="center"/>
                </w:tcPr>
                <w:p>
                  <w:pPr>
                    <w:spacing w:line="360" w:lineRule="auto"/>
                    <w:jc w:val="center"/>
                    <w:rPr>
                      <w:rFonts w:ascii="宋体" w:hAnsi="宋体"/>
                      <w:color w:val="000000" w:themeColor="text1"/>
                      <w:kern w:val="28"/>
                      <w:szCs w:val="21"/>
                    </w:rPr>
                  </w:pPr>
                  <w:r>
                    <w:rPr>
                      <w:rFonts w:ascii="宋体" w:hAnsi="宋体"/>
                      <w:color w:val="000000" w:themeColor="text1"/>
                      <w:kern w:val="28"/>
                      <w:szCs w:val="21"/>
                    </w:rPr>
                    <w:t>0.6371</w:t>
                  </w:r>
                </w:p>
              </w:tc>
            </w:tr>
          </w:tbl>
          <w:p>
            <w:pPr>
              <w:spacing w:line="360" w:lineRule="auto"/>
              <w:ind w:firstLine="480" w:firstLineChars="200"/>
              <w:rPr>
                <w:rFonts w:ascii="宋体" w:hAnsi="宋体"/>
                <w:kern w:val="28"/>
                <w:sz w:val="24"/>
              </w:rPr>
            </w:pPr>
            <w:r>
              <w:rPr>
                <w:rFonts w:ascii="宋体" w:hAnsi="宋体"/>
                <w:color w:val="000000" w:themeColor="text1"/>
                <w:kern w:val="28"/>
                <w:sz w:val="24"/>
              </w:rPr>
              <w:t>如果在施工期间对车辆行驶的路面实施洒水抑尘，每天洒水4～5次，可使扬</w:t>
            </w:r>
            <w:r>
              <w:rPr>
                <w:rFonts w:ascii="宋体" w:hAnsi="宋体"/>
                <w:kern w:val="28"/>
                <w:sz w:val="24"/>
              </w:rPr>
              <w:t>尘减少70%左右。表</w:t>
            </w:r>
            <w:r>
              <w:rPr>
                <w:rFonts w:hint="eastAsia" w:ascii="宋体" w:hAnsi="宋体"/>
                <w:kern w:val="28"/>
                <w:sz w:val="24"/>
              </w:rPr>
              <w:t>24</w:t>
            </w:r>
            <w:r>
              <w:rPr>
                <w:rFonts w:ascii="宋体" w:hAnsi="宋体"/>
                <w:kern w:val="28"/>
                <w:sz w:val="24"/>
              </w:rPr>
              <w:t>为施工场地洒水抑尘的试验结果，结果表明实施每天洒水4～5次进行抑尘，可有效地控制施工扬尘，可将TSP污染距离缩小到20～50m范围。</w:t>
            </w:r>
          </w:p>
          <w:p>
            <w:pPr>
              <w:spacing w:line="360" w:lineRule="auto"/>
              <w:jc w:val="center"/>
              <w:rPr>
                <w:rFonts w:ascii="宋体" w:hAnsi="宋体"/>
                <w:kern w:val="28"/>
                <w:sz w:val="24"/>
              </w:rPr>
            </w:pPr>
            <w:r>
              <w:rPr>
                <w:rFonts w:ascii="宋体" w:hAnsi="宋体"/>
                <w:color w:val="000000" w:themeColor="text1"/>
                <w:kern w:val="28"/>
                <w:sz w:val="24"/>
              </w:rPr>
              <w:t>表</w:t>
            </w:r>
            <w:r>
              <w:rPr>
                <w:rFonts w:hint="eastAsia" w:ascii="宋体" w:hAnsi="宋体"/>
                <w:color w:val="000000" w:themeColor="text1"/>
                <w:kern w:val="28"/>
                <w:sz w:val="24"/>
              </w:rPr>
              <w:t>16</w:t>
            </w:r>
            <w:r>
              <w:rPr>
                <w:rFonts w:ascii="宋体" w:hAnsi="宋体"/>
                <w:color w:val="000000" w:themeColor="text1"/>
                <w:kern w:val="28"/>
                <w:sz w:val="24"/>
              </w:rPr>
              <w:t xml:space="preserve"> </w:t>
            </w:r>
            <w:r>
              <w:rPr>
                <w:rFonts w:hint="eastAsia" w:ascii="宋体" w:hAnsi="宋体"/>
                <w:color w:val="000000" w:themeColor="text1"/>
                <w:kern w:val="28"/>
                <w:sz w:val="24"/>
              </w:rPr>
              <w:t xml:space="preserve">   </w:t>
            </w:r>
            <w:r>
              <w:rPr>
                <w:rFonts w:hint="eastAsia" w:ascii="宋体" w:hAnsi="宋体"/>
                <w:color w:val="0070C0"/>
                <w:kern w:val="28"/>
                <w:sz w:val="24"/>
              </w:rPr>
              <w:t xml:space="preserve">  </w:t>
            </w:r>
            <w:r>
              <w:rPr>
                <w:rFonts w:hint="eastAsia" w:ascii="宋体" w:hAnsi="宋体"/>
                <w:kern w:val="28"/>
                <w:sz w:val="24"/>
              </w:rPr>
              <w:t xml:space="preserve"> </w:t>
            </w:r>
            <w:r>
              <w:rPr>
                <w:rFonts w:ascii="宋体" w:hAnsi="宋体"/>
                <w:kern w:val="28"/>
                <w:sz w:val="24"/>
              </w:rPr>
              <w:t>施工场地洒水抑尘试验结果</w:t>
            </w:r>
          </w:p>
          <w:tbl>
            <w:tblPr>
              <w:tblStyle w:val="42"/>
              <w:tblW w:w="9232" w:type="dxa"/>
              <w:jc w:val="center"/>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4"/>
              <w:gridCol w:w="1509"/>
              <w:gridCol w:w="1228"/>
              <w:gridCol w:w="1041"/>
              <w:gridCol w:w="1041"/>
              <w:gridCol w:w="1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4883" w:type="dxa"/>
                  <w:gridSpan w:val="2"/>
                  <w:vAlign w:val="center"/>
                </w:tcPr>
                <w:p>
                  <w:pPr>
                    <w:spacing w:line="360" w:lineRule="auto"/>
                    <w:jc w:val="center"/>
                    <w:rPr>
                      <w:rFonts w:ascii="宋体" w:hAnsi="宋体"/>
                      <w:kern w:val="28"/>
                      <w:szCs w:val="21"/>
                    </w:rPr>
                  </w:pPr>
                  <w:r>
                    <w:rPr>
                      <w:rFonts w:ascii="宋体" w:hAnsi="宋体"/>
                      <w:kern w:val="28"/>
                      <w:szCs w:val="21"/>
                    </w:rPr>
                    <w:t>距离（米）</w:t>
                  </w:r>
                </w:p>
              </w:tc>
              <w:tc>
                <w:tcPr>
                  <w:tcW w:w="1228" w:type="dxa"/>
                  <w:vAlign w:val="center"/>
                </w:tcPr>
                <w:p>
                  <w:pPr>
                    <w:spacing w:line="360" w:lineRule="auto"/>
                    <w:jc w:val="center"/>
                    <w:rPr>
                      <w:rFonts w:ascii="宋体" w:hAnsi="宋体"/>
                      <w:kern w:val="28"/>
                      <w:szCs w:val="21"/>
                    </w:rPr>
                  </w:pPr>
                  <w:r>
                    <w:rPr>
                      <w:rFonts w:ascii="宋体" w:hAnsi="宋体"/>
                      <w:kern w:val="28"/>
                      <w:szCs w:val="21"/>
                    </w:rPr>
                    <w:t>5</w:t>
                  </w:r>
                </w:p>
              </w:tc>
              <w:tc>
                <w:tcPr>
                  <w:tcW w:w="1041" w:type="dxa"/>
                  <w:vAlign w:val="center"/>
                </w:tcPr>
                <w:p>
                  <w:pPr>
                    <w:spacing w:line="360" w:lineRule="auto"/>
                    <w:jc w:val="center"/>
                    <w:rPr>
                      <w:rFonts w:ascii="宋体" w:hAnsi="宋体"/>
                      <w:kern w:val="28"/>
                      <w:szCs w:val="21"/>
                    </w:rPr>
                  </w:pPr>
                  <w:r>
                    <w:rPr>
                      <w:rFonts w:ascii="宋体" w:hAnsi="宋体"/>
                      <w:kern w:val="28"/>
                      <w:szCs w:val="21"/>
                    </w:rPr>
                    <w:t>20</w:t>
                  </w:r>
                </w:p>
              </w:tc>
              <w:tc>
                <w:tcPr>
                  <w:tcW w:w="1041" w:type="dxa"/>
                  <w:vAlign w:val="center"/>
                </w:tcPr>
                <w:p>
                  <w:pPr>
                    <w:spacing w:line="360" w:lineRule="auto"/>
                    <w:jc w:val="center"/>
                    <w:rPr>
                      <w:rFonts w:ascii="宋体" w:hAnsi="宋体"/>
                      <w:kern w:val="28"/>
                      <w:szCs w:val="21"/>
                    </w:rPr>
                  </w:pPr>
                  <w:r>
                    <w:rPr>
                      <w:rFonts w:ascii="宋体" w:hAnsi="宋体"/>
                      <w:kern w:val="28"/>
                      <w:szCs w:val="21"/>
                    </w:rPr>
                    <w:t>50</w:t>
                  </w:r>
                </w:p>
              </w:tc>
              <w:tc>
                <w:tcPr>
                  <w:tcW w:w="1039" w:type="dxa"/>
                  <w:vAlign w:val="center"/>
                </w:tcPr>
                <w:p>
                  <w:pPr>
                    <w:spacing w:line="360" w:lineRule="auto"/>
                    <w:jc w:val="center"/>
                    <w:rPr>
                      <w:rFonts w:ascii="宋体" w:hAnsi="宋体"/>
                      <w:kern w:val="28"/>
                      <w:szCs w:val="21"/>
                    </w:rPr>
                  </w:pPr>
                  <w:r>
                    <w:rPr>
                      <w:rFonts w:ascii="宋体" w:hAnsi="宋体"/>
                      <w:kern w:val="28"/>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3374" w:type="dxa"/>
                  <w:vMerge w:val="restart"/>
                  <w:vAlign w:val="center"/>
                </w:tcPr>
                <w:p>
                  <w:pPr>
                    <w:spacing w:line="360" w:lineRule="auto"/>
                    <w:jc w:val="center"/>
                    <w:rPr>
                      <w:rFonts w:ascii="宋体" w:hAnsi="宋体"/>
                      <w:kern w:val="28"/>
                      <w:szCs w:val="21"/>
                    </w:rPr>
                  </w:pPr>
                  <w:r>
                    <w:rPr>
                      <w:rFonts w:ascii="宋体" w:hAnsi="宋体"/>
                      <w:kern w:val="28"/>
                      <w:szCs w:val="21"/>
                    </w:rPr>
                    <w:t>TSP小时平均浓度</w:t>
                  </w:r>
                </w:p>
                <w:p>
                  <w:pPr>
                    <w:spacing w:line="360" w:lineRule="auto"/>
                    <w:jc w:val="center"/>
                    <w:rPr>
                      <w:rFonts w:ascii="宋体" w:hAnsi="宋体"/>
                      <w:kern w:val="28"/>
                      <w:szCs w:val="21"/>
                    </w:rPr>
                  </w:pPr>
                  <w:r>
                    <w:rPr>
                      <w:rFonts w:ascii="宋体" w:hAnsi="宋体"/>
                      <w:kern w:val="28"/>
                      <w:szCs w:val="21"/>
                    </w:rPr>
                    <w:t>（mg/m</w:t>
                  </w:r>
                  <w:r>
                    <w:rPr>
                      <w:rFonts w:ascii="宋体" w:hAnsi="宋体"/>
                      <w:kern w:val="28"/>
                      <w:szCs w:val="21"/>
                      <w:vertAlign w:val="superscript"/>
                    </w:rPr>
                    <w:t>3</w:t>
                  </w:r>
                  <w:r>
                    <w:rPr>
                      <w:rFonts w:ascii="宋体" w:hAnsi="宋体"/>
                      <w:kern w:val="28"/>
                      <w:szCs w:val="21"/>
                    </w:rPr>
                    <w:t>）</w:t>
                  </w:r>
                </w:p>
              </w:tc>
              <w:tc>
                <w:tcPr>
                  <w:tcW w:w="1509" w:type="dxa"/>
                  <w:vAlign w:val="center"/>
                </w:tcPr>
                <w:p>
                  <w:pPr>
                    <w:spacing w:line="360" w:lineRule="auto"/>
                    <w:jc w:val="center"/>
                    <w:rPr>
                      <w:rFonts w:ascii="宋体" w:hAnsi="宋体"/>
                      <w:kern w:val="28"/>
                      <w:szCs w:val="21"/>
                    </w:rPr>
                  </w:pPr>
                  <w:r>
                    <w:rPr>
                      <w:rFonts w:ascii="宋体" w:hAnsi="宋体"/>
                      <w:kern w:val="28"/>
                      <w:szCs w:val="21"/>
                    </w:rPr>
                    <w:t>不洒水</w:t>
                  </w:r>
                </w:p>
              </w:tc>
              <w:tc>
                <w:tcPr>
                  <w:tcW w:w="1228" w:type="dxa"/>
                  <w:vAlign w:val="center"/>
                </w:tcPr>
                <w:p>
                  <w:pPr>
                    <w:spacing w:line="360" w:lineRule="auto"/>
                    <w:jc w:val="center"/>
                    <w:rPr>
                      <w:rFonts w:ascii="宋体" w:hAnsi="宋体"/>
                      <w:kern w:val="28"/>
                      <w:szCs w:val="21"/>
                    </w:rPr>
                  </w:pPr>
                  <w:r>
                    <w:rPr>
                      <w:rFonts w:ascii="宋体" w:hAnsi="宋体"/>
                      <w:kern w:val="28"/>
                      <w:szCs w:val="21"/>
                    </w:rPr>
                    <w:t>10.14</w:t>
                  </w:r>
                </w:p>
              </w:tc>
              <w:tc>
                <w:tcPr>
                  <w:tcW w:w="1041" w:type="dxa"/>
                  <w:vAlign w:val="center"/>
                </w:tcPr>
                <w:p>
                  <w:pPr>
                    <w:spacing w:line="360" w:lineRule="auto"/>
                    <w:jc w:val="center"/>
                    <w:rPr>
                      <w:rFonts w:ascii="宋体" w:hAnsi="宋体"/>
                      <w:kern w:val="28"/>
                      <w:szCs w:val="21"/>
                    </w:rPr>
                  </w:pPr>
                  <w:r>
                    <w:rPr>
                      <w:rFonts w:ascii="宋体" w:hAnsi="宋体"/>
                      <w:kern w:val="28"/>
                      <w:szCs w:val="21"/>
                    </w:rPr>
                    <w:t>2.89</w:t>
                  </w:r>
                </w:p>
              </w:tc>
              <w:tc>
                <w:tcPr>
                  <w:tcW w:w="1041" w:type="dxa"/>
                  <w:vAlign w:val="center"/>
                </w:tcPr>
                <w:p>
                  <w:pPr>
                    <w:spacing w:line="360" w:lineRule="auto"/>
                    <w:jc w:val="center"/>
                    <w:rPr>
                      <w:rFonts w:ascii="宋体" w:hAnsi="宋体"/>
                      <w:kern w:val="28"/>
                      <w:szCs w:val="21"/>
                    </w:rPr>
                  </w:pPr>
                  <w:r>
                    <w:rPr>
                      <w:rFonts w:ascii="宋体" w:hAnsi="宋体"/>
                      <w:kern w:val="28"/>
                      <w:szCs w:val="21"/>
                    </w:rPr>
                    <w:t>1.15</w:t>
                  </w:r>
                </w:p>
              </w:tc>
              <w:tc>
                <w:tcPr>
                  <w:tcW w:w="1039" w:type="dxa"/>
                  <w:vAlign w:val="center"/>
                </w:tcPr>
                <w:p>
                  <w:pPr>
                    <w:spacing w:line="360" w:lineRule="auto"/>
                    <w:jc w:val="center"/>
                    <w:rPr>
                      <w:rFonts w:ascii="宋体" w:hAnsi="宋体"/>
                      <w:kern w:val="28"/>
                      <w:szCs w:val="21"/>
                    </w:rPr>
                  </w:pPr>
                  <w:r>
                    <w:rPr>
                      <w:rFonts w:ascii="宋体" w:hAnsi="宋体"/>
                      <w:kern w:val="28"/>
                      <w:szCs w:val="21"/>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3374" w:type="dxa"/>
                  <w:vMerge w:val="continue"/>
                  <w:vAlign w:val="center"/>
                </w:tcPr>
                <w:p>
                  <w:pPr>
                    <w:spacing w:line="360" w:lineRule="auto"/>
                    <w:ind w:firstLine="493"/>
                    <w:jc w:val="center"/>
                    <w:rPr>
                      <w:rFonts w:ascii="宋体" w:hAnsi="宋体"/>
                      <w:kern w:val="28"/>
                      <w:szCs w:val="21"/>
                    </w:rPr>
                  </w:pPr>
                </w:p>
              </w:tc>
              <w:tc>
                <w:tcPr>
                  <w:tcW w:w="1509" w:type="dxa"/>
                  <w:vAlign w:val="center"/>
                </w:tcPr>
                <w:p>
                  <w:pPr>
                    <w:spacing w:line="360" w:lineRule="auto"/>
                    <w:jc w:val="center"/>
                    <w:rPr>
                      <w:rFonts w:ascii="宋体" w:hAnsi="宋体"/>
                      <w:kern w:val="28"/>
                      <w:szCs w:val="21"/>
                    </w:rPr>
                  </w:pPr>
                  <w:r>
                    <w:rPr>
                      <w:rFonts w:ascii="宋体" w:hAnsi="宋体"/>
                      <w:kern w:val="28"/>
                      <w:szCs w:val="21"/>
                    </w:rPr>
                    <w:t>洒  水</w:t>
                  </w:r>
                </w:p>
              </w:tc>
              <w:tc>
                <w:tcPr>
                  <w:tcW w:w="1228" w:type="dxa"/>
                  <w:vAlign w:val="center"/>
                </w:tcPr>
                <w:p>
                  <w:pPr>
                    <w:spacing w:line="360" w:lineRule="auto"/>
                    <w:jc w:val="center"/>
                    <w:rPr>
                      <w:rFonts w:ascii="宋体" w:hAnsi="宋体"/>
                      <w:kern w:val="28"/>
                      <w:szCs w:val="21"/>
                    </w:rPr>
                  </w:pPr>
                  <w:r>
                    <w:rPr>
                      <w:rFonts w:ascii="宋体" w:hAnsi="宋体"/>
                      <w:kern w:val="28"/>
                      <w:szCs w:val="21"/>
                    </w:rPr>
                    <w:t>2.01</w:t>
                  </w:r>
                </w:p>
              </w:tc>
              <w:tc>
                <w:tcPr>
                  <w:tcW w:w="1041" w:type="dxa"/>
                  <w:vAlign w:val="center"/>
                </w:tcPr>
                <w:p>
                  <w:pPr>
                    <w:spacing w:line="360" w:lineRule="auto"/>
                    <w:jc w:val="center"/>
                    <w:rPr>
                      <w:rFonts w:ascii="宋体" w:hAnsi="宋体"/>
                      <w:kern w:val="28"/>
                      <w:szCs w:val="21"/>
                    </w:rPr>
                  </w:pPr>
                  <w:r>
                    <w:rPr>
                      <w:rFonts w:ascii="宋体" w:hAnsi="宋体"/>
                      <w:kern w:val="28"/>
                      <w:szCs w:val="21"/>
                    </w:rPr>
                    <w:t>1.40</w:t>
                  </w:r>
                </w:p>
              </w:tc>
              <w:tc>
                <w:tcPr>
                  <w:tcW w:w="1041" w:type="dxa"/>
                  <w:vAlign w:val="center"/>
                </w:tcPr>
                <w:p>
                  <w:pPr>
                    <w:spacing w:line="360" w:lineRule="auto"/>
                    <w:jc w:val="center"/>
                    <w:rPr>
                      <w:rFonts w:ascii="宋体" w:hAnsi="宋体"/>
                      <w:kern w:val="28"/>
                      <w:szCs w:val="21"/>
                    </w:rPr>
                  </w:pPr>
                  <w:r>
                    <w:rPr>
                      <w:rFonts w:ascii="宋体" w:hAnsi="宋体"/>
                      <w:kern w:val="28"/>
                      <w:szCs w:val="21"/>
                    </w:rPr>
                    <w:t>0.67</w:t>
                  </w:r>
                </w:p>
              </w:tc>
              <w:tc>
                <w:tcPr>
                  <w:tcW w:w="1039" w:type="dxa"/>
                  <w:vAlign w:val="center"/>
                </w:tcPr>
                <w:p>
                  <w:pPr>
                    <w:spacing w:line="360" w:lineRule="auto"/>
                    <w:jc w:val="center"/>
                    <w:rPr>
                      <w:rFonts w:ascii="宋体" w:hAnsi="宋体"/>
                      <w:kern w:val="28"/>
                      <w:szCs w:val="21"/>
                    </w:rPr>
                  </w:pPr>
                  <w:r>
                    <w:rPr>
                      <w:rFonts w:ascii="宋体" w:hAnsi="宋体"/>
                      <w:kern w:val="28"/>
                      <w:szCs w:val="21"/>
                    </w:rPr>
                    <w:t>0.60</w:t>
                  </w:r>
                </w:p>
              </w:tc>
            </w:tr>
          </w:tbl>
          <w:p>
            <w:pPr>
              <w:spacing w:line="360" w:lineRule="auto"/>
              <w:ind w:firstLine="480" w:firstLineChars="200"/>
              <w:rPr>
                <w:rFonts w:ascii="宋体" w:hAnsi="宋体"/>
                <w:sz w:val="24"/>
              </w:rPr>
            </w:pPr>
            <w:r>
              <w:rPr>
                <w:rFonts w:ascii="宋体" w:hAnsi="宋体"/>
                <w:sz w:val="24"/>
              </w:rPr>
              <w:t>因此，限速行驶及保持路面清洁，同时适当洒水是减少汽车扬尘的有效手段。</w:t>
            </w:r>
          </w:p>
          <w:p>
            <w:pPr>
              <w:spacing w:line="360" w:lineRule="auto"/>
              <w:ind w:firstLine="480" w:firstLineChars="200"/>
              <w:rPr>
                <w:rFonts w:ascii="宋体" w:hAnsi="宋体"/>
                <w:sz w:val="24"/>
              </w:rPr>
            </w:pPr>
            <w:r>
              <w:rPr>
                <w:rFonts w:ascii="宋体" w:hAnsi="宋体"/>
                <w:sz w:val="24"/>
              </w:rPr>
              <w:t>（2）施工扬尘</w:t>
            </w:r>
          </w:p>
          <w:p>
            <w:pPr>
              <w:spacing w:line="360" w:lineRule="auto"/>
              <w:ind w:firstLine="480" w:firstLineChars="200"/>
              <w:rPr>
                <w:rFonts w:ascii="宋体" w:hAnsi="宋体"/>
                <w:sz w:val="24"/>
              </w:rPr>
            </w:pPr>
            <w:r>
              <w:rPr>
                <w:rFonts w:ascii="宋体" w:hAnsi="宋体"/>
                <w:sz w:val="24"/>
              </w:rPr>
              <w:t>施工扬尘的另一种情况是露天堆场和裸露场地的风力扬尘。由于施工需要，一些建材露天堆放，一些施工点表层土壤需人工开挖、堆放，在气候干燥又有风的情况下，会产生扬尘。这类扬尘的主要特点是与风速和尘粒含水率有关，因此，禁止大风天气作业和减少建材的露天堆放、保证一定的含水率是抑制这类扬尘的有效手段。</w:t>
            </w:r>
          </w:p>
          <w:p>
            <w:pPr>
              <w:spacing w:line="360" w:lineRule="auto"/>
              <w:ind w:firstLine="480" w:firstLineChars="200"/>
              <w:rPr>
                <w:rFonts w:ascii="宋体" w:hAnsi="宋体"/>
                <w:sz w:val="24"/>
              </w:rPr>
            </w:pPr>
            <w:r>
              <w:rPr>
                <w:rFonts w:ascii="宋体" w:hAnsi="宋体"/>
                <w:sz w:val="24"/>
              </w:rPr>
              <w:t>施工扬尘最大产生时间将出现在土方开挖阶段，由于该阶段裸露浮土较多，产尘量较大。物料沿路撒落或风吹起尘，在工程区内和道路上易带起场尘，污染环境。</w:t>
            </w:r>
          </w:p>
          <w:p>
            <w:pPr>
              <w:spacing w:line="360" w:lineRule="auto"/>
              <w:ind w:firstLine="480" w:firstLineChars="200"/>
              <w:rPr>
                <w:rFonts w:ascii="宋体" w:hAnsi="宋体"/>
                <w:sz w:val="24"/>
              </w:rPr>
            </w:pPr>
            <w:r>
              <w:rPr>
                <w:rFonts w:ascii="宋体" w:hAnsi="宋体"/>
                <w:sz w:val="24"/>
              </w:rPr>
              <w:t>为了最大限度地减小施工扬尘对环境的影响，评价提出以下措施和要求：</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1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①</w:t>
            </w:r>
            <w:r>
              <w:rPr>
                <w:rFonts w:ascii="宋体" w:hAnsi="宋体"/>
                <w:sz w:val="24"/>
              </w:rPr>
              <w:fldChar w:fldCharType="end"/>
            </w:r>
            <w:r>
              <w:rPr>
                <w:rFonts w:ascii="宋体" w:hAnsi="宋体"/>
                <w:sz w:val="24"/>
              </w:rPr>
              <w:t>加强施工期环境管理，严格按照《防治城市扬尘污染技术规范》（HJ/T393－2007）要求，实行清洁生产，杜绝粗放式施工。</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2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②</w:t>
            </w:r>
            <w:r>
              <w:rPr>
                <w:rFonts w:ascii="宋体" w:hAnsi="宋体"/>
                <w:sz w:val="24"/>
              </w:rPr>
              <w:fldChar w:fldCharType="end"/>
            </w:r>
            <w:r>
              <w:rPr>
                <w:rFonts w:ascii="宋体" w:hAnsi="宋体"/>
                <w:sz w:val="24"/>
              </w:rPr>
              <w:t>开挖、施工过程中，应洒水使作业面保持一定湿度；对施工场地内松散、干涸的表土，采取洒水抑尘；回填土方时，在表层土质干燥时应适当洒水。</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3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③</w:t>
            </w:r>
            <w:r>
              <w:rPr>
                <w:rFonts w:ascii="宋体" w:hAnsi="宋体"/>
                <w:sz w:val="24"/>
              </w:rPr>
              <w:fldChar w:fldCharType="end"/>
            </w:r>
            <w:r>
              <w:rPr>
                <w:rFonts w:ascii="宋体" w:hAnsi="宋体"/>
                <w:sz w:val="24"/>
              </w:rPr>
              <w:t>散装水泥、沙子和石灰等易生扬尘的建筑材料不得随意堆放，应设置专门堆场，且堆场四周应有围挡结构。</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4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④</w:t>
            </w:r>
            <w:r>
              <w:rPr>
                <w:rFonts w:ascii="宋体" w:hAnsi="宋体"/>
                <w:sz w:val="24"/>
              </w:rPr>
              <w:fldChar w:fldCharType="end"/>
            </w:r>
            <w:r>
              <w:rPr>
                <w:rFonts w:ascii="宋体" w:hAnsi="宋体"/>
                <w:sz w:val="24"/>
              </w:rPr>
              <w:t>对施工现场和建筑体分别采取围栏、设置工棚、覆盖遮蔽等措施，阻隔施工扬尘污染；遇4级以上风力应停止土方等扬尘类施工。</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5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⑤</w:t>
            </w:r>
            <w:r>
              <w:rPr>
                <w:rFonts w:ascii="宋体" w:hAnsi="宋体"/>
                <w:sz w:val="24"/>
              </w:rPr>
              <w:fldChar w:fldCharType="end"/>
            </w:r>
            <w:r>
              <w:rPr>
                <w:rFonts w:ascii="宋体" w:hAnsi="宋体"/>
                <w:sz w:val="24"/>
              </w:rPr>
              <w:t>运输建筑材料和设备的车辆严禁超载，运输颗粒物料沙土、水泥、土方车辆必须采取加盖篷布等防尘措施，防止物料沿途抛撒导致二次扬尘。</w:t>
            </w:r>
          </w:p>
          <w:p>
            <w:pPr>
              <w:spacing w:line="360" w:lineRule="auto"/>
              <w:ind w:firstLine="480" w:firstLineChars="200"/>
              <w:rPr>
                <w:rFonts w:ascii="宋体" w:hAnsi="宋体"/>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6 \* GB3</w:instrText>
            </w:r>
            <w:r>
              <w:rPr>
                <w:rFonts w:ascii="宋体" w:hAnsi="宋体"/>
                <w:sz w:val="24"/>
              </w:rPr>
              <w:instrText xml:space="preserve"> </w:instrText>
            </w:r>
            <w:r>
              <w:rPr>
                <w:rFonts w:ascii="宋体" w:hAnsi="宋体"/>
                <w:sz w:val="24"/>
              </w:rPr>
              <w:fldChar w:fldCharType="separate"/>
            </w:r>
            <w:r>
              <w:rPr>
                <w:rFonts w:hint="eastAsia" w:ascii="宋体" w:hAnsi="宋体"/>
                <w:sz w:val="24"/>
              </w:rPr>
              <w:t>⑥</w:t>
            </w:r>
            <w:r>
              <w:rPr>
                <w:rFonts w:ascii="宋体" w:hAnsi="宋体"/>
                <w:sz w:val="24"/>
              </w:rPr>
              <w:fldChar w:fldCharType="end"/>
            </w:r>
            <w:r>
              <w:rPr>
                <w:rFonts w:ascii="宋体" w:hAnsi="宋体"/>
                <w:sz w:val="24"/>
              </w:rPr>
              <w:t>施工场地出入口，要配备专门清洗设备和人员，负责对出入工地的运输车辆及时冲洗，不得携带泥土驶出施工工地；同时，对施工点、道路周围应采取绿化及地面临时硬化等防尘措施。</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w:t>
            </w:r>
            <w:r>
              <w:rPr>
                <w:rFonts w:ascii="宋体" w:hAnsi="宋体"/>
                <w:sz w:val="24"/>
              </w:rPr>
              <w:t>燃油机械及运输车辆尾气</w:t>
            </w:r>
          </w:p>
          <w:p>
            <w:pPr>
              <w:spacing w:line="360" w:lineRule="auto"/>
              <w:ind w:firstLine="480" w:firstLineChars="200"/>
              <w:rPr>
                <w:rFonts w:ascii="宋体" w:hAnsi="宋体"/>
                <w:sz w:val="24"/>
              </w:rPr>
            </w:pPr>
            <w:r>
              <w:rPr>
                <w:rFonts w:ascii="宋体" w:hAnsi="宋体"/>
                <w:sz w:val="24"/>
              </w:rPr>
              <w:t>本项目施工过程用到的施工机械，包括主要有挖掘机、装载机、推土机、平地机等机械，它们以柴油为燃料，都可以产生一定量废气，包括CO、NO</w:t>
            </w:r>
            <w:r>
              <w:rPr>
                <w:rFonts w:ascii="宋体" w:hAnsi="宋体"/>
                <w:sz w:val="24"/>
                <w:vertAlign w:val="subscript"/>
              </w:rPr>
              <w:t>x</w:t>
            </w:r>
            <w:r>
              <w:rPr>
                <w:rFonts w:ascii="宋体" w:hAnsi="宋体"/>
                <w:sz w:val="24"/>
              </w:rPr>
              <w:t>、SO</w:t>
            </w:r>
            <w:r>
              <w:rPr>
                <w:rFonts w:ascii="宋体" w:hAnsi="宋体"/>
                <w:sz w:val="24"/>
                <w:vertAlign w:val="subscript"/>
              </w:rPr>
              <w:t>2</w:t>
            </w:r>
            <w:r>
              <w:rPr>
                <w:rFonts w:ascii="宋体" w:hAnsi="宋体"/>
                <w:sz w:val="24"/>
              </w:rPr>
              <w:t>、烃类等。但这些污染源较分散且为流动性，污染物排放量不大，表现为间歇性特征，影响是短期和局部的，施工结束影响也随之消失，这类废气对大气环境的影响比较小，同时施工单位必须使用污染物排放符合国家标准的运输车辆，加强车辆的保养，使车辆处于良好的工作状态，严禁使用报废车辆，以减少施工车辆尾气对周围环境的影响。施工机械及运输车辆产生的废气量很少，属短暂间歇排放；而且排放点比较分散，污染物在空气中的稀释扩散较快，对周边空气环境影响很小。</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w:t>
            </w:r>
            <w:r>
              <w:rPr>
                <w:rFonts w:ascii="宋体" w:hAnsi="宋体"/>
                <w:sz w:val="24"/>
              </w:rPr>
              <w:t>装修废气</w:t>
            </w:r>
          </w:p>
          <w:p>
            <w:pPr>
              <w:spacing w:line="360" w:lineRule="auto"/>
              <w:ind w:firstLine="480" w:firstLineChars="200"/>
              <w:rPr>
                <w:rFonts w:ascii="宋体" w:hAnsi="宋体"/>
                <w:sz w:val="24"/>
              </w:rPr>
            </w:pPr>
            <w:r>
              <w:rPr>
                <w:rFonts w:ascii="宋体" w:hAnsi="宋体"/>
                <w:sz w:val="24"/>
              </w:rPr>
              <w:t>建筑装修废气主要为建筑装修材料产生的氨、甲醛、苯、甲苯、二甲苯、苯并α芘、总挥发性有机物、放射性等有害物质。在建设单位按照国家有关规定委托有资质单位进行设计、施工、检测，并选用符合国家相关标准的建筑装修材料，以确保室内空气中有害物质含量符合《室内空气质量标准》（GB/T18883-2002）标准</w:t>
            </w:r>
            <w:r>
              <w:rPr>
                <w:rFonts w:hint="eastAsia" w:ascii="宋体" w:hAnsi="宋体"/>
                <w:sz w:val="24"/>
              </w:rPr>
              <w:t>。</w:t>
            </w:r>
            <w:r>
              <w:rPr>
                <w:rFonts w:ascii="宋体" w:hAnsi="宋体"/>
                <w:sz w:val="24"/>
              </w:rPr>
              <w:t>由于项目所在地理位置开阔，大气扩散快。建筑装修时，采用环保油漆及涂料，装修工程中加强通风排风，可以防止装修废气的影响。</w:t>
            </w:r>
          </w:p>
          <w:p>
            <w:pPr>
              <w:spacing w:line="360" w:lineRule="auto"/>
              <w:ind w:firstLine="480" w:firstLineChars="200"/>
              <w:rPr>
                <w:rFonts w:ascii="宋体" w:hAnsi="宋体"/>
                <w:sz w:val="24"/>
              </w:rPr>
            </w:pPr>
            <w:r>
              <w:rPr>
                <w:rFonts w:hint="eastAsia" w:ascii="宋体" w:hAnsi="宋体"/>
                <w:sz w:val="24"/>
              </w:rPr>
              <w:t>综上所述</w:t>
            </w:r>
            <w:r>
              <w:rPr>
                <w:rFonts w:ascii="宋体" w:hAnsi="宋体"/>
                <w:sz w:val="24"/>
              </w:rPr>
              <w:t>，通过以上相应控制措施的贯彻执行，可有效控制施工期扬尘</w:t>
            </w:r>
            <w:r>
              <w:rPr>
                <w:rFonts w:hint="eastAsia" w:ascii="宋体" w:hAnsi="宋体"/>
                <w:sz w:val="24"/>
              </w:rPr>
              <w:t>、废气</w:t>
            </w:r>
            <w:r>
              <w:rPr>
                <w:rFonts w:ascii="宋体" w:hAnsi="宋体"/>
                <w:sz w:val="24"/>
              </w:rPr>
              <w:t>对外环境的影响。随着施工期的结束，影响也将消除。</w:t>
            </w:r>
          </w:p>
          <w:p>
            <w:pPr>
              <w:pStyle w:val="248"/>
              <w:spacing w:after="63" w:line="440" w:lineRule="exact"/>
              <w:ind w:firstLine="482"/>
              <w:rPr>
                <w:bCs/>
                <w:color w:val="000000"/>
              </w:rPr>
            </w:pPr>
            <w:r>
              <w:rPr>
                <w:rFonts w:hint="eastAsia"/>
                <w:bCs/>
                <w:color w:val="000000"/>
              </w:rPr>
              <w:t>（二）施工期噪声环境影响分析及环境保护措施</w:t>
            </w:r>
          </w:p>
          <w:p>
            <w:pPr>
              <w:spacing w:line="360" w:lineRule="auto"/>
              <w:ind w:firstLine="787" w:firstLineChars="328"/>
              <w:rPr>
                <w:rFonts w:ascii="宋体" w:hAnsi="宋体"/>
                <w:sz w:val="24"/>
              </w:rPr>
            </w:pPr>
            <w:r>
              <w:rPr>
                <w:rFonts w:hint="eastAsia" w:ascii="宋体" w:hAnsi="宋体"/>
                <w:sz w:val="24"/>
              </w:rPr>
              <w:t>1、施工期噪声源分析</w:t>
            </w:r>
          </w:p>
          <w:p>
            <w:pPr>
              <w:spacing w:line="360" w:lineRule="auto"/>
              <w:ind w:firstLine="480"/>
              <w:rPr>
                <w:rFonts w:ascii="宋体" w:hAnsi="宋体"/>
                <w:color w:val="FF0000"/>
                <w:spacing w:val="-6"/>
                <w:sz w:val="24"/>
              </w:rPr>
            </w:pPr>
            <w:r>
              <w:rPr>
                <w:rFonts w:hint="eastAsia" w:ascii="宋体" w:hAnsi="宋体"/>
                <w:sz w:val="24"/>
              </w:rPr>
              <w:t>本项目施工期24</w:t>
            </w:r>
            <w:r>
              <w:rPr>
                <w:rFonts w:hint="eastAsia" w:ascii="宋体" w:hAnsi="宋体"/>
                <w:color w:val="000000"/>
                <w:sz w:val="24"/>
              </w:rPr>
              <w:t>个月</w:t>
            </w:r>
            <w:r>
              <w:rPr>
                <w:rFonts w:ascii="宋体" w:hAnsi="宋体"/>
                <w:sz w:val="24"/>
              </w:rPr>
              <w:t>,</w:t>
            </w:r>
            <w:r>
              <w:rPr>
                <w:rFonts w:hint="eastAsia" w:ascii="宋体" w:hAnsi="宋体"/>
                <w:sz w:val="24"/>
              </w:rPr>
              <w:t>整个施工过程可分为场地平整阶段、基础工程阶段、主体结构工程阶段、装修工程阶段及扫尾工作阶段五个阶段</w:t>
            </w:r>
            <w:r>
              <w:rPr>
                <w:rFonts w:ascii="宋体" w:hAnsi="宋体"/>
                <w:sz w:val="24"/>
              </w:rPr>
              <w:t>,</w:t>
            </w:r>
            <w:r>
              <w:rPr>
                <w:rFonts w:hint="eastAsia" w:ascii="宋体" w:hAnsi="宋体"/>
                <w:spacing w:val="-6"/>
                <w:sz w:val="24"/>
              </w:rPr>
              <w:t>其噪声源产生强度</w:t>
            </w:r>
            <w:r>
              <w:rPr>
                <w:rFonts w:hint="eastAsia" w:ascii="宋体" w:hAnsi="宋体"/>
                <w:color w:val="000000" w:themeColor="text1"/>
                <w:spacing w:val="-6"/>
                <w:sz w:val="24"/>
              </w:rPr>
              <w:t>见表17</w:t>
            </w:r>
            <w:r>
              <w:rPr>
                <w:rFonts w:hint="eastAsia" w:ascii="宋体" w:hAnsi="宋体"/>
                <w:color w:val="0070C0"/>
                <w:spacing w:val="-6"/>
                <w:sz w:val="24"/>
              </w:rPr>
              <w:t>。</w:t>
            </w:r>
          </w:p>
          <w:p>
            <w:pPr>
              <w:jc w:val="center"/>
              <w:rPr>
                <w:rFonts w:ascii="宋体" w:hAnsi="宋体"/>
                <w:bCs/>
                <w:color w:val="000000" w:themeColor="text1"/>
                <w:spacing w:val="-6"/>
                <w:sz w:val="24"/>
              </w:rPr>
            </w:pPr>
            <w:r>
              <w:rPr>
                <w:rFonts w:hint="eastAsia" w:ascii="宋体" w:hAnsi="宋体"/>
                <w:bCs/>
                <w:color w:val="000000" w:themeColor="text1"/>
                <w:spacing w:val="-6"/>
                <w:sz w:val="24"/>
              </w:rPr>
              <w:t>表17</w:t>
            </w:r>
            <w:r>
              <w:rPr>
                <w:rFonts w:ascii="宋体" w:hAnsi="宋体"/>
                <w:bCs/>
                <w:color w:val="000000" w:themeColor="text1"/>
                <w:spacing w:val="-6"/>
                <w:sz w:val="24"/>
              </w:rPr>
              <w:t xml:space="preserve"> </w:t>
            </w:r>
            <w:r>
              <w:rPr>
                <w:rFonts w:hint="eastAsia" w:ascii="宋体" w:hAnsi="宋体"/>
                <w:bCs/>
                <w:color w:val="000000" w:themeColor="text1"/>
                <w:spacing w:val="-6"/>
                <w:sz w:val="24"/>
              </w:rPr>
              <w:t xml:space="preserve">    主要施工机械及噪声源强度表</w:t>
            </w:r>
          </w:p>
          <w:tbl>
            <w:tblPr>
              <w:tblStyle w:val="42"/>
              <w:tblpPr w:leftFromText="180" w:rightFromText="180" w:vertAnchor="text" w:horzAnchor="margin" w:tblpXSpec="center" w:tblpY="158"/>
              <w:tblOverlap w:val="never"/>
              <w:tblW w:w="9231" w:type="dxa"/>
              <w:tblInd w:w="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2"/>
              <w:gridCol w:w="2563"/>
              <w:gridCol w:w="1995"/>
              <w:gridCol w:w="254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25" w:hRule="atLeast"/>
              </w:trPr>
              <w:tc>
                <w:tcPr>
                  <w:tcW w:w="2132" w:type="dxa"/>
                  <w:tcBorders>
                    <w:top w:val="single" w:color="auto" w:sz="4"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设备名称</w:t>
                  </w:r>
                </w:p>
              </w:tc>
              <w:tc>
                <w:tcPr>
                  <w:tcW w:w="2563"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宋体" w:hAnsi="宋体"/>
                      <w:spacing w:val="-6"/>
                      <w:szCs w:val="21"/>
                    </w:rPr>
                  </w:pPr>
                  <w:r>
                    <w:rPr>
                      <w:rFonts w:hint="eastAsia" w:ascii="宋体" w:hAnsi="宋体"/>
                      <w:spacing w:val="-6"/>
                      <w:szCs w:val="21"/>
                    </w:rPr>
                    <w:t>声功率级</w:t>
                  </w:r>
                  <w:r>
                    <w:rPr>
                      <w:rFonts w:ascii="宋体" w:hAnsi="宋体"/>
                      <w:spacing w:val="-6"/>
                      <w:szCs w:val="21"/>
                    </w:rPr>
                    <w:t xml:space="preserve"> L</w:t>
                  </w:r>
                  <w:r>
                    <w:rPr>
                      <w:rFonts w:ascii="宋体" w:hAnsi="宋体"/>
                      <w:spacing w:val="-6"/>
                      <w:szCs w:val="21"/>
                      <w:vertAlign w:val="subscript"/>
                    </w:rPr>
                    <w:t>WA</w:t>
                  </w:r>
                  <w:r>
                    <w:rPr>
                      <w:rFonts w:ascii="宋体" w:hAnsi="宋体"/>
                      <w:spacing w:val="-6"/>
                      <w:szCs w:val="21"/>
                    </w:rPr>
                    <w:t>dB</w:t>
                  </w:r>
                  <w:r>
                    <w:rPr>
                      <w:rFonts w:hint="eastAsia" w:ascii="宋体" w:hAnsi="宋体"/>
                      <w:spacing w:val="-6"/>
                      <w:szCs w:val="21"/>
                    </w:rPr>
                    <w:t>（</w:t>
                  </w:r>
                  <w:r>
                    <w:rPr>
                      <w:rFonts w:ascii="宋体" w:hAnsi="宋体"/>
                      <w:spacing w:val="-6"/>
                      <w:szCs w:val="21"/>
                    </w:rPr>
                    <w:t>A</w:t>
                  </w:r>
                  <w:r>
                    <w:rPr>
                      <w:rFonts w:hint="eastAsia" w:ascii="宋体" w:hAnsi="宋体"/>
                      <w:spacing w:val="-6"/>
                      <w:szCs w:val="21"/>
                    </w:rPr>
                    <w:t>）</w:t>
                  </w:r>
                </w:p>
              </w:tc>
              <w:tc>
                <w:tcPr>
                  <w:tcW w:w="1995" w:type="dxa"/>
                  <w:tcBorders>
                    <w:top w:val="single" w:color="auto" w:sz="4" w:space="0"/>
                    <w:left w:val="single" w:color="auto" w:sz="6"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设备名称</w:t>
                  </w:r>
                </w:p>
              </w:tc>
              <w:tc>
                <w:tcPr>
                  <w:tcW w:w="2541" w:type="dxa"/>
                  <w:tcBorders>
                    <w:top w:val="single" w:color="auto" w:sz="4"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声功率级</w:t>
                  </w:r>
                  <w:r>
                    <w:rPr>
                      <w:rFonts w:ascii="宋体" w:hAnsi="宋体"/>
                      <w:spacing w:val="-6"/>
                      <w:szCs w:val="21"/>
                    </w:rPr>
                    <w:t xml:space="preserve"> L</w:t>
                  </w:r>
                  <w:r>
                    <w:rPr>
                      <w:rFonts w:ascii="宋体" w:hAnsi="宋体"/>
                      <w:spacing w:val="-6"/>
                      <w:szCs w:val="21"/>
                      <w:vertAlign w:val="subscript"/>
                    </w:rPr>
                    <w:t>WA</w:t>
                  </w:r>
                  <w:r>
                    <w:rPr>
                      <w:rFonts w:ascii="宋体" w:hAnsi="宋体"/>
                      <w:spacing w:val="-6"/>
                      <w:szCs w:val="21"/>
                    </w:rPr>
                    <w:t>dB</w:t>
                  </w:r>
                  <w:r>
                    <w:rPr>
                      <w:rFonts w:hint="eastAsia" w:ascii="宋体" w:hAnsi="宋体"/>
                      <w:spacing w:val="-6"/>
                      <w:szCs w:val="21"/>
                    </w:rPr>
                    <w:t>（</w:t>
                  </w:r>
                  <w:r>
                    <w:rPr>
                      <w:rFonts w:ascii="宋体" w:hAnsi="宋体"/>
                      <w:spacing w:val="-6"/>
                      <w:szCs w:val="21"/>
                    </w:rPr>
                    <w:t>A</w:t>
                  </w:r>
                  <w:r>
                    <w:rPr>
                      <w:rFonts w:hint="eastAsia" w:ascii="宋体" w:hAnsi="宋体"/>
                      <w:spacing w:val="-6"/>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trPr>
              <w:tc>
                <w:tcPr>
                  <w:tcW w:w="2132"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挖掘机</w:t>
                  </w:r>
                </w:p>
              </w:tc>
              <w:tc>
                <w:tcPr>
                  <w:tcW w:w="2563"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pacing w:val="-6"/>
                      <w:szCs w:val="21"/>
                    </w:rPr>
                  </w:pPr>
                  <w:r>
                    <w:rPr>
                      <w:rFonts w:ascii="宋体" w:hAnsi="宋体"/>
                      <w:spacing w:val="-6"/>
                      <w:szCs w:val="21"/>
                    </w:rPr>
                    <w:t>78</w:t>
                  </w:r>
                  <w:r>
                    <w:rPr>
                      <w:rFonts w:hint="eastAsia" w:ascii="宋体" w:hAnsi="宋体"/>
                      <w:spacing w:val="-6"/>
                      <w:szCs w:val="21"/>
                    </w:rPr>
                    <w:t>～</w:t>
                  </w:r>
                  <w:r>
                    <w:rPr>
                      <w:rFonts w:ascii="宋体" w:hAnsi="宋体"/>
                      <w:spacing w:val="-6"/>
                      <w:szCs w:val="21"/>
                    </w:rPr>
                    <w:t>96</w:t>
                  </w:r>
                </w:p>
              </w:tc>
              <w:tc>
                <w:tcPr>
                  <w:tcW w:w="1995" w:type="dxa"/>
                  <w:tcBorders>
                    <w:top w:val="single" w:color="auto" w:sz="6" w:space="0"/>
                    <w:left w:val="single" w:color="auto" w:sz="6"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电　锯</w:t>
                  </w:r>
                </w:p>
              </w:tc>
              <w:tc>
                <w:tcPr>
                  <w:tcW w:w="2541"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ascii="宋体" w:hAnsi="宋体"/>
                      <w:spacing w:val="-6"/>
                      <w:szCs w:val="21"/>
                    </w:rPr>
                    <w:t>100</w:t>
                  </w:r>
                  <w:r>
                    <w:rPr>
                      <w:rFonts w:hint="eastAsia" w:ascii="宋体" w:hAnsi="宋体"/>
                      <w:spacing w:val="-6"/>
                      <w:szCs w:val="21"/>
                    </w:rPr>
                    <w:t>～</w:t>
                  </w:r>
                  <w:r>
                    <w:rPr>
                      <w:rFonts w:ascii="宋体" w:hAnsi="宋体"/>
                      <w:spacing w:val="-6"/>
                      <w:szCs w:val="21"/>
                    </w:rPr>
                    <w:t>110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3" w:hRule="atLeast"/>
              </w:trPr>
              <w:tc>
                <w:tcPr>
                  <w:tcW w:w="2132"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打桩机</w:t>
                  </w:r>
                </w:p>
              </w:tc>
              <w:tc>
                <w:tcPr>
                  <w:tcW w:w="2563"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pacing w:val="-6"/>
                      <w:szCs w:val="21"/>
                    </w:rPr>
                  </w:pPr>
                  <w:r>
                    <w:rPr>
                      <w:rFonts w:ascii="宋体" w:hAnsi="宋体"/>
                      <w:spacing w:val="-6"/>
                      <w:szCs w:val="21"/>
                    </w:rPr>
                    <w:t>95</w:t>
                  </w:r>
                  <w:r>
                    <w:rPr>
                      <w:rFonts w:hint="eastAsia" w:ascii="宋体" w:hAnsi="宋体"/>
                      <w:spacing w:val="-6"/>
                      <w:szCs w:val="21"/>
                    </w:rPr>
                    <w:t>～</w:t>
                  </w:r>
                  <w:r>
                    <w:rPr>
                      <w:rFonts w:ascii="宋体" w:hAnsi="宋体"/>
                      <w:spacing w:val="-6"/>
                      <w:szCs w:val="21"/>
                    </w:rPr>
                    <w:t>105</w:t>
                  </w:r>
                </w:p>
              </w:tc>
              <w:tc>
                <w:tcPr>
                  <w:tcW w:w="1995" w:type="dxa"/>
                  <w:tcBorders>
                    <w:top w:val="single" w:color="auto" w:sz="6" w:space="0"/>
                    <w:left w:val="single" w:color="auto" w:sz="6"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卷扬机</w:t>
                  </w:r>
                </w:p>
              </w:tc>
              <w:tc>
                <w:tcPr>
                  <w:tcW w:w="2541"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ascii="宋体" w:hAnsi="宋体"/>
                      <w:spacing w:val="-6"/>
                      <w:szCs w:val="21"/>
                    </w:rPr>
                    <w:t>95</w:t>
                  </w:r>
                  <w:r>
                    <w:rPr>
                      <w:rFonts w:hint="eastAsia" w:ascii="宋体" w:hAnsi="宋体"/>
                      <w:spacing w:val="-6"/>
                      <w:szCs w:val="21"/>
                    </w:rPr>
                    <w:t>～</w:t>
                  </w:r>
                  <w:r>
                    <w:rPr>
                      <w:rFonts w:ascii="宋体" w:hAnsi="宋体"/>
                      <w:spacing w:val="-6"/>
                      <w:szCs w:val="21"/>
                    </w:rPr>
                    <w:t>105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trPr>
              <w:tc>
                <w:tcPr>
                  <w:tcW w:w="2132"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振捣机</w:t>
                  </w:r>
                </w:p>
              </w:tc>
              <w:tc>
                <w:tcPr>
                  <w:tcW w:w="2563"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pacing w:val="-6"/>
                      <w:szCs w:val="21"/>
                    </w:rPr>
                  </w:pPr>
                  <w:r>
                    <w:rPr>
                      <w:rFonts w:ascii="宋体" w:hAnsi="宋体"/>
                      <w:spacing w:val="-6"/>
                      <w:szCs w:val="21"/>
                    </w:rPr>
                    <w:t>90</w:t>
                  </w:r>
                  <w:r>
                    <w:rPr>
                      <w:rFonts w:hint="eastAsia" w:ascii="宋体" w:hAnsi="宋体"/>
                      <w:spacing w:val="-6"/>
                      <w:szCs w:val="21"/>
                    </w:rPr>
                    <w:t>～</w:t>
                  </w:r>
                  <w:r>
                    <w:rPr>
                      <w:rFonts w:ascii="宋体" w:hAnsi="宋体"/>
                      <w:spacing w:val="-6"/>
                      <w:szCs w:val="21"/>
                    </w:rPr>
                    <w:t>100</w:t>
                  </w:r>
                </w:p>
              </w:tc>
              <w:tc>
                <w:tcPr>
                  <w:tcW w:w="1995" w:type="dxa"/>
                  <w:tcBorders>
                    <w:top w:val="single" w:color="auto" w:sz="6" w:space="0"/>
                    <w:left w:val="single" w:color="auto" w:sz="6"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水　泵</w:t>
                  </w:r>
                </w:p>
              </w:tc>
              <w:tc>
                <w:tcPr>
                  <w:tcW w:w="2541"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ascii="宋体" w:hAnsi="宋体"/>
                      <w:spacing w:val="-6"/>
                      <w:szCs w:val="21"/>
                    </w:rPr>
                    <w:t>85</w:t>
                  </w:r>
                  <w:r>
                    <w:rPr>
                      <w:rFonts w:hint="eastAsia" w:ascii="宋体" w:hAnsi="宋体"/>
                      <w:spacing w:val="-6"/>
                      <w:szCs w:val="21"/>
                    </w:rPr>
                    <w:t>～</w:t>
                  </w:r>
                  <w:r>
                    <w:rPr>
                      <w:rFonts w:ascii="宋体" w:hAnsi="宋体"/>
                      <w:spacing w:val="-6"/>
                      <w:szCs w:val="21"/>
                    </w:rPr>
                    <w:t>95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trPr>
              <w:tc>
                <w:tcPr>
                  <w:tcW w:w="2132"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电　钻</w:t>
                  </w:r>
                </w:p>
              </w:tc>
              <w:tc>
                <w:tcPr>
                  <w:tcW w:w="2563"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pacing w:val="-6"/>
                      <w:szCs w:val="21"/>
                    </w:rPr>
                  </w:pPr>
                  <w:r>
                    <w:rPr>
                      <w:rFonts w:ascii="宋体" w:hAnsi="宋体"/>
                      <w:spacing w:val="-6"/>
                      <w:szCs w:val="21"/>
                    </w:rPr>
                    <w:t>90</w:t>
                  </w:r>
                  <w:r>
                    <w:rPr>
                      <w:rFonts w:hint="eastAsia" w:ascii="宋体" w:hAnsi="宋体"/>
                      <w:spacing w:val="-6"/>
                      <w:szCs w:val="21"/>
                    </w:rPr>
                    <w:t>～</w:t>
                  </w:r>
                  <w:r>
                    <w:rPr>
                      <w:rFonts w:ascii="宋体" w:hAnsi="宋体"/>
                      <w:spacing w:val="-6"/>
                      <w:szCs w:val="21"/>
                    </w:rPr>
                    <w:t>110</w:t>
                  </w:r>
                </w:p>
              </w:tc>
              <w:tc>
                <w:tcPr>
                  <w:tcW w:w="1995" w:type="dxa"/>
                  <w:tcBorders>
                    <w:top w:val="single" w:color="auto" w:sz="6" w:space="0"/>
                    <w:left w:val="single" w:color="auto" w:sz="6" w:space="0"/>
                    <w:bottom w:val="single" w:color="auto" w:sz="6" w:space="0"/>
                    <w:right w:val="single" w:color="auto" w:sz="4" w:space="0"/>
                  </w:tcBorders>
                  <w:vAlign w:val="center"/>
                </w:tcPr>
                <w:p>
                  <w:pPr>
                    <w:spacing w:line="360" w:lineRule="auto"/>
                    <w:jc w:val="center"/>
                    <w:rPr>
                      <w:rFonts w:ascii="宋体" w:hAnsi="宋体"/>
                      <w:spacing w:val="-6"/>
                      <w:szCs w:val="21"/>
                    </w:rPr>
                  </w:pPr>
                  <w:r>
                    <w:rPr>
                      <w:rFonts w:hint="eastAsia" w:ascii="宋体" w:hAnsi="宋体"/>
                      <w:spacing w:val="-6"/>
                      <w:szCs w:val="21"/>
                    </w:rPr>
                    <w:t>中型载重卡车</w:t>
                  </w:r>
                </w:p>
              </w:tc>
              <w:tc>
                <w:tcPr>
                  <w:tcW w:w="2541" w:type="dxa"/>
                  <w:tcBorders>
                    <w:top w:val="single" w:color="auto" w:sz="6" w:space="0"/>
                    <w:left w:val="single" w:color="auto" w:sz="4" w:space="0"/>
                    <w:bottom w:val="single" w:color="auto" w:sz="6" w:space="0"/>
                    <w:right w:val="single" w:color="auto" w:sz="4" w:space="0"/>
                  </w:tcBorders>
                  <w:vAlign w:val="center"/>
                </w:tcPr>
                <w:p>
                  <w:pPr>
                    <w:spacing w:line="360" w:lineRule="auto"/>
                    <w:jc w:val="center"/>
                    <w:rPr>
                      <w:rFonts w:ascii="宋体" w:hAnsi="宋体"/>
                      <w:spacing w:val="-6"/>
                      <w:szCs w:val="21"/>
                    </w:rPr>
                  </w:pPr>
                  <w:r>
                    <w:rPr>
                      <w:rFonts w:ascii="宋体" w:hAnsi="宋体"/>
                      <w:spacing w:val="-6"/>
                      <w:szCs w:val="21"/>
                    </w:rPr>
                    <w:t>85</w:t>
                  </w:r>
                  <w:r>
                    <w:rPr>
                      <w:rFonts w:hint="eastAsia" w:ascii="宋体" w:hAnsi="宋体"/>
                      <w:spacing w:val="-6"/>
                      <w:szCs w:val="21"/>
                    </w:rPr>
                    <w:t>～</w:t>
                  </w:r>
                  <w:r>
                    <w:rPr>
                      <w:rFonts w:ascii="宋体" w:hAnsi="宋体"/>
                      <w:spacing w:val="-6"/>
                      <w:szCs w:val="21"/>
                    </w:rPr>
                    <w:t>91</w:t>
                  </w:r>
                </w:p>
              </w:tc>
            </w:tr>
          </w:tbl>
          <w:p>
            <w:pPr>
              <w:spacing w:line="360" w:lineRule="auto"/>
              <w:jc w:val="center"/>
              <w:rPr>
                <w:rFonts w:ascii="宋体" w:hAnsi="宋体"/>
                <w:bCs/>
                <w:spacing w:val="-6"/>
                <w:sz w:val="24"/>
              </w:rPr>
            </w:pPr>
          </w:p>
          <w:p>
            <w:pPr>
              <w:spacing w:line="360" w:lineRule="auto"/>
              <w:jc w:val="center"/>
              <w:rPr>
                <w:rFonts w:ascii="宋体" w:hAnsi="宋体"/>
                <w:bCs/>
                <w:color w:val="000000" w:themeColor="text1"/>
                <w:spacing w:val="-6"/>
                <w:sz w:val="24"/>
              </w:rPr>
            </w:pPr>
            <w:r>
              <w:rPr>
                <w:rFonts w:hint="eastAsia" w:ascii="宋体" w:hAnsi="宋体"/>
                <w:bCs/>
                <w:color w:val="000000" w:themeColor="text1"/>
                <w:spacing w:val="-6"/>
                <w:sz w:val="24"/>
              </w:rPr>
              <w:t>表18      各阶段主要声源统计表</w:t>
            </w:r>
          </w:p>
          <w:tbl>
            <w:tblPr>
              <w:tblStyle w:val="42"/>
              <w:tblW w:w="9158" w:type="dxa"/>
              <w:jc w:val="center"/>
              <w:tblInd w:w="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26"/>
              <w:gridCol w:w="1526"/>
              <w:gridCol w:w="1527"/>
              <w:gridCol w:w="1526"/>
              <w:gridCol w:w="1525"/>
              <w:gridCol w:w="15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91" w:hRule="atLeast"/>
                <w:jc w:val="center"/>
              </w:trPr>
              <w:tc>
                <w:tcPr>
                  <w:tcW w:w="1526" w:type="dxa"/>
                  <w:tcBorders>
                    <w:top w:val="single" w:color="auto" w:sz="4"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施工期</w:t>
                  </w:r>
                </w:p>
              </w:tc>
              <w:tc>
                <w:tcPr>
                  <w:tcW w:w="1526"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主要声源</w:t>
                  </w:r>
                </w:p>
              </w:tc>
              <w:tc>
                <w:tcPr>
                  <w:tcW w:w="1527"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声功率级</w:t>
                  </w:r>
                  <w:r>
                    <w:rPr>
                      <w:rFonts w:ascii="宋体" w:hAnsi="宋体"/>
                      <w:color w:val="000000" w:themeColor="text1"/>
                      <w:spacing w:val="-6"/>
                      <w:szCs w:val="21"/>
                    </w:rPr>
                    <w:t>L</w:t>
                  </w:r>
                  <w:r>
                    <w:rPr>
                      <w:rFonts w:ascii="宋体" w:hAnsi="宋体"/>
                      <w:color w:val="000000" w:themeColor="text1"/>
                      <w:spacing w:val="-6"/>
                      <w:szCs w:val="21"/>
                      <w:vertAlign w:val="subscript"/>
                    </w:rPr>
                    <w:t>WA</w:t>
                  </w:r>
                  <w:r>
                    <w:rPr>
                      <w:rFonts w:ascii="宋体" w:hAnsi="宋体"/>
                      <w:color w:val="000000" w:themeColor="text1"/>
                      <w:spacing w:val="-6"/>
                      <w:szCs w:val="21"/>
                    </w:rPr>
                    <w:t>dB</w:t>
                  </w:r>
                  <w:r>
                    <w:rPr>
                      <w:rFonts w:hint="eastAsia" w:ascii="宋体" w:hAnsi="宋体"/>
                      <w:color w:val="000000" w:themeColor="text1"/>
                      <w:spacing w:val="-6"/>
                      <w:szCs w:val="21"/>
                    </w:rPr>
                    <w:t>（</w:t>
                  </w:r>
                  <w:r>
                    <w:rPr>
                      <w:rFonts w:ascii="宋体" w:hAnsi="宋体"/>
                      <w:color w:val="000000" w:themeColor="text1"/>
                      <w:spacing w:val="-6"/>
                      <w:szCs w:val="21"/>
                    </w:rPr>
                    <w:t>A</w:t>
                  </w:r>
                  <w:r>
                    <w:rPr>
                      <w:rFonts w:hint="eastAsia" w:ascii="宋体" w:hAnsi="宋体"/>
                      <w:color w:val="000000" w:themeColor="text1"/>
                      <w:spacing w:val="-6"/>
                      <w:szCs w:val="21"/>
                    </w:rPr>
                    <w:t>）</w:t>
                  </w:r>
                </w:p>
              </w:tc>
              <w:tc>
                <w:tcPr>
                  <w:tcW w:w="1526"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施工期</w:t>
                  </w:r>
                </w:p>
              </w:tc>
              <w:tc>
                <w:tcPr>
                  <w:tcW w:w="1525"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主要声源</w:t>
                  </w:r>
                </w:p>
              </w:tc>
              <w:tc>
                <w:tcPr>
                  <w:tcW w:w="1528" w:type="dxa"/>
                  <w:tcBorders>
                    <w:top w:val="single" w:color="auto" w:sz="4"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声功率级</w:t>
                  </w:r>
                  <w:r>
                    <w:rPr>
                      <w:rFonts w:ascii="宋体" w:hAnsi="宋体"/>
                      <w:color w:val="000000" w:themeColor="text1"/>
                      <w:spacing w:val="-6"/>
                      <w:szCs w:val="21"/>
                    </w:rPr>
                    <w:t>L</w:t>
                  </w:r>
                  <w:r>
                    <w:rPr>
                      <w:rFonts w:ascii="宋体" w:hAnsi="宋体"/>
                      <w:color w:val="000000" w:themeColor="text1"/>
                      <w:spacing w:val="-6"/>
                      <w:szCs w:val="21"/>
                      <w:vertAlign w:val="subscript"/>
                    </w:rPr>
                    <w:t>WA</w:t>
                  </w:r>
                  <w:r>
                    <w:rPr>
                      <w:rFonts w:ascii="宋体" w:hAnsi="宋体"/>
                      <w:color w:val="000000" w:themeColor="text1"/>
                      <w:spacing w:val="-6"/>
                      <w:szCs w:val="21"/>
                    </w:rPr>
                    <w:t>dB</w:t>
                  </w:r>
                  <w:r>
                    <w:rPr>
                      <w:rFonts w:hint="eastAsia" w:ascii="宋体" w:hAnsi="宋体"/>
                      <w:color w:val="000000" w:themeColor="text1"/>
                      <w:spacing w:val="-6"/>
                      <w:szCs w:val="21"/>
                    </w:rPr>
                    <w:t>（</w:t>
                  </w:r>
                  <w:r>
                    <w:rPr>
                      <w:rFonts w:ascii="宋体" w:hAnsi="宋体"/>
                      <w:color w:val="000000" w:themeColor="text1"/>
                      <w:spacing w:val="-6"/>
                      <w:szCs w:val="21"/>
                    </w:rPr>
                    <w:t>A</w:t>
                  </w:r>
                  <w:r>
                    <w:rPr>
                      <w:rFonts w:hint="eastAsia" w:ascii="宋体" w:hAnsi="宋体"/>
                      <w:color w:val="000000" w:themeColor="text1"/>
                      <w:spacing w:val="-6"/>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22" w:hRule="atLeast"/>
                <w:jc w:val="center"/>
              </w:trPr>
              <w:tc>
                <w:tcPr>
                  <w:tcW w:w="1526" w:type="dxa"/>
                  <w:vMerge w:val="restart"/>
                  <w:tcBorders>
                    <w:top w:val="single" w:color="auto" w:sz="6"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基础工程阶段</w:t>
                  </w:r>
                </w:p>
              </w:tc>
              <w:tc>
                <w:tcPr>
                  <w:tcW w:w="1526" w:type="dxa"/>
                  <w:vMerge w:val="restar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挖掘机</w:t>
                  </w:r>
                </w:p>
              </w:tc>
              <w:tc>
                <w:tcPr>
                  <w:tcW w:w="1527" w:type="dxa"/>
                  <w:vMerge w:val="restar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ascii="宋体" w:hAnsi="宋体"/>
                      <w:color w:val="000000" w:themeColor="text1"/>
                      <w:spacing w:val="-6"/>
                      <w:szCs w:val="21"/>
                    </w:rPr>
                    <w:t>78</w:t>
                  </w:r>
                  <w:r>
                    <w:rPr>
                      <w:rFonts w:hint="eastAsia" w:ascii="宋体" w:hAnsi="宋体"/>
                      <w:color w:val="000000" w:themeColor="text1"/>
                      <w:spacing w:val="-6"/>
                      <w:szCs w:val="21"/>
                    </w:rPr>
                    <w:t>～</w:t>
                  </w:r>
                  <w:r>
                    <w:rPr>
                      <w:rFonts w:ascii="宋体" w:hAnsi="宋体"/>
                      <w:color w:val="000000" w:themeColor="text1"/>
                      <w:spacing w:val="-6"/>
                      <w:szCs w:val="21"/>
                    </w:rPr>
                    <w:t>96</w:t>
                  </w:r>
                </w:p>
              </w:tc>
              <w:tc>
                <w:tcPr>
                  <w:tcW w:w="1526" w:type="dxa"/>
                  <w:vMerge w:val="restar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主体工程阶段</w:t>
                  </w:r>
                </w:p>
              </w:tc>
              <w:tc>
                <w:tcPr>
                  <w:tcW w:w="152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振捣机</w:t>
                  </w:r>
                </w:p>
              </w:tc>
              <w:tc>
                <w:tcPr>
                  <w:tcW w:w="1528" w:type="dxa"/>
                  <w:vMerge w:val="restart"/>
                  <w:tcBorders>
                    <w:top w:val="single" w:color="auto" w:sz="6"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pacing w:val="-6"/>
                      <w:szCs w:val="21"/>
                    </w:rPr>
                  </w:pPr>
                  <w:r>
                    <w:rPr>
                      <w:rFonts w:ascii="宋体" w:hAnsi="宋体"/>
                      <w:color w:val="000000" w:themeColor="text1"/>
                      <w:spacing w:val="-6"/>
                      <w:szCs w:val="21"/>
                    </w:rPr>
                    <w:t>75</w:t>
                  </w:r>
                  <w:r>
                    <w:rPr>
                      <w:rFonts w:hint="eastAsia" w:ascii="宋体" w:hAnsi="宋体"/>
                      <w:color w:val="000000" w:themeColor="text1"/>
                      <w:spacing w:val="-6"/>
                      <w:szCs w:val="21"/>
                    </w:rPr>
                    <w:t>～</w:t>
                  </w:r>
                  <w:r>
                    <w:rPr>
                      <w:rFonts w:ascii="宋体" w:hAnsi="宋体"/>
                      <w:color w:val="000000" w:themeColor="text1"/>
                      <w:spacing w:val="-6"/>
                      <w:szCs w:val="21"/>
                    </w:rPr>
                    <w:t>105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22" w:hRule="atLeast"/>
                <w:jc w:val="center"/>
              </w:trPr>
              <w:tc>
                <w:tcPr>
                  <w:tcW w:w="1526" w:type="dxa"/>
                  <w:vMerge w:val="continue"/>
                  <w:tcBorders>
                    <w:top w:val="single" w:color="auto" w:sz="6"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6"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7"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6"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打桩机</w:t>
                  </w:r>
                </w:p>
              </w:tc>
              <w:tc>
                <w:tcPr>
                  <w:tcW w:w="1528" w:type="dxa"/>
                  <w:vMerge w:val="continue"/>
                  <w:tcBorders>
                    <w:top w:val="single" w:color="auto" w:sz="6"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pacing w:val="-6"/>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22" w:hRule="atLeast"/>
                <w:jc w:val="center"/>
              </w:trPr>
              <w:tc>
                <w:tcPr>
                  <w:tcW w:w="1526" w:type="dxa"/>
                  <w:vMerge w:val="continue"/>
                  <w:tcBorders>
                    <w:top w:val="single" w:color="auto" w:sz="6"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6"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7"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6"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p>
              </w:tc>
              <w:tc>
                <w:tcPr>
                  <w:tcW w:w="152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升降机</w:t>
                  </w:r>
                </w:p>
              </w:tc>
              <w:tc>
                <w:tcPr>
                  <w:tcW w:w="1528" w:type="dxa"/>
                  <w:vMerge w:val="continue"/>
                  <w:tcBorders>
                    <w:top w:val="single" w:color="auto" w:sz="6"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pacing w:val="-6"/>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22" w:hRule="atLeast"/>
                <w:jc w:val="center"/>
              </w:trPr>
              <w:tc>
                <w:tcPr>
                  <w:tcW w:w="1526" w:type="dxa"/>
                  <w:tcBorders>
                    <w:top w:val="single" w:color="auto" w:sz="6"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装修工程阶段</w:t>
                  </w:r>
                </w:p>
              </w:tc>
              <w:tc>
                <w:tcPr>
                  <w:tcW w:w="152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电　钻</w:t>
                  </w:r>
                </w:p>
              </w:tc>
              <w:tc>
                <w:tcPr>
                  <w:tcW w:w="152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ascii="宋体" w:hAnsi="宋体"/>
                      <w:color w:val="000000" w:themeColor="text1"/>
                      <w:spacing w:val="-6"/>
                      <w:szCs w:val="21"/>
                    </w:rPr>
                    <w:t>90</w:t>
                  </w:r>
                  <w:r>
                    <w:rPr>
                      <w:rFonts w:hint="eastAsia" w:ascii="宋体" w:hAnsi="宋体"/>
                      <w:color w:val="000000" w:themeColor="text1"/>
                      <w:spacing w:val="-6"/>
                      <w:szCs w:val="21"/>
                    </w:rPr>
                    <w:t>～</w:t>
                  </w:r>
                  <w:r>
                    <w:rPr>
                      <w:rFonts w:ascii="宋体" w:hAnsi="宋体"/>
                      <w:color w:val="000000" w:themeColor="text1"/>
                      <w:spacing w:val="-6"/>
                      <w:szCs w:val="21"/>
                    </w:rPr>
                    <w:t>110</w:t>
                  </w:r>
                </w:p>
              </w:tc>
              <w:tc>
                <w:tcPr>
                  <w:tcW w:w="152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扫尾阶段</w:t>
                  </w:r>
                </w:p>
              </w:tc>
              <w:tc>
                <w:tcPr>
                  <w:tcW w:w="152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pacing w:val="-6"/>
                      <w:szCs w:val="21"/>
                    </w:rPr>
                  </w:pPr>
                  <w:r>
                    <w:rPr>
                      <w:rFonts w:hint="eastAsia" w:ascii="宋体" w:hAnsi="宋体"/>
                      <w:color w:val="000000" w:themeColor="text1"/>
                      <w:spacing w:val="-6"/>
                      <w:szCs w:val="21"/>
                    </w:rPr>
                    <w:t>运输车辆</w:t>
                  </w:r>
                </w:p>
              </w:tc>
              <w:tc>
                <w:tcPr>
                  <w:tcW w:w="1528" w:type="dxa"/>
                  <w:tcBorders>
                    <w:top w:val="single" w:color="auto" w:sz="6"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pacing w:val="-6"/>
                      <w:szCs w:val="21"/>
                    </w:rPr>
                  </w:pPr>
                  <w:r>
                    <w:rPr>
                      <w:rFonts w:ascii="宋体" w:hAnsi="宋体"/>
                      <w:color w:val="000000" w:themeColor="text1"/>
                      <w:spacing w:val="-6"/>
                      <w:szCs w:val="21"/>
                    </w:rPr>
                    <w:t>85</w:t>
                  </w:r>
                  <w:r>
                    <w:rPr>
                      <w:rFonts w:hint="eastAsia" w:ascii="宋体" w:hAnsi="宋体"/>
                      <w:color w:val="000000" w:themeColor="text1"/>
                      <w:spacing w:val="-6"/>
                      <w:szCs w:val="21"/>
                    </w:rPr>
                    <w:t>～</w:t>
                  </w:r>
                  <w:r>
                    <w:rPr>
                      <w:rFonts w:ascii="宋体" w:hAnsi="宋体"/>
                      <w:color w:val="000000" w:themeColor="text1"/>
                      <w:spacing w:val="-6"/>
                      <w:szCs w:val="21"/>
                    </w:rPr>
                    <w:t>91</w:t>
                  </w:r>
                </w:p>
              </w:tc>
            </w:tr>
          </w:tbl>
          <w:p>
            <w:pPr>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由于施工工序的不同</w:t>
            </w:r>
            <w:r>
              <w:rPr>
                <w:rFonts w:ascii="宋体" w:hAnsi="宋体"/>
                <w:bCs/>
                <w:color w:val="000000" w:themeColor="text1"/>
                <w:sz w:val="24"/>
              </w:rPr>
              <w:t>,</w:t>
            </w:r>
            <w:r>
              <w:rPr>
                <w:rFonts w:hint="eastAsia" w:ascii="宋体" w:hAnsi="宋体"/>
                <w:bCs/>
                <w:color w:val="000000" w:themeColor="text1"/>
                <w:sz w:val="24"/>
              </w:rPr>
              <w:t>施工机械的运行具有间断性和非同时性</w:t>
            </w:r>
            <w:r>
              <w:rPr>
                <w:rFonts w:ascii="宋体" w:hAnsi="宋体"/>
                <w:bCs/>
                <w:color w:val="000000" w:themeColor="text1"/>
                <w:sz w:val="24"/>
              </w:rPr>
              <w:t>,</w:t>
            </w:r>
            <w:r>
              <w:rPr>
                <w:rFonts w:hint="eastAsia" w:ascii="宋体" w:hAnsi="宋体"/>
                <w:bCs/>
                <w:color w:val="000000" w:themeColor="text1"/>
                <w:sz w:val="24"/>
              </w:rPr>
              <w:t>现场施工时具体投入多少台机械设备很难预测</w:t>
            </w:r>
            <w:r>
              <w:rPr>
                <w:rFonts w:ascii="宋体" w:hAnsi="宋体"/>
                <w:bCs/>
                <w:color w:val="000000" w:themeColor="text1"/>
                <w:sz w:val="24"/>
              </w:rPr>
              <w:t>,</w:t>
            </w:r>
            <w:r>
              <w:rPr>
                <w:rFonts w:hint="eastAsia" w:ascii="宋体" w:hAnsi="宋体"/>
                <w:bCs/>
                <w:color w:val="000000" w:themeColor="text1"/>
                <w:sz w:val="24"/>
              </w:rPr>
              <w:t>本次评价结合施工进度分阶段进行预测</w:t>
            </w:r>
            <w:r>
              <w:rPr>
                <w:rFonts w:ascii="宋体" w:hAnsi="宋体"/>
                <w:bCs/>
                <w:color w:val="000000" w:themeColor="text1"/>
                <w:sz w:val="24"/>
              </w:rPr>
              <w:t>,</w:t>
            </w:r>
            <w:r>
              <w:rPr>
                <w:rFonts w:hint="eastAsia" w:ascii="宋体" w:hAnsi="宋体"/>
                <w:bCs/>
                <w:color w:val="000000" w:themeColor="text1"/>
                <w:sz w:val="24"/>
              </w:rPr>
              <w:t>每阶段取最大噪声值。基础工程阶段噪声源强</w:t>
            </w:r>
            <w:r>
              <w:rPr>
                <w:rFonts w:hint="eastAsia" w:ascii="宋体" w:hAnsi="宋体"/>
                <w:color w:val="000000" w:themeColor="text1"/>
                <w:spacing w:val="-6"/>
                <w:sz w:val="24"/>
              </w:rPr>
              <w:t>声功率级</w:t>
            </w:r>
            <w:r>
              <w:rPr>
                <w:rFonts w:hint="eastAsia" w:ascii="宋体" w:hAnsi="宋体"/>
                <w:bCs/>
                <w:color w:val="000000" w:themeColor="text1"/>
                <w:sz w:val="24"/>
              </w:rPr>
              <w:t>为</w:t>
            </w:r>
            <w:r>
              <w:rPr>
                <w:rFonts w:ascii="宋体" w:hAnsi="宋体"/>
                <w:bCs/>
                <w:color w:val="000000" w:themeColor="text1"/>
                <w:sz w:val="24"/>
              </w:rPr>
              <w:t>96dB</w:t>
            </w:r>
            <w:r>
              <w:rPr>
                <w:rFonts w:hint="eastAsia" w:ascii="宋体" w:hAnsi="宋体"/>
                <w:bCs/>
                <w:color w:val="000000" w:themeColor="text1"/>
                <w:sz w:val="24"/>
              </w:rPr>
              <w:t>（</w:t>
            </w:r>
            <w:r>
              <w:rPr>
                <w:rFonts w:ascii="宋体" w:hAnsi="宋体"/>
                <w:bCs/>
                <w:color w:val="000000" w:themeColor="text1"/>
                <w:sz w:val="24"/>
              </w:rPr>
              <w:t>A</w:t>
            </w:r>
            <w:r>
              <w:rPr>
                <w:rFonts w:hint="eastAsia" w:ascii="宋体" w:hAnsi="宋体"/>
                <w:bCs/>
                <w:color w:val="000000" w:themeColor="text1"/>
                <w:sz w:val="24"/>
              </w:rPr>
              <w:t>）</w:t>
            </w:r>
            <w:r>
              <w:rPr>
                <w:rFonts w:ascii="宋体" w:hAnsi="宋体"/>
                <w:bCs/>
                <w:color w:val="000000" w:themeColor="text1"/>
                <w:sz w:val="24"/>
              </w:rPr>
              <w:t>,</w:t>
            </w:r>
            <w:r>
              <w:rPr>
                <w:rFonts w:hint="eastAsia" w:ascii="宋体" w:hAnsi="宋体"/>
                <w:bCs/>
                <w:color w:val="000000" w:themeColor="text1"/>
                <w:sz w:val="24"/>
              </w:rPr>
              <w:t>主体工程阶段噪声源强</w:t>
            </w:r>
            <w:r>
              <w:rPr>
                <w:rFonts w:hint="eastAsia" w:ascii="宋体" w:hAnsi="宋体"/>
                <w:color w:val="000000" w:themeColor="text1"/>
                <w:spacing w:val="-6"/>
                <w:sz w:val="24"/>
              </w:rPr>
              <w:t>声功率级</w:t>
            </w:r>
            <w:r>
              <w:rPr>
                <w:rFonts w:hint="eastAsia" w:ascii="宋体" w:hAnsi="宋体"/>
                <w:bCs/>
                <w:color w:val="000000" w:themeColor="text1"/>
                <w:sz w:val="24"/>
              </w:rPr>
              <w:t>为</w:t>
            </w:r>
            <w:r>
              <w:rPr>
                <w:rFonts w:ascii="宋体" w:hAnsi="宋体"/>
                <w:bCs/>
                <w:color w:val="000000" w:themeColor="text1"/>
                <w:sz w:val="24"/>
              </w:rPr>
              <w:t>110dB</w:t>
            </w:r>
            <w:r>
              <w:rPr>
                <w:rFonts w:hint="eastAsia" w:ascii="宋体" w:hAnsi="宋体"/>
                <w:bCs/>
                <w:color w:val="000000" w:themeColor="text1"/>
                <w:sz w:val="24"/>
              </w:rPr>
              <w:t>（</w:t>
            </w:r>
            <w:r>
              <w:rPr>
                <w:rFonts w:ascii="宋体" w:hAnsi="宋体"/>
                <w:bCs/>
                <w:color w:val="000000" w:themeColor="text1"/>
                <w:sz w:val="24"/>
              </w:rPr>
              <w:t>A</w:t>
            </w:r>
            <w:r>
              <w:rPr>
                <w:rFonts w:hint="eastAsia" w:ascii="宋体" w:hAnsi="宋体"/>
                <w:bCs/>
                <w:color w:val="000000" w:themeColor="text1"/>
                <w:sz w:val="24"/>
              </w:rPr>
              <w:t>）</w:t>
            </w:r>
            <w:r>
              <w:rPr>
                <w:rFonts w:ascii="宋体" w:hAnsi="宋体"/>
                <w:bCs/>
                <w:color w:val="000000" w:themeColor="text1"/>
                <w:sz w:val="24"/>
              </w:rPr>
              <w:t>,</w:t>
            </w:r>
            <w:r>
              <w:rPr>
                <w:rFonts w:hint="eastAsia" w:ascii="宋体" w:hAnsi="宋体"/>
                <w:bCs/>
                <w:color w:val="000000" w:themeColor="text1"/>
                <w:sz w:val="24"/>
              </w:rPr>
              <w:t>装修阶段噪声源强</w:t>
            </w:r>
            <w:r>
              <w:rPr>
                <w:rFonts w:hint="eastAsia" w:ascii="宋体" w:hAnsi="宋体"/>
                <w:color w:val="000000" w:themeColor="text1"/>
                <w:spacing w:val="-6"/>
                <w:sz w:val="24"/>
              </w:rPr>
              <w:t>声功率级</w:t>
            </w:r>
            <w:r>
              <w:rPr>
                <w:rFonts w:hint="eastAsia" w:ascii="宋体" w:hAnsi="宋体"/>
                <w:bCs/>
                <w:color w:val="000000" w:themeColor="text1"/>
                <w:sz w:val="24"/>
              </w:rPr>
              <w:t>为</w:t>
            </w:r>
            <w:r>
              <w:rPr>
                <w:rFonts w:ascii="宋体" w:hAnsi="宋体"/>
                <w:bCs/>
                <w:color w:val="000000" w:themeColor="text1"/>
                <w:sz w:val="24"/>
              </w:rPr>
              <w:t>110dB</w:t>
            </w:r>
            <w:r>
              <w:rPr>
                <w:rFonts w:hint="eastAsia" w:ascii="宋体" w:hAnsi="宋体"/>
                <w:bCs/>
                <w:color w:val="000000" w:themeColor="text1"/>
                <w:sz w:val="24"/>
              </w:rPr>
              <w:t>（</w:t>
            </w:r>
            <w:r>
              <w:rPr>
                <w:rFonts w:ascii="宋体" w:hAnsi="宋体"/>
                <w:bCs/>
                <w:color w:val="000000" w:themeColor="text1"/>
                <w:sz w:val="24"/>
              </w:rPr>
              <w:t>A</w:t>
            </w:r>
            <w:r>
              <w:rPr>
                <w:rFonts w:hint="eastAsia" w:ascii="宋体" w:hAnsi="宋体"/>
                <w:bCs/>
                <w:color w:val="000000" w:themeColor="text1"/>
                <w:sz w:val="24"/>
              </w:rPr>
              <w:t>）</w:t>
            </w:r>
            <w:r>
              <w:rPr>
                <w:rFonts w:ascii="宋体" w:hAnsi="宋体"/>
                <w:bCs/>
                <w:color w:val="000000" w:themeColor="text1"/>
                <w:sz w:val="24"/>
              </w:rPr>
              <w:t>,</w:t>
            </w:r>
            <w:r>
              <w:rPr>
                <w:rFonts w:hint="eastAsia" w:ascii="宋体" w:hAnsi="宋体"/>
                <w:bCs/>
                <w:color w:val="000000" w:themeColor="text1"/>
                <w:sz w:val="24"/>
              </w:rPr>
              <w:t>扫尾工程阶段噪声源强</w:t>
            </w:r>
            <w:r>
              <w:rPr>
                <w:rFonts w:hint="eastAsia" w:ascii="宋体" w:hAnsi="宋体"/>
                <w:color w:val="000000" w:themeColor="text1"/>
                <w:spacing w:val="-6"/>
                <w:sz w:val="24"/>
              </w:rPr>
              <w:t>声功率级</w:t>
            </w:r>
            <w:r>
              <w:rPr>
                <w:rFonts w:hint="eastAsia" w:ascii="宋体" w:hAnsi="宋体"/>
                <w:bCs/>
                <w:color w:val="000000" w:themeColor="text1"/>
                <w:sz w:val="24"/>
              </w:rPr>
              <w:t>为</w:t>
            </w:r>
            <w:r>
              <w:rPr>
                <w:rFonts w:ascii="宋体" w:hAnsi="宋体"/>
                <w:bCs/>
                <w:color w:val="000000" w:themeColor="text1"/>
                <w:sz w:val="24"/>
              </w:rPr>
              <w:t>91dB</w:t>
            </w:r>
            <w:r>
              <w:rPr>
                <w:rFonts w:hint="eastAsia" w:ascii="宋体" w:hAnsi="宋体"/>
                <w:bCs/>
                <w:color w:val="000000" w:themeColor="text1"/>
                <w:sz w:val="24"/>
              </w:rPr>
              <w:t>（</w:t>
            </w:r>
            <w:r>
              <w:rPr>
                <w:rFonts w:ascii="宋体" w:hAnsi="宋体"/>
                <w:bCs/>
                <w:color w:val="000000" w:themeColor="text1"/>
                <w:sz w:val="24"/>
              </w:rPr>
              <w:t>A</w:t>
            </w:r>
            <w:r>
              <w:rPr>
                <w:rFonts w:hint="eastAsia" w:ascii="宋体" w:hAnsi="宋体"/>
                <w:bCs/>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2、施工期噪声预测</w:t>
            </w:r>
          </w:p>
          <w:p>
            <w:pPr>
              <w:spacing w:line="360" w:lineRule="auto"/>
              <w:ind w:firstLine="480" w:firstLineChars="200"/>
              <w:rPr>
                <w:rFonts w:ascii="宋体" w:hAnsi="宋体"/>
                <w:bCs/>
                <w:sz w:val="24"/>
              </w:rPr>
            </w:pPr>
            <w:r>
              <w:rPr>
                <w:rFonts w:hint="eastAsia" w:ascii="宋体" w:hAnsi="宋体"/>
                <w:bCs/>
                <w:sz w:val="24"/>
              </w:rPr>
              <w:t>衰减模式为</w:t>
            </w:r>
            <w:r>
              <w:rPr>
                <w:rFonts w:ascii="宋体" w:hAnsi="宋体"/>
                <w:bCs/>
                <w:sz w:val="24"/>
              </w:rPr>
              <w:t>:</w:t>
            </w:r>
          </w:p>
          <w:p>
            <w:pPr>
              <w:spacing w:line="360" w:lineRule="auto"/>
              <w:ind w:firstLine="2400" w:firstLineChars="1000"/>
              <w:rPr>
                <w:rFonts w:ascii="宋体" w:hAnsi="宋体"/>
                <w:bCs/>
                <w:sz w:val="24"/>
              </w:rPr>
            </w:pPr>
            <w:r>
              <w:rPr>
                <w:rFonts w:ascii="宋体" w:hAnsi="宋体"/>
                <w:bCs/>
                <w:sz w:val="24"/>
              </w:rPr>
              <w:t>L</w:t>
            </w:r>
            <w:r>
              <w:rPr>
                <w:rFonts w:ascii="宋体" w:hAnsi="宋体"/>
                <w:bCs/>
                <w:sz w:val="24"/>
                <w:vertAlign w:val="subscript"/>
              </w:rPr>
              <w:t>A</w:t>
            </w:r>
            <w:r>
              <w:rPr>
                <w:rFonts w:hint="eastAsia" w:ascii="宋体" w:hAnsi="宋体"/>
                <w:bCs/>
                <w:sz w:val="24"/>
              </w:rPr>
              <w:t>（</w:t>
            </w:r>
            <w:r>
              <w:rPr>
                <w:rFonts w:ascii="宋体" w:hAnsi="宋体"/>
                <w:bCs/>
                <w:sz w:val="24"/>
              </w:rPr>
              <w:t>r</w:t>
            </w:r>
            <w:r>
              <w:rPr>
                <w:rFonts w:hint="eastAsia" w:ascii="宋体" w:hAnsi="宋体"/>
                <w:bCs/>
                <w:sz w:val="24"/>
              </w:rPr>
              <w:t>）</w:t>
            </w:r>
            <w:r>
              <w:rPr>
                <w:rFonts w:ascii="宋体" w:hAnsi="宋体"/>
                <w:bCs/>
                <w:sz w:val="24"/>
              </w:rPr>
              <w:t xml:space="preserve">= </w:t>
            </w:r>
            <w:r>
              <w:rPr>
                <w:rFonts w:ascii="宋体" w:hAnsi="宋体"/>
                <w:spacing w:val="-6"/>
                <w:szCs w:val="21"/>
              </w:rPr>
              <w:t>L</w:t>
            </w:r>
            <w:r>
              <w:rPr>
                <w:rFonts w:ascii="宋体" w:hAnsi="宋体"/>
                <w:spacing w:val="-6"/>
                <w:szCs w:val="21"/>
                <w:vertAlign w:val="subscript"/>
              </w:rPr>
              <w:t>WA</w:t>
            </w:r>
            <w:r>
              <w:rPr>
                <w:rFonts w:hint="eastAsia" w:ascii="宋体" w:hAnsi="宋体"/>
                <w:bCs/>
                <w:sz w:val="24"/>
              </w:rPr>
              <w:t>－</w:t>
            </w:r>
            <w:r>
              <w:rPr>
                <w:rFonts w:ascii="宋体" w:hAnsi="宋体"/>
                <w:bCs/>
                <w:sz w:val="24"/>
              </w:rPr>
              <w:t>20lgr</w:t>
            </w:r>
            <w:r>
              <w:rPr>
                <w:rFonts w:hint="eastAsia" w:ascii="宋体" w:hAnsi="宋体"/>
                <w:bCs/>
                <w:sz w:val="24"/>
              </w:rPr>
              <w:t>－</w:t>
            </w:r>
            <w:r>
              <w:rPr>
                <w:rFonts w:ascii="宋体" w:hAnsi="宋体"/>
                <w:bCs/>
                <w:sz w:val="24"/>
              </w:rPr>
              <w:t>11</w:t>
            </w:r>
          </w:p>
          <w:p>
            <w:pPr>
              <w:spacing w:line="360" w:lineRule="auto"/>
              <w:ind w:firstLine="480" w:firstLineChars="200"/>
              <w:rPr>
                <w:rFonts w:ascii="宋体" w:hAnsi="宋体"/>
                <w:bCs/>
                <w:sz w:val="24"/>
              </w:rPr>
            </w:pPr>
            <w:r>
              <w:rPr>
                <w:rFonts w:hint="eastAsia" w:ascii="宋体" w:hAnsi="宋体"/>
                <w:bCs/>
                <w:sz w:val="24"/>
              </w:rPr>
              <w:t>式中</w:t>
            </w:r>
            <w:r>
              <w:rPr>
                <w:rFonts w:ascii="宋体" w:hAnsi="宋体"/>
                <w:bCs/>
                <w:sz w:val="24"/>
              </w:rPr>
              <w:t>:</w:t>
            </w:r>
          </w:p>
          <w:p>
            <w:pPr>
              <w:spacing w:line="360" w:lineRule="auto"/>
              <w:ind w:firstLine="480" w:firstLineChars="200"/>
              <w:rPr>
                <w:rFonts w:ascii="宋体" w:hAnsi="宋体"/>
                <w:bCs/>
                <w:sz w:val="24"/>
              </w:rPr>
            </w:pPr>
            <w:r>
              <w:rPr>
                <w:rFonts w:ascii="宋体" w:hAnsi="宋体"/>
                <w:bCs/>
                <w:sz w:val="24"/>
              </w:rPr>
              <w:t>L</w:t>
            </w:r>
            <w:r>
              <w:rPr>
                <w:rFonts w:ascii="宋体" w:hAnsi="宋体"/>
                <w:bCs/>
                <w:sz w:val="24"/>
                <w:vertAlign w:val="subscript"/>
              </w:rPr>
              <w:t>A</w:t>
            </w:r>
            <w:r>
              <w:rPr>
                <w:rFonts w:hint="eastAsia" w:ascii="宋体" w:hAnsi="宋体"/>
                <w:bCs/>
                <w:sz w:val="24"/>
              </w:rPr>
              <w:t>（</w:t>
            </w:r>
            <w:r>
              <w:rPr>
                <w:rFonts w:ascii="宋体" w:hAnsi="宋体"/>
                <w:bCs/>
                <w:sz w:val="24"/>
              </w:rPr>
              <w:t>r</w:t>
            </w:r>
            <w:r>
              <w:rPr>
                <w:rFonts w:hint="eastAsia" w:ascii="宋体" w:hAnsi="宋体"/>
                <w:bCs/>
                <w:sz w:val="24"/>
              </w:rPr>
              <w:t>）</w:t>
            </w:r>
            <w:r>
              <w:rPr>
                <w:rFonts w:ascii="宋体" w:hAnsi="宋体"/>
                <w:bCs/>
                <w:sz w:val="24"/>
              </w:rPr>
              <w:t>——</w:t>
            </w:r>
            <w:r>
              <w:rPr>
                <w:rFonts w:hint="eastAsia" w:ascii="宋体" w:hAnsi="宋体"/>
                <w:bCs/>
                <w:sz w:val="24"/>
              </w:rPr>
              <w:t>距噪声源</w:t>
            </w:r>
            <w:r>
              <w:rPr>
                <w:rFonts w:ascii="宋体" w:hAnsi="宋体"/>
                <w:bCs/>
                <w:sz w:val="24"/>
              </w:rPr>
              <w:t>r</w:t>
            </w:r>
            <w:r>
              <w:rPr>
                <w:rFonts w:hint="eastAsia" w:ascii="宋体" w:hAnsi="宋体"/>
                <w:bCs/>
                <w:sz w:val="24"/>
              </w:rPr>
              <w:t>处的声级值</w:t>
            </w:r>
            <w:r>
              <w:rPr>
                <w:rFonts w:ascii="宋体" w:hAnsi="宋体"/>
                <w:bCs/>
                <w:sz w:val="24"/>
              </w:rPr>
              <w:t>,dB</w:t>
            </w:r>
            <w:r>
              <w:rPr>
                <w:rFonts w:hint="eastAsia" w:ascii="宋体" w:hAnsi="宋体"/>
                <w:bCs/>
                <w:sz w:val="24"/>
              </w:rPr>
              <w:t>（</w:t>
            </w:r>
            <w:r>
              <w:rPr>
                <w:rFonts w:ascii="宋体" w:hAnsi="宋体"/>
                <w:bCs/>
                <w:sz w:val="24"/>
              </w:rPr>
              <w:t>A</w:t>
            </w:r>
            <w:r>
              <w:rPr>
                <w:rFonts w:hint="eastAsia" w:ascii="宋体" w:hAnsi="宋体"/>
                <w:bCs/>
                <w:sz w:val="24"/>
              </w:rPr>
              <w:t>）</w:t>
            </w:r>
            <w:r>
              <w:rPr>
                <w:rFonts w:ascii="宋体" w:hAnsi="宋体"/>
                <w:bCs/>
                <w:sz w:val="24"/>
              </w:rPr>
              <w:t>;</w:t>
            </w:r>
          </w:p>
          <w:p>
            <w:pPr>
              <w:spacing w:line="360" w:lineRule="auto"/>
              <w:ind w:firstLine="495" w:firstLineChars="250"/>
              <w:rPr>
                <w:rFonts w:ascii="宋体" w:hAnsi="宋体"/>
                <w:bCs/>
                <w:sz w:val="24"/>
              </w:rPr>
            </w:pPr>
            <w:r>
              <w:rPr>
                <w:rFonts w:ascii="宋体" w:hAnsi="宋体"/>
                <w:spacing w:val="-6"/>
                <w:szCs w:val="21"/>
              </w:rPr>
              <w:t>L</w:t>
            </w:r>
            <w:r>
              <w:rPr>
                <w:rFonts w:ascii="宋体" w:hAnsi="宋体"/>
                <w:spacing w:val="-6"/>
                <w:szCs w:val="21"/>
                <w:vertAlign w:val="subscript"/>
              </w:rPr>
              <w:t>WA</w:t>
            </w:r>
            <w:r>
              <w:rPr>
                <w:rFonts w:ascii="宋体" w:hAnsi="宋体"/>
                <w:bCs/>
                <w:sz w:val="24"/>
              </w:rPr>
              <w:t>——</w:t>
            </w:r>
            <w:r>
              <w:rPr>
                <w:rFonts w:hint="eastAsia" w:ascii="宋体" w:hAnsi="宋体"/>
                <w:bCs/>
                <w:sz w:val="24"/>
              </w:rPr>
              <w:t>源强</w:t>
            </w:r>
            <w:r>
              <w:rPr>
                <w:rFonts w:hint="eastAsia" w:ascii="宋体" w:hAnsi="宋体"/>
                <w:spacing w:val="-6"/>
                <w:sz w:val="24"/>
              </w:rPr>
              <w:t>声功率级</w:t>
            </w:r>
            <w:r>
              <w:rPr>
                <w:rFonts w:ascii="宋体" w:hAnsi="宋体"/>
                <w:bCs/>
                <w:sz w:val="24"/>
              </w:rPr>
              <w:t>,dB</w:t>
            </w:r>
            <w:r>
              <w:rPr>
                <w:rFonts w:hint="eastAsia" w:ascii="宋体" w:hAnsi="宋体"/>
                <w:bCs/>
                <w:sz w:val="24"/>
              </w:rPr>
              <w:t>（</w:t>
            </w:r>
            <w:r>
              <w:rPr>
                <w:rFonts w:ascii="宋体" w:hAnsi="宋体"/>
                <w:bCs/>
                <w:sz w:val="24"/>
              </w:rPr>
              <w:t>A</w:t>
            </w:r>
            <w:r>
              <w:rPr>
                <w:rFonts w:hint="eastAsia" w:ascii="宋体" w:hAnsi="宋体"/>
                <w:bCs/>
                <w:sz w:val="24"/>
              </w:rPr>
              <w:t>）</w:t>
            </w:r>
            <w:r>
              <w:rPr>
                <w:rFonts w:ascii="宋体" w:hAnsi="宋体"/>
                <w:bCs/>
                <w:sz w:val="24"/>
              </w:rPr>
              <w:t>;</w:t>
            </w:r>
          </w:p>
          <w:p>
            <w:pPr>
              <w:spacing w:line="360" w:lineRule="auto"/>
              <w:ind w:firstLine="480" w:firstLineChars="200"/>
              <w:rPr>
                <w:rFonts w:ascii="宋体" w:hAnsi="宋体"/>
                <w:bCs/>
                <w:sz w:val="24"/>
              </w:rPr>
            </w:pPr>
            <w:r>
              <w:rPr>
                <w:rFonts w:ascii="宋体" w:hAnsi="宋体"/>
                <w:bCs/>
                <w:sz w:val="24"/>
              </w:rPr>
              <w:t>r ——</w:t>
            </w:r>
            <w:r>
              <w:rPr>
                <w:rFonts w:hint="eastAsia" w:ascii="宋体" w:hAnsi="宋体"/>
                <w:bCs/>
                <w:sz w:val="24"/>
              </w:rPr>
              <w:t>距噪声源处距离</w:t>
            </w:r>
            <w:r>
              <w:rPr>
                <w:rFonts w:ascii="宋体" w:hAnsi="宋体"/>
                <w:bCs/>
                <w:sz w:val="24"/>
              </w:rPr>
              <w:t>,m</w:t>
            </w:r>
            <w:r>
              <w:rPr>
                <w:rFonts w:hint="eastAsia" w:ascii="宋体" w:hAnsi="宋体"/>
                <w:bCs/>
                <w:sz w:val="24"/>
              </w:rPr>
              <w:t>。</w:t>
            </w:r>
          </w:p>
          <w:p>
            <w:pPr>
              <w:spacing w:line="360" w:lineRule="auto"/>
              <w:ind w:firstLine="480" w:firstLineChars="200"/>
              <w:rPr>
                <w:rFonts w:ascii="宋体" w:hAnsi="宋体"/>
                <w:bCs/>
                <w:color w:val="000000" w:themeColor="text1"/>
                <w:sz w:val="24"/>
              </w:rPr>
            </w:pPr>
            <w:r>
              <w:rPr>
                <w:rFonts w:hint="eastAsia" w:ascii="宋体" w:hAnsi="宋体"/>
                <w:bCs/>
                <w:sz w:val="24"/>
              </w:rPr>
              <w:t>根据以上衰减模式</w:t>
            </w:r>
            <w:r>
              <w:rPr>
                <w:rFonts w:ascii="宋体" w:hAnsi="宋体"/>
                <w:bCs/>
                <w:sz w:val="24"/>
              </w:rPr>
              <w:t>,</w:t>
            </w:r>
            <w:r>
              <w:rPr>
                <w:rFonts w:hint="eastAsia" w:ascii="宋体" w:hAnsi="宋体"/>
                <w:bCs/>
                <w:sz w:val="24"/>
              </w:rPr>
              <w:t>对距施工噪声源</w:t>
            </w:r>
            <w:r>
              <w:rPr>
                <w:rFonts w:ascii="宋体" w:hAnsi="宋体"/>
                <w:bCs/>
                <w:sz w:val="24"/>
              </w:rPr>
              <w:t>130</w:t>
            </w:r>
            <w:r>
              <w:rPr>
                <w:rFonts w:ascii="宋体" w:hAnsi="宋体"/>
                <w:bCs/>
                <w:color w:val="000000" w:themeColor="text1"/>
                <w:sz w:val="24"/>
              </w:rPr>
              <w:t>m</w:t>
            </w:r>
            <w:r>
              <w:rPr>
                <w:rFonts w:hint="eastAsia" w:ascii="宋体" w:hAnsi="宋体"/>
                <w:bCs/>
                <w:color w:val="000000" w:themeColor="text1"/>
                <w:sz w:val="24"/>
              </w:rPr>
              <w:t>范围进行预测</w:t>
            </w:r>
            <w:r>
              <w:rPr>
                <w:rFonts w:ascii="宋体" w:hAnsi="宋体"/>
                <w:bCs/>
                <w:color w:val="000000" w:themeColor="text1"/>
                <w:sz w:val="24"/>
              </w:rPr>
              <w:t>,</w:t>
            </w:r>
            <w:r>
              <w:rPr>
                <w:rFonts w:hint="eastAsia" w:ascii="宋体" w:hAnsi="宋体"/>
                <w:bCs/>
                <w:color w:val="000000" w:themeColor="text1"/>
                <w:sz w:val="24"/>
              </w:rPr>
              <w:t>结果见表19～表21。</w:t>
            </w:r>
          </w:p>
          <w:p>
            <w:pPr>
              <w:spacing w:line="360" w:lineRule="auto"/>
              <w:ind w:right="480"/>
              <w:jc w:val="center"/>
              <w:rPr>
                <w:rFonts w:ascii="宋体" w:hAnsi="宋体"/>
                <w:color w:val="000000" w:themeColor="text1"/>
                <w:sz w:val="24"/>
              </w:rPr>
            </w:pPr>
            <w:r>
              <w:rPr>
                <w:rFonts w:hint="eastAsia" w:ascii="宋体" w:hAnsi="宋体"/>
                <w:color w:val="000000" w:themeColor="text1"/>
                <w:sz w:val="24"/>
              </w:rPr>
              <w:t>表19</w:t>
            </w:r>
            <w:r>
              <w:rPr>
                <w:rFonts w:ascii="宋体" w:hAnsi="宋体"/>
                <w:color w:val="000000" w:themeColor="text1"/>
                <w:sz w:val="24"/>
              </w:rPr>
              <w:t xml:space="preserve"> </w:t>
            </w:r>
            <w:r>
              <w:rPr>
                <w:rFonts w:hint="eastAsia" w:ascii="宋体" w:hAnsi="宋体"/>
                <w:color w:val="000000" w:themeColor="text1"/>
                <w:sz w:val="24"/>
              </w:rPr>
              <w:t xml:space="preserve">   </w:t>
            </w:r>
            <w:r>
              <w:rPr>
                <w:rFonts w:ascii="宋体" w:hAnsi="宋体"/>
                <w:color w:val="000000" w:themeColor="text1"/>
                <w:sz w:val="24"/>
              </w:rPr>
              <w:t xml:space="preserve"> </w:t>
            </w:r>
            <w:r>
              <w:rPr>
                <w:rFonts w:hint="eastAsia" w:ascii="宋体" w:hAnsi="宋体"/>
                <w:color w:val="000000" w:themeColor="text1"/>
                <w:sz w:val="24"/>
              </w:rPr>
              <w:t xml:space="preserve"> </w:t>
            </w:r>
            <w:r>
              <w:rPr>
                <w:rFonts w:hint="eastAsia" w:ascii="宋体" w:hAnsi="宋体"/>
                <w:bCs/>
                <w:color w:val="000000" w:themeColor="text1"/>
                <w:sz w:val="24"/>
              </w:rPr>
              <w:t>基础工程阶段</w:t>
            </w:r>
            <w:r>
              <w:rPr>
                <w:rFonts w:hint="eastAsia" w:ascii="宋体" w:hAnsi="宋体"/>
                <w:color w:val="000000" w:themeColor="text1"/>
                <w:sz w:val="24"/>
              </w:rPr>
              <w:t>噪声值预测结果表</w:t>
            </w:r>
            <w:r>
              <w:rPr>
                <w:rFonts w:ascii="宋体" w:hAnsi="宋体"/>
                <w:color w:val="000000" w:themeColor="text1"/>
                <w:sz w:val="24"/>
              </w:rPr>
              <w:t xml:space="preserve">        </w:t>
            </w:r>
            <w:r>
              <w:rPr>
                <w:rFonts w:hint="eastAsia" w:ascii="宋体" w:hAnsi="宋体"/>
                <w:bCs/>
                <w:color w:val="000000" w:themeColor="text1"/>
                <w:sz w:val="24"/>
              </w:rPr>
              <w:t>单位</w:t>
            </w:r>
            <w:r>
              <w:rPr>
                <w:rFonts w:ascii="宋体" w:hAnsi="宋体"/>
                <w:bCs/>
                <w:color w:val="000000" w:themeColor="text1"/>
                <w:sz w:val="24"/>
              </w:rPr>
              <w:t>:dB</w:t>
            </w:r>
            <w:r>
              <w:rPr>
                <w:rFonts w:hint="eastAsia" w:ascii="宋体" w:hAnsi="宋体"/>
                <w:bCs/>
                <w:color w:val="000000" w:themeColor="text1"/>
                <w:sz w:val="24"/>
              </w:rPr>
              <w:t>（</w:t>
            </w:r>
            <w:r>
              <w:rPr>
                <w:rFonts w:ascii="宋体" w:hAnsi="宋体"/>
                <w:bCs/>
                <w:color w:val="000000" w:themeColor="text1"/>
                <w:sz w:val="24"/>
              </w:rPr>
              <w:t>A</w:t>
            </w:r>
            <w:r>
              <w:rPr>
                <w:rFonts w:hint="eastAsia" w:ascii="宋体" w:hAnsi="宋体"/>
                <w:bCs/>
                <w:color w:val="000000" w:themeColor="text1"/>
                <w:sz w:val="24"/>
              </w:rPr>
              <w:t>）</w:t>
            </w:r>
          </w:p>
          <w:tbl>
            <w:tblPr>
              <w:tblStyle w:val="42"/>
              <w:tblW w:w="923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889"/>
              <w:gridCol w:w="757"/>
              <w:gridCol w:w="758"/>
              <w:gridCol w:w="759"/>
              <w:gridCol w:w="759"/>
              <w:gridCol w:w="759"/>
              <w:gridCol w:w="759"/>
              <w:gridCol w:w="759"/>
              <w:gridCol w:w="759"/>
              <w:gridCol w:w="759"/>
              <w:gridCol w:w="759"/>
              <w:gridCol w:w="7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423" w:hRule="exact"/>
                <w:jc w:val="center"/>
              </w:trPr>
              <w:tc>
                <w:tcPr>
                  <w:tcW w:w="889" w:type="dxa"/>
                  <w:tcBorders>
                    <w:top w:val="single" w:color="auto" w:sz="4"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距</w:t>
                  </w:r>
                  <w:r>
                    <w:rPr>
                      <w:rFonts w:ascii="宋体" w:hAnsi="宋体"/>
                      <w:color w:val="000000" w:themeColor="text1"/>
                      <w:szCs w:val="21"/>
                    </w:rPr>
                    <w:t xml:space="preserve"> </w:t>
                  </w:r>
                  <w:r>
                    <w:rPr>
                      <w:rFonts w:hint="eastAsia" w:ascii="宋体" w:hAnsi="宋体"/>
                      <w:color w:val="000000" w:themeColor="text1"/>
                      <w:szCs w:val="21"/>
                    </w:rPr>
                    <w:t>离</w:t>
                  </w:r>
                  <w:r>
                    <w:rPr>
                      <w:rFonts w:ascii="宋体" w:hAnsi="宋体"/>
                      <w:color w:val="000000" w:themeColor="text1"/>
                      <w:szCs w:val="21"/>
                    </w:rPr>
                    <w:t>m</w:t>
                  </w:r>
                </w:p>
              </w:tc>
              <w:tc>
                <w:tcPr>
                  <w:tcW w:w="757"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130</w:t>
                  </w:r>
                </w:p>
              </w:tc>
              <w:tc>
                <w:tcPr>
                  <w:tcW w:w="758"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90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80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70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30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20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10</w:t>
                  </w:r>
                </w:p>
              </w:tc>
              <w:tc>
                <w:tcPr>
                  <w:tcW w:w="759" w:type="dxa"/>
                  <w:tcBorders>
                    <w:top w:val="single" w:color="auto" w:sz="4"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422" w:hRule="exact"/>
                <w:jc w:val="center"/>
              </w:trPr>
              <w:tc>
                <w:tcPr>
                  <w:tcW w:w="889" w:type="dxa"/>
                  <w:tcBorders>
                    <w:top w:val="single" w:color="auto" w:sz="6" w:space="0"/>
                    <w:left w:val="single" w:color="auto" w:sz="4"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预测值</w:t>
                  </w:r>
                </w:p>
              </w:tc>
              <w:tc>
                <w:tcPr>
                  <w:tcW w:w="757"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42.7</w:t>
                  </w:r>
                </w:p>
              </w:tc>
              <w:tc>
                <w:tcPr>
                  <w:tcW w:w="758"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45.9</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47</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48.1</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49.5</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51</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53</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55.5</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59</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65</w:t>
                  </w:r>
                </w:p>
              </w:tc>
              <w:tc>
                <w:tcPr>
                  <w:tcW w:w="759" w:type="dxa"/>
                  <w:tcBorders>
                    <w:top w:val="single" w:color="auto" w:sz="6" w:space="0"/>
                    <w:left w:val="single" w:color="auto" w:sz="6"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71</w:t>
                  </w:r>
                </w:p>
              </w:tc>
            </w:tr>
          </w:tbl>
          <w:p>
            <w:pPr>
              <w:spacing w:line="360" w:lineRule="auto"/>
              <w:ind w:right="960"/>
              <w:jc w:val="center"/>
              <w:rPr>
                <w:rFonts w:ascii="宋体" w:hAnsi="宋体"/>
                <w:color w:val="000000" w:themeColor="text1"/>
                <w:sz w:val="24"/>
              </w:rPr>
            </w:pPr>
            <w:r>
              <w:rPr>
                <w:rFonts w:hint="eastAsia" w:ascii="宋体" w:hAnsi="宋体"/>
                <w:color w:val="000000" w:themeColor="text1"/>
                <w:sz w:val="24"/>
              </w:rPr>
              <w:t xml:space="preserve">      表20    </w:t>
            </w:r>
            <w:r>
              <w:rPr>
                <w:rFonts w:ascii="宋体" w:hAnsi="宋体"/>
                <w:color w:val="000000" w:themeColor="text1"/>
                <w:sz w:val="24"/>
              </w:rPr>
              <w:t xml:space="preserve"> </w:t>
            </w:r>
            <w:r>
              <w:rPr>
                <w:rFonts w:hint="eastAsia" w:ascii="宋体" w:hAnsi="宋体"/>
                <w:bCs/>
                <w:color w:val="000000" w:themeColor="text1"/>
                <w:sz w:val="24"/>
              </w:rPr>
              <w:t>主体工程阶段、装修阶段</w:t>
            </w:r>
            <w:r>
              <w:rPr>
                <w:rFonts w:hint="eastAsia" w:ascii="宋体" w:hAnsi="宋体"/>
                <w:color w:val="000000" w:themeColor="text1"/>
                <w:sz w:val="24"/>
              </w:rPr>
              <w:t>噪声值预测结果表</w:t>
            </w:r>
            <w:r>
              <w:rPr>
                <w:rFonts w:ascii="宋体" w:hAnsi="宋体"/>
                <w:color w:val="000000" w:themeColor="text1"/>
                <w:sz w:val="24"/>
              </w:rPr>
              <w:t xml:space="preserve">   </w:t>
            </w:r>
            <w:r>
              <w:rPr>
                <w:rFonts w:hint="eastAsia" w:ascii="宋体" w:hAnsi="宋体"/>
                <w:bCs/>
                <w:color w:val="000000" w:themeColor="text1"/>
                <w:sz w:val="24"/>
              </w:rPr>
              <w:t>单位</w:t>
            </w:r>
            <w:r>
              <w:rPr>
                <w:rFonts w:ascii="宋体" w:hAnsi="宋体"/>
                <w:bCs/>
                <w:color w:val="000000" w:themeColor="text1"/>
                <w:sz w:val="24"/>
              </w:rPr>
              <w:t>:dB</w:t>
            </w:r>
            <w:r>
              <w:rPr>
                <w:rFonts w:hint="eastAsia" w:ascii="宋体" w:hAnsi="宋体"/>
                <w:bCs/>
                <w:color w:val="000000" w:themeColor="text1"/>
                <w:sz w:val="24"/>
              </w:rPr>
              <w:t>（</w:t>
            </w:r>
            <w:r>
              <w:rPr>
                <w:rFonts w:ascii="宋体" w:hAnsi="宋体"/>
                <w:bCs/>
                <w:color w:val="000000" w:themeColor="text1"/>
                <w:sz w:val="24"/>
              </w:rPr>
              <w:t>A</w:t>
            </w:r>
            <w:r>
              <w:rPr>
                <w:rFonts w:hint="eastAsia" w:ascii="宋体" w:hAnsi="宋体"/>
                <w:bCs/>
                <w:color w:val="000000" w:themeColor="text1"/>
                <w:sz w:val="24"/>
              </w:rPr>
              <w:t>）</w:t>
            </w:r>
          </w:p>
          <w:tbl>
            <w:tblPr>
              <w:tblStyle w:val="42"/>
              <w:tblW w:w="923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889"/>
              <w:gridCol w:w="757"/>
              <w:gridCol w:w="758"/>
              <w:gridCol w:w="759"/>
              <w:gridCol w:w="759"/>
              <w:gridCol w:w="759"/>
              <w:gridCol w:w="759"/>
              <w:gridCol w:w="759"/>
              <w:gridCol w:w="759"/>
              <w:gridCol w:w="759"/>
              <w:gridCol w:w="759"/>
              <w:gridCol w:w="7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63" w:hRule="exact"/>
                <w:jc w:val="center"/>
              </w:trPr>
              <w:tc>
                <w:tcPr>
                  <w:tcW w:w="889" w:type="dxa"/>
                  <w:tcBorders>
                    <w:top w:val="single" w:color="auto" w:sz="4"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距</w:t>
                  </w:r>
                  <w:r>
                    <w:rPr>
                      <w:rFonts w:ascii="宋体" w:hAnsi="宋体"/>
                      <w:color w:val="000000" w:themeColor="text1"/>
                      <w:szCs w:val="21"/>
                    </w:rPr>
                    <w:t xml:space="preserve"> </w:t>
                  </w:r>
                  <w:r>
                    <w:rPr>
                      <w:rFonts w:hint="eastAsia" w:ascii="宋体" w:hAnsi="宋体"/>
                      <w:color w:val="000000" w:themeColor="text1"/>
                      <w:szCs w:val="21"/>
                    </w:rPr>
                    <w:t>离</w:t>
                  </w:r>
                  <w:r>
                    <w:rPr>
                      <w:rFonts w:ascii="宋体" w:hAnsi="宋体"/>
                      <w:color w:val="000000" w:themeColor="text1"/>
                      <w:szCs w:val="21"/>
                    </w:rPr>
                    <w:t>m</w:t>
                  </w:r>
                </w:p>
              </w:tc>
              <w:tc>
                <w:tcPr>
                  <w:tcW w:w="757"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130</w:t>
                  </w:r>
                </w:p>
              </w:tc>
              <w:tc>
                <w:tcPr>
                  <w:tcW w:w="758"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90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80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70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30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20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10</w:t>
                  </w:r>
                </w:p>
              </w:tc>
              <w:tc>
                <w:tcPr>
                  <w:tcW w:w="759" w:type="dxa"/>
                  <w:tcBorders>
                    <w:top w:val="single" w:color="auto" w:sz="4"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418" w:hRule="exact"/>
                <w:jc w:val="center"/>
              </w:trPr>
              <w:tc>
                <w:tcPr>
                  <w:tcW w:w="889" w:type="dxa"/>
                  <w:tcBorders>
                    <w:top w:val="single" w:color="auto" w:sz="6" w:space="0"/>
                    <w:left w:val="single" w:color="auto" w:sz="4"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预测值</w:t>
                  </w:r>
                </w:p>
              </w:tc>
              <w:tc>
                <w:tcPr>
                  <w:tcW w:w="757"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56.7</w:t>
                  </w:r>
                </w:p>
              </w:tc>
              <w:tc>
                <w:tcPr>
                  <w:tcW w:w="758"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59.9</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61</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62.1</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63.5</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65</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67</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69.5</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73</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79</w:t>
                  </w:r>
                </w:p>
              </w:tc>
              <w:tc>
                <w:tcPr>
                  <w:tcW w:w="759" w:type="dxa"/>
                  <w:tcBorders>
                    <w:top w:val="single" w:color="auto" w:sz="6" w:space="0"/>
                    <w:left w:val="single" w:color="auto" w:sz="6"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85</w:t>
                  </w:r>
                </w:p>
              </w:tc>
            </w:tr>
          </w:tbl>
          <w:p>
            <w:pPr>
              <w:autoSpaceDE w:val="0"/>
              <w:autoSpaceDN w:val="0"/>
              <w:adjustRightInd w:val="0"/>
              <w:spacing w:line="360" w:lineRule="auto"/>
              <w:ind w:right="480"/>
              <w:jc w:val="center"/>
              <w:rPr>
                <w:rFonts w:ascii="宋体" w:hAnsi="宋体"/>
                <w:color w:val="000000" w:themeColor="text1"/>
                <w:kern w:val="0"/>
                <w:sz w:val="24"/>
              </w:rPr>
            </w:pPr>
            <w:r>
              <w:rPr>
                <w:rFonts w:hint="eastAsia" w:ascii="宋体" w:hAnsi="宋体"/>
                <w:color w:val="000000" w:themeColor="text1"/>
                <w:sz w:val="24"/>
              </w:rPr>
              <w:t xml:space="preserve">表21     </w:t>
            </w:r>
            <w:r>
              <w:rPr>
                <w:rFonts w:hint="eastAsia" w:ascii="宋体" w:hAnsi="宋体"/>
                <w:bCs/>
                <w:color w:val="000000" w:themeColor="text1"/>
                <w:sz w:val="24"/>
              </w:rPr>
              <w:t>扫尾工程阶段</w:t>
            </w:r>
            <w:r>
              <w:rPr>
                <w:rFonts w:hint="eastAsia" w:ascii="宋体" w:hAnsi="宋体"/>
                <w:color w:val="000000" w:themeColor="text1"/>
                <w:sz w:val="24"/>
              </w:rPr>
              <w:t>噪声值预测结果表</w:t>
            </w:r>
            <w:r>
              <w:rPr>
                <w:rFonts w:ascii="宋体" w:hAnsi="宋体"/>
                <w:color w:val="000000" w:themeColor="text1"/>
                <w:sz w:val="24"/>
              </w:rPr>
              <w:t xml:space="preserve">       </w:t>
            </w:r>
            <w:r>
              <w:rPr>
                <w:rFonts w:hint="eastAsia" w:ascii="宋体" w:hAnsi="宋体"/>
                <w:bCs/>
                <w:color w:val="000000" w:themeColor="text1"/>
                <w:sz w:val="24"/>
              </w:rPr>
              <w:t>单位</w:t>
            </w:r>
            <w:r>
              <w:rPr>
                <w:rFonts w:ascii="宋体" w:hAnsi="宋体"/>
                <w:bCs/>
                <w:color w:val="000000" w:themeColor="text1"/>
                <w:sz w:val="24"/>
              </w:rPr>
              <w:t>:dB</w:t>
            </w:r>
            <w:r>
              <w:rPr>
                <w:rFonts w:hint="eastAsia" w:ascii="宋体" w:hAnsi="宋体"/>
                <w:bCs/>
                <w:color w:val="000000" w:themeColor="text1"/>
                <w:sz w:val="24"/>
              </w:rPr>
              <w:t>（</w:t>
            </w:r>
            <w:r>
              <w:rPr>
                <w:rFonts w:ascii="宋体" w:hAnsi="宋体"/>
                <w:bCs/>
                <w:color w:val="000000" w:themeColor="text1"/>
                <w:sz w:val="24"/>
              </w:rPr>
              <w:t>A</w:t>
            </w:r>
            <w:r>
              <w:rPr>
                <w:rFonts w:hint="eastAsia" w:ascii="宋体" w:hAnsi="宋体"/>
                <w:bCs/>
                <w:color w:val="000000" w:themeColor="text1"/>
                <w:sz w:val="24"/>
              </w:rPr>
              <w:t>）</w:t>
            </w:r>
          </w:p>
          <w:tbl>
            <w:tblPr>
              <w:tblStyle w:val="42"/>
              <w:tblW w:w="923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889"/>
              <w:gridCol w:w="757"/>
              <w:gridCol w:w="758"/>
              <w:gridCol w:w="759"/>
              <w:gridCol w:w="759"/>
              <w:gridCol w:w="759"/>
              <w:gridCol w:w="759"/>
              <w:gridCol w:w="759"/>
              <w:gridCol w:w="759"/>
              <w:gridCol w:w="759"/>
              <w:gridCol w:w="759"/>
              <w:gridCol w:w="7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77" w:hRule="exact"/>
                <w:jc w:val="center"/>
              </w:trPr>
              <w:tc>
                <w:tcPr>
                  <w:tcW w:w="889" w:type="dxa"/>
                  <w:tcBorders>
                    <w:top w:val="single" w:color="auto" w:sz="4" w:space="0"/>
                    <w:left w:val="single" w:color="auto" w:sz="4"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距</w:t>
                  </w:r>
                  <w:r>
                    <w:rPr>
                      <w:rFonts w:ascii="宋体" w:hAnsi="宋体"/>
                      <w:color w:val="000000" w:themeColor="text1"/>
                      <w:szCs w:val="21"/>
                    </w:rPr>
                    <w:t xml:space="preserve"> </w:t>
                  </w:r>
                  <w:r>
                    <w:rPr>
                      <w:rFonts w:hint="eastAsia" w:ascii="宋体" w:hAnsi="宋体"/>
                      <w:color w:val="000000" w:themeColor="text1"/>
                      <w:szCs w:val="21"/>
                    </w:rPr>
                    <w:t>离</w:t>
                  </w:r>
                  <w:r>
                    <w:rPr>
                      <w:rFonts w:ascii="宋体" w:hAnsi="宋体"/>
                      <w:color w:val="000000" w:themeColor="text1"/>
                      <w:szCs w:val="21"/>
                    </w:rPr>
                    <w:t>m</w:t>
                  </w:r>
                </w:p>
              </w:tc>
              <w:tc>
                <w:tcPr>
                  <w:tcW w:w="757"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130</w:t>
                  </w:r>
                </w:p>
              </w:tc>
              <w:tc>
                <w:tcPr>
                  <w:tcW w:w="758"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90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80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70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30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20</w:t>
                  </w:r>
                </w:p>
              </w:tc>
              <w:tc>
                <w:tcPr>
                  <w:tcW w:w="759" w:type="dxa"/>
                  <w:tcBorders>
                    <w:top w:val="single" w:color="auto" w:sz="4" w:space="0"/>
                    <w:left w:val="single" w:color="auto" w:sz="6" w:space="0"/>
                    <w:bottom w:val="single" w:color="auto" w:sz="6"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10</w:t>
                  </w:r>
                </w:p>
              </w:tc>
              <w:tc>
                <w:tcPr>
                  <w:tcW w:w="759" w:type="dxa"/>
                  <w:tcBorders>
                    <w:top w:val="single" w:color="auto" w:sz="4" w:space="0"/>
                    <w:left w:val="single" w:color="auto" w:sz="6" w:space="0"/>
                    <w:bottom w:val="single" w:color="auto" w:sz="6" w:space="0"/>
                    <w:right w:val="single" w:color="auto" w:sz="4"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425" w:hRule="exact"/>
                <w:jc w:val="center"/>
              </w:trPr>
              <w:tc>
                <w:tcPr>
                  <w:tcW w:w="889" w:type="dxa"/>
                  <w:tcBorders>
                    <w:top w:val="single" w:color="auto" w:sz="6" w:space="0"/>
                    <w:left w:val="single" w:color="auto" w:sz="4"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hint="eastAsia" w:ascii="宋体" w:hAnsi="宋体"/>
                      <w:color w:val="000000" w:themeColor="text1"/>
                      <w:szCs w:val="21"/>
                    </w:rPr>
                    <w:t>预测值</w:t>
                  </w:r>
                </w:p>
              </w:tc>
              <w:tc>
                <w:tcPr>
                  <w:tcW w:w="757"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37.7</w:t>
                  </w:r>
                </w:p>
              </w:tc>
              <w:tc>
                <w:tcPr>
                  <w:tcW w:w="758"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40.9</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42</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43.1</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44.5</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46</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48</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50.5</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54</w:t>
                  </w:r>
                </w:p>
              </w:tc>
              <w:tc>
                <w:tcPr>
                  <w:tcW w:w="759" w:type="dxa"/>
                  <w:tcBorders>
                    <w:top w:val="single" w:color="auto" w:sz="6" w:space="0"/>
                    <w:left w:val="single" w:color="auto" w:sz="6" w:space="0"/>
                    <w:bottom w:val="single" w:color="auto" w:sz="4" w:space="0"/>
                    <w:right w:val="single" w:color="auto" w:sz="6"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60</w:t>
                  </w:r>
                </w:p>
              </w:tc>
              <w:tc>
                <w:tcPr>
                  <w:tcW w:w="759" w:type="dxa"/>
                  <w:tcBorders>
                    <w:top w:val="single" w:color="auto" w:sz="6" w:space="0"/>
                    <w:left w:val="single" w:color="auto" w:sz="6" w:space="0"/>
                    <w:bottom w:val="single" w:color="auto" w:sz="4" w:space="0"/>
                    <w:right w:val="single" w:color="auto" w:sz="4" w:space="0"/>
                  </w:tcBorders>
                  <w:vAlign w:val="center"/>
                </w:tcPr>
                <w:p>
                  <w:pPr>
                    <w:spacing w:line="240" w:lineRule="exact"/>
                    <w:jc w:val="center"/>
                    <w:rPr>
                      <w:rFonts w:ascii="宋体" w:hAnsi="宋体"/>
                      <w:color w:val="000000" w:themeColor="text1"/>
                      <w:szCs w:val="21"/>
                    </w:rPr>
                  </w:pPr>
                  <w:r>
                    <w:rPr>
                      <w:rFonts w:ascii="宋体" w:hAnsi="宋体"/>
                      <w:color w:val="000000" w:themeColor="text1"/>
                      <w:szCs w:val="21"/>
                    </w:rPr>
                    <w:t>66</w:t>
                  </w:r>
                </w:p>
              </w:tc>
            </w:tr>
          </w:tbl>
          <w:p>
            <w:pPr>
              <w:autoSpaceDE w:val="0"/>
              <w:autoSpaceDN w:val="0"/>
              <w:adjustRightInd w:val="0"/>
              <w:spacing w:line="360" w:lineRule="auto"/>
              <w:ind w:firstLine="480" w:firstLineChars="200"/>
              <w:rPr>
                <w:rFonts w:ascii="宋体" w:hAnsi="宋体"/>
                <w:kern w:val="0"/>
                <w:sz w:val="24"/>
              </w:rPr>
            </w:pPr>
            <w:r>
              <w:rPr>
                <w:rFonts w:ascii="宋体" w:hAnsi="宋体"/>
                <w:color w:val="000000" w:themeColor="text1"/>
                <w:kern w:val="0"/>
                <w:sz w:val="24"/>
              </w:rPr>
              <w:t>从</w:t>
            </w:r>
            <w:r>
              <w:rPr>
                <w:rFonts w:hint="eastAsia" w:ascii="宋体" w:hAnsi="宋体"/>
                <w:color w:val="000000" w:themeColor="text1"/>
                <w:kern w:val="0"/>
                <w:sz w:val="24"/>
              </w:rPr>
              <w:t>上表</w:t>
            </w:r>
            <w:r>
              <w:rPr>
                <w:rFonts w:ascii="宋体" w:hAnsi="宋体"/>
                <w:color w:val="000000" w:themeColor="text1"/>
                <w:kern w:val="0"/>
                <w:sz w:val="24"/>
              </w:rPr>
              <w:t>的预测结果可知</w:t>
            </w:r>
            <w:r>
              <w:rPr>
                <w:rFonts w:hint="eastAsia" w:ascii="宋体" w:hAnsi="宋体"/>
                <w:color w:val="000000" w:themeColor="text1"/>
                <w:kern w:val="0"/>
                <w:sz w:val="24"/>
              </w:rPr>
              <w:t>,除土石方工程阶段外,其它施工阶段在20m外的声环境可以达到《建筑施工场界环境噪声排放标准》（GB12523-2011）中昼间标</w:t>
            </w:r>
            <w:r>
              <w:rPr>
                <w:rFonts w:hint="eastAsia" w:ascii="宋体" w:hAnsi="宋体"/>
                <w:kern w:val="0"/>
                <w:sz w:val="24"/>
              </w:rPr>
              <w:t>准（标准值为70dB）;在60m处的声环境大体可以达到《建筑施工场界环境噪声排放标准》（GB12523-2011）中夜间标准（标准值为55dB）。土石方工程阶段施工噪声将造成场界100m范围声环境质量超过《建筑施工场界环境噪声排放标准》,特别是土石方工程阶段的基础打桩超标尤为严重。</w:t>
            </w:r>
            <w:r>
              <w:rPr>
                <w:rFonts w:hint="eastAsia" w:ascii="宋体" w:hAnsi="宋体"/>
                <w:color w:val="000000"/>
                <w:kern w:val="0"/>
                <w:sz w:val="24"/>
              </w:rPr>
              <w:t>虽然土石方工程（基础施工）持续时间较短暂，但是</w:t>
            </w:r>
            <w:r>
              <w:rPr>
                <w:rFonts w:ascii="宋体" w:hAnsi="宋体"/>
                <w:color w:val="000000"/>
                <w:sz w:val="24"/>
              </w:rPr>
              <w:t>建设单位</w:t>
            </w:r>
            <w:r>
              <w:rPr>
                <w:rFonts w:hint="eastAsia" w:ascii="宋体" w:hAnsi="宋体"/>
                <w:color w:val="000000"/>
                <w:sz w:val="24"/>
              </w:rPr>
              <w:t>还是</w:t>
            </w:r>
            <w:r>
              <w:rPr>
                <w:rFonts w:ascii="宋体" w:hAnsi="宋体"/>
                <w:color w:val="000000"/>
                <w:sz w:val="24"/>
              </w:rPr>
              <w:t>必须采取有效措施以减轻施工噪声对周围环境的不利影响。</w:t>
            </w:r>
            <w:r>
              <w:rPr>
                <w:rFonts w:hint="eastAsia" w:ascii="宋体" w:hAnsi="宋体"/>
                <w:color w:val="auto"/>
                <w:sz w:val="24"/>
              </w:rPr>
              <w:t>项目所在地周</w:t>
            </w:r>
            <w:r>
              <w:rPr>
                <w:rFonts w:hint="eastAsia" w:ascii="宋体" w:hAnsi="宋体"/>
                <w:color w:val="auto"/>
                <w:sz w:val="24"/>
                <w:lang w:eastAsia="zh-CN"/>
              </w:rPr>
              <w:t>边</w:t>
            </w:r>
            <w:r>
              <w:rPr>
                <w:rFonts w:hint="eastAsia" w:ascii="宋体" w:hAnsi="宋体"/>
                <w:color w:val="auto"/>
                <w:sz w:val="24"/>
              </w:rPr>
              <w:t>为规划空地和道路</w:t>
            </w:r>
            <w:r>
              <w:rPr>
                <w:rFonts w:hint="eastAsia" w:ascii="宋体" w:hAnsi="宋体"/>
                <w:color w:val="auto"/>
                <w:sz w:val="24"/>
                <w:lang w:eastAsia="zh-CN"/>
              </w:rPr>
              <w:t>，</w:t>
            </w:r>
            <w:r>
              <w:rPr>
                <w:rFonts w:hint="eastAsia" w:ascii="宋体" w:hAnsi="宋体"/>
                <w:color w:val="auto"/>
                <w:sz w:val="24"/>
                <w:lang w:val="en-US" w:eastAsia="zh-CN"/>
              </w:rPr>
              <w:t>300米范围内无敏感点，</w:t>
            </w:r>
            <w:r>
              <w:rPr>
                <w:rFonts w:hint="eastAsia" w:ascii="宋体" w:hAnsi="宋体"/>
                <w:color w:val="000000"/>
                <w:sz w:val="24"/>
              </w:rPr>
              <w:t>施工期</w:t>
            </w:r>
            <w:r>
              <w:rPr>
                <w:rFonts w:hint="eastAsia" w:ascii="宋体" w:hAnsi="宋体"/>
                <w:color w:val="auto"/>
                <w:sz w:val="24"/>
              </w:rPr>
              <w:t>噪声影响</w:t>
            </w:r>
            <w:r>
              <w:rPr>
                <w:rFonts w:hint="eastAsia" w:ascii="宋体" w:hAnsi="宋体"/>
                <w:color w:val="auto"/>
                <w:sz w:val="24"/>
                <w:lang w:eastAsia="zh-CN"/>
              </w:rPr>
              <w:t>较</w:t>
            </w:r>
            <w:r>
              <w:rPr>
                <w:rFonts w:hint="eastAsia" w:ascii="宋体" w:hAnsi="宋体"/>
                <w:color w:val="auto"/>
                <w:sz w:val="24"/>
              </w:rPr>
              <w:t>小。</w:t>
            </w:r>
            <w:r>
              <w:rPr>
                <w:rFonts w:hint="eastAsia" w:ascii="宋体" w:hAnsi="宋体"/>
                <w:color w:val="auto"/>
                <w:sz w:val="24"/>
                <w:lang w:eastAsia="zh-CN"/>
              </w:rPr>
              <w:t>为进一步减轻噪声对</w:t>
            </w:r>
            <w:r>
              <w:rPr>
                <w:rFonts w:hint="eastAsia" w:ascii="宋体" w:hAnsi="宋体"/>
                <w:color w:val="000000"/>
                <w:sz w:val="24"/>
              </w:rPr>
              <w:t>周边环境的影响</w:t>
            </w:r>
            <w:r>
              <w:rPr>
                <w:rFonts w:hint="eastAsia" w:ascii="宋体" w:hAnsi="宋体"/>
                <w:color w:val="000000"/>
                <w:sz w:val="24"/>
                <w:lang w:eastAsia="zh-CN"/>
              </w:rPr>
              <w:t>，</w:t>
            </w:r>
            <w:r>
              <w:rPr>
                <w:rFonts w:hint="eastAsia" w:ascii="宋体" w:hAnsi="宋体"/>
                <w:color w:val="000000"/>
                <w:sz w:val="24"/>
              </w:rPr>
              <w:t>建设单位在施工时拟采取以下防治措施</w:t>
            </w:r>
            <w:r>
              <w:rPr>
                <w:rFonts w:ascii="宋体" w:hAnsi="宋体"/>
                <w:color w:val="000000"/>
                <w:sz w:val="24"/>
              </w:rPr>
              <w:t>:</w:t>
            </w:r>
          </w:p>
          <w:p>
            <w:pPr>
              <w:spacing w:line="360" w:lineRule="auto"/>
              <w:ind w:left="480"/>
              <w:rPr>
                <w:rFonts w:ascii="宋体" w:hAnsi="宋体"/>
                <w:color w:val="000000"/>
                <w:sz w:val="24"/>
              </w:rPr>
            </w:pPr>
            <w:r>
              <w:rPr>
                <w:rFonts w:hint="eastAsia" w:ascii="宋体" w:hAnsi="宋体"/>
                <w:color w:val="000000"/>
                <w:sz w:val="24"/>
              </w:rPr>
              <w:t>⑴布置施工场地</w:t>
            </w:r>
            <w:r>
              <w:rPr>
                <w:rFonts w:ascii="宋体" w:hAnsi="宋体"/>
                <w:color w:val="000000"/>
                <w:sz w:val="24"/>
              </w:rPr>
              <w:t>,</w:t>
            </w:r>
            <w:r>
              <w:rPr>
                <w:rFonts w:hint="eastAsia" w:ascii="宋体" w:hAnsi="宋体"/>
                <w:color w:val="000000"/>
                <w:sz w:val="24"/>
              </w:rPr>
              <w:t>高噪声施工设备布置远离附近居民区的地方。</w:t>
            </w:r>
          </w:p>
          <w:p>
            <w:pPr>
              <w:spacing w:line="360" w:lineRule="auto"/>
              <w:ind w:firstLine="480" w:firstLineChars="200"/>
              <w:rPr>
                <w:color w:val="000000"/>
                <w:sz w:val="24"/>
              </w:rPr>
            </w:pPr>
            <w:r>
              <w:rPr>
                <w:rFonts w:hint="eastAsia" w:ascii="宋体" w:hAnsi="宋体"/>
                <w:color w:val="000000"/>
                <w:sz w:val="24"/>
              </w:rPr>
              <w:t>⑵</w:t>
            </w:r>
            <w:r>
              <w:rPr>
                <w:rFonts w:hAnsi="宋体"/>
                <w:color w:val="000000"/>
                <w:sz w:val="24"/>
              </w:rPr>
              <w:t>选用低噪声施工机械，严格限制或禁止使用高噪声设备，要求采用混凝土灌注桩或静压桩等低噪音新工艺</w:t>
            </w:r>
            <w:r>
              <w:rPr>
                <w:rFonts w:hint="eastAsia" w:hAnsi="宋体"/>
                <w:color w:val="000000"/>
                <w:sz w:val="24"/>
              </w:rPr>
              <w:t>.</w:t>
            </w:r>
          </w:p>
          <w:p>
            <w:pPr>
              <w:spacing w:line="360" w:lineRule="auto"/>
              <w:ind w:firstLine="480" w:firstLineChars="200"/>
              <w:rPr>
                <w:color w:val="000000"/>
                <w:sz w:val="24"/>
              </w:rPr>
            </w:pPr>
            <w:r>
              <w:rPr>
                <w:rFonts w:hint="eastAsia" w:ascii="宋体" w:hAnsi="宋体"/>
                <w:color w:val="000000"/>
                <w:sz w:val="24"/>
              </w:rPr>
              <w:t>⑶</w:t>
            </w:r>
            <w:r>
              <w:rPr>
                <w:rFonts w:hAnsi="宋体"/>
                <w:color w:val="000000"/>
                <w:sz w:val="24"/>
              </w:rPr>
              <w:t>要求使用商品混凝土。与施工场地设置混凝土搅拌机相比，商品混凝土具有占地少、施工量小、施工方便、噪声污染小等特点，同时可大大减少建筑材料水泥、沙石等汽车运量，减轻车辆交通噪声影响。</w:t>
            </w:r>
          </w:p>
          <w:p>
            <w:pPr>
              <w:spacing w:line="360" w:lineRule="auto"/>
              <w:ind w:firstLine="480" w:firstLineChars="200"/>
              <w:rPr>
                <w:color w:val="000000"/>
                <w:sz w:val="24"/>
              </w:rPr>
            </w:pPr>
            <w:r>
              <w:rPr>
                <w:rFonts w:hAnsi="宋体"/>
                <w:color w:val="000000"/>
                <w:sz w:val="24"/>
              </w:rPr>
              <w:fldChar w:fldCharType="begin"/>
            </w:r>
            <w:r>
              <w:rPr>
                <w:rFonts w:hAnsi="宋体"/>
                <w:color w:val="000000"/>
                <w:sz w:val="24"/>
              </w:rPr>
              <w:instrText xml:space="preserve"> </w:instrText>
            </w:r>
            <w:r>
              <w:rPr>
                <w:rFonts w:hint="eastAsia" w:hAnsi="宋体"/>
                <w:color w:val="000000"/>
                <w:sz w:val="24"/>
              </w:rPr>
              <w:instrText xml:space="preserve">= 4 \* GB2</w:instrText>
            </w:r>
            <w:r>
              <w:rPr>
                <w:rFonts w:hAnsi="宋体"/>
                <w:color w:val="000000"/>
                <w:sz w:val="24"/>
              </w:rPr>
              <w:instrText xml:space="preserve"> </w:instrText>
            </w:r>
            <w:r>
              <w:rPr>
                <w:rFonts w:hAnsi="宋体"/>
                <w:color w:val="000000"/>
                <w:sz w:val="24"/>
              </w:rPr>
              <w:fldChar w:fldCharType="separate"/>
            </w:r>
            <w:r>
              <w:rPr>
                <w:rFonts w:hint="eastAsia" w:hAnsi="宋体"/>
                <w:color w:val="000000"/>
                <w:sz w:val="24"/>
              </w:rPr>
              <w:t>⑷</w:t>
            </w:r>
            <w:r>
              <w:rPr>
                <w:rFonts w:hAnsi="宋体"/>
                <w:color w:val="000000"/>
                <w:sz w:val="24"/>
              </w:rPr>
              <w:fldChar w:fldCharType="end"/>
            </w:r>
            <w:r>
              <w:rPr>
                <w:rFonts w:hAnsi="宋体"/>
                <w:color w:val="000000"/>
                <w:sz w:val="24"/>
              </w:rPr>
              <w:t>严格操作规程，加强施工机械管理，降低人为噪声影响。不合理施工作业是产生人为噪声主要原因，如脚手架安装、拆除，钢筋材料装卸，及其安装过程产生的金属撞击声和落料声等均会产生较大距离的声环境影响，因此要杜绝人为敲打、野蛮装卸现象，规范建筑物料、土石方清运车辆进出工地高速行驶和鸣笛等。</w:t>
            </w:r>
          </w:p>
          <w:p>
            <w:pPr>
              <w:spacing w:line="360" w:lineRule="auto"/>
              <w:ind w:firstLine="480" w:firstLineChars="200"/>
              <w:rPr>
                <w:rFonts w:ascii="宋体" w:hAnsi="宋体"/>
                <w:color w:val="000000"/>
                <w:sz w:val="24"/>
              </w:rPr>
            </w:pPr>
            <w:r>
              <w:rPr>
                <w:rFonts w:ascii="宋体" w:hAnsi="宋体"/>
                <w:color w:val="000000"/>
                <w:sz w:val="24"/>
              </w:rPr>
              <w:fldChar w:fldCharType="begin"/>
            </w:r>
            <w:r>
              <w:rPr>
                <w:rFonts w:ascii="宋体" w:hAnsi="宋体"/>
                <w:color w:val="000000"/>
                <w:sz w:val="24"/>
              </w:rPr>
              <w:instrText xml:space="preserve"> </w:instrText>
            </w:r>
            <w:r>
              <w:rPr>
                <w:rFonts w:hint="eastAsia" w:ascii="宋体" w:hAnsi="宋体"/>
                <w:color w:val="000000"/>
                <w:sz w:val="24"/>
              </w:rPr>
              <w:instrText xml:space="preserve">= 5 \* GB2</w:instrText>
            </w:r>
            <w:r>
              <w:rPr>
                <w:rFonts w:ascii="宋体" w:hAnsi="宋体"/>
                <w:color w:val="000000"/>
                <w:sz w:val="24"/>
              </w:rPr>
              <w:instrText xml:space="preserve"> </w:instrText>
            </w:r>
            <w:r>
              <w:rPr>
                <w:rFonts w:ascii="宋体" w:hAnsi="宋体"/>
                <w:color w:val="000000"/>
                <w:sz w:val="24"/>
              </w:rPr>
              <w:fldChar w:fldCharType="separate"/>
            </w:r>
            <w:r>
              <w:rPr>
                <w:rFonts w:hint="eastAsia" w:ascii="宋体" w:hAnsi="宋体"/>
                <w:color w:val="000000"/>
                <w:sz w:val="24"/>
              </w:rPr>
              <w:t>⑸</w:t>
            </w:r>
            <w:r>
              <w:rPr>
                <w:rFonts w:ascii="宋体" w:hAnsi="宋体"/>
                <w:color w:val="000000"/>
                <w:sz w:val="24"/>
              </w:rPr>
              <w:fldChar w:fldCharType="end"/>
            </w:r>
            <w:r>
              <w:rPr>
                <w:rFonts w:hint="eastAsia" w:ascii="宋体" w:hAnsi="宋体"/>
                <w:color w:val="000000"/>
                <w:sz w:val="24"/>
              </w:rPr>
              <w:t>采用降噪技术。采用吸声、消声、隔声、</w:t>
            </w:r>
            <w:r>
              <w:rPr>
                <w:rFonts w:hint="eastAsia" w:ascii="宋体" w:hAnsi="宋体"/>
                <w:color w:val="000000"/>
                <w:sz w:val="24"/>
                <w:lang w:eastAsia="zh-CN"/>
              </w:rPr>
              <w:t>减</w:t>
            </w:r>
            <w:r>
              <w:rPr>
                <w:rFonts w:hint="eastAsia" w:ascii="宋体" w:hAnsi="宋体"/>
                <w:color w:val="000000"/>
                <w:sz w:val="24"/>
              </w:rPr>
              <w:t>振等降噪技术</w:t>
            </w:r>
            <w:r>
              <w:rPr>
                <w:rFonts w:ascii="宋体" w:hAnsi="宋体"/>
                <w:color w:val="000000"/>
                <w:sz w:val="24"/>
              </w:rPr>
              <w:t>,</w:t>
            </w:r>
            <w:r>
              <w:rPr>
                <w:rFonts w:hint="eastAsia" w:ascii="宋体" w:hAnsi="宋体"/>
                <w:color w:val="000000"/>
                <w:sz w:val="24"/>
              </w:rPr>
              <w:t>降低施工机械噪声产生源强</w:t>
            </w:r>
            <w:r>
              <w:rPr>
                <w:rFonts w:ascii="宋体" w:hAnsi="宋体"/>
                <w:color w:val="000000"/>
                <w:sz w:val="24"/>
              </w:rPr>
              <w:t>,</w:t>
            </w:r>
            <w:r>
              <w:rPr>
                <w:rFonts w:hint="eastAsia" w:ascii="宋体" w:hAnsi="宋体"/>
                <w:color w:val="000000"/>
                <w:sz w:val="24"/>
              </w:rPr>
              <w:t>在施工机械设备与基础或联接部</w:t>
            </w:r>
            <w:r>
              <w:rPr>
                <w:rFonts w:hint="eastAsia" w:ascii="宋体" w:hAnsi="宋体"/>
                <w:color w:val="000000"/>
                <w:sz w:val="24"/>
                <w:lang w:eastAsia="zh-CN"/>
              </w:rPr>
              <w:t>位</w:t>
            </w:r>
            <w:r>
              <w:rPr>
                <w:rFonts w:hint="eastAsia" w:ascii="宋体" w:hAnsi="宋体"/>
                <w:color w:val="000000"/>
                <w:sz w:val="24"/>
              </w:rPr>
              <w:t>之间采用弹簧减振、橡胶减振、管道减振、阻尼减振技术</w:t>
            </w:r>
            <w:r>
              <w:rPr>
                <w:rFonts w:ascii="宋体" w:hAnsi="宋体"/>
                <w:color w:val="000000"/>
                <w:sz w:val="24"/>
              </w:rPr>
              <w:t>,</w:t>
            </w:r>
            <w:r>
              <w:rPr>
                <w:rFonts w:hint="eastAsia" w:ascii="宋体" w:hAnsi="宋体"/>
                <w:color w:val="000000"/>
                <w:sz w:val="24"/>
              </w:rPr>
              <w:t>可减振至原动量</w:t>
            </w:r>
            <w:r>
              <w:rPr>
                <w:rFonts w:ascii="宋体" w:hAnsi="宋体"/>
                <w:color w:val="000000"/>
                <w:sz w:val="24"/>
              </w:rPr>
              <w:t>1/10</w:t>
            </w:r>
            <w:r>
              <w:rPr>
                <w:rFonts w:hint="eastAsia" w:ascii="宋体" w:hAnsi="宋体"/>
                <w:color w:val="000000"/>
                <w:sz w:val="24"/>
              </w:rPr>
              <w:t>～</w:t>
            </w:r>
            <w:r>
              <w:rPr>
                <w:rFonts w:ascii="宋体" w:hAnsi="宋体"/>
                <w:color w:val="000000"/>
                <w:sz w:val="24"/>
              </w:rPr>
              <w:t>1/100,</w:t>
            </w:r>
            <w:r>
              <w:rPr>
                <w:rFonts w:hint="eastAsia" w:ascii="宋体" w:hAnsi="宋体"/>
                <w:color w:val="000000"/>
                <w:sz w:val="24"/>
              </w:rPr>
              <w:t>降噪</w:t>
            </w:r>
            <w:r>
              <w:rPr>
                <w:rFonts w:ascii="宋体" w:hAnsi="宋体"/>
                <w:color w:val="000000"/>
                <w:sz w:val="24"/>
              </w:rPr>
              <w:t>20</w:t>
            </w:r>
            <w:r>
              <w:rPr>
                <w:rFonts w:hint="eastAsia" w:ascii="宋体" w:hAnsi="宋体"/>
                <w:color w:val="000000"/>
                <w:sz w:val="24"/>
              </w:rPr>
              <w:t>～</w:t>
            </w:r>
            <w:r>
              <w:rPr>
                <w:rFonts w:ascii="宋体" w:hAnsi="宋体"/>
                <w:color w:val="000000"/>
                <w:sz w:val="24"/>
              </w:rPr>
              <w:t>30dB</w:t>
            </w:r>
            <w:r>
              <w:rPr>
                <w:rFonts w:hint="eastAsia" w:ascii="宋体" w:hAnsi="宋体"/>
                <w:color w:val="000000"/>
                <w:sz w:val="24"/>
              </w:rPr>
              <w:t>（</w:t>
            </w:r>
            <w:r>
              <w:rPr>
                <w:rFonts w:ascii="宋体" w:hAnsi="宋体"/>
                <w:color w:val="000000"/>
                <w:sz w:val="24"/>
              </w:rPr>
              <w:t>A</w:t>
            </w:r>
            <w:r>
              <w:rPr>
                <w:rFonts w:hint="eastAsia" w:ascii="宋体" w:hAnsi="宋体"/>
                <w:color w:val="000000"/>
                <w:sz w:val="24"/>
              </w:rPr>
              <w:t>）。</w:t>
            </w:r>
          </w:p>
          <w:p>
            <w:pPr>
              <w:spacing w:line="360" w:lineRule="auto"/>
              <w:ind w:firstLine="480" w:firstLineChars="200"/>
              <w:rPr>
                <w:rFonts w:ascii="宋体" w:hAnsi="宋体"/>
                <w:color w:val="000000"/>
                <w:sz w:val="24"/>
              </w:rPr>
            </w:pPr>
            <w:r>
              <w:rPr>
                <w:rFonts w:ascii="宋体" w:hAnsi="宋体"/>
                <w:color w:val="000000"/>
                <w:sz w:val="24"/>
              </w:rPr>
              <w:fldChar w:fldCharType="begin"/>
            </w:r>
            <w:r>
              <w:rPr>
                <w:rFonts w:ascii="宋体" w:hAnsi="宋体"/>
                <w:color w:val="000000"/>
                <w:sz w:val="24"/>
              </w:rPr>
              <w:instrText xml:space="preserve"> </w:instrText>
            </w:r>
            <w:r>
              <w:rPr>
                <w:rFonts w:hint="eastAsia" w:ascii="宋体" w:hAnsi="宋体"/>
                <w:color w:val="000000"/>
                <w:sz w:val="24"/>
              </w:rPr>
              <w:instrText xml:space="preserve">= 6 \* GB2</w:instrText>
            </w:r>
            <w:r>
              <w:rPr>
                <w:rFonts w:ascii="宋体" w:hAnsi="宋体"/>
                <w:color w:val="000000"/>
                <w:sz w:val="24"/>
              </w:rPr>
              <w:instrText xml:space="preserve"> </w:instrText>
            </w:r>
            <w:r>
              <w:rPr>
                <w:rFonts w:ascii="宋体" w:hAnsi="宋体"/>
                <w:color w:val="000000"/>
                <w:sz w:val="24"/>
              </w:rPr>
              <w:fldChar w:fldCharType="separate"/>
            </w:r>
            <w:r>
              <w:rPr>
                <w:rFonts w:hint="eastAsia" w:ascii="宋体" w:hAnsi="宋体"/>
                <w:color w:val="000000"/>
                <w:sz w:val="24"/>
              </w:rPr>
              <w:t>⑹</w:t>
            </w:r>
            <w:r>
              <w:rPr>
                <w:rFonts w:ascii="宋体" w:hAnsi="宋体"/>
                <w:color w:val="000000"/>
                <w:sz w:val="24"/>
              </w:rPr>
              <w:fldChar w:fldCharType="end"/>
            </w:r>
            <w:r>
              <w:rPr>
                <w:rFonts w:hint="eastAsia" w:ascii="宋体" w:hAnsi="宋体"/>
                <w:color w:val="000000"/>
                <w:sz w:val="24"/>
              </w:rPr>
              <w:t>合理安排施工作业时间。根据国家有关规定</w:t>
            </w:r>
            <w:r>
              <w:rPr>
                <w:rFonts w:ascii="宋体" w:hAnsi="宋体"/>
                <w:color w:val="000000"/>
                <w:sz w:val="24"/>
              </w:rPr>
              <w:t>,</w:t>
            </w:r>
            <w:r>
              <w:rPr>
                <w:rFonts w:hint="eastAsia" w:ascii="宋体" w:hAnsi="宋体"/>
                <w:color w:val="000000"/>
                <w:sz w:val="24"/>
              </w:rPr>
              <w:t>限制建筑施工中的高强噪声作业时间</w:t>
            </w:r>
            <w:r>
              <w:rPr>
                <w:rFonts w:ascii="宋体" w:hAnsi="宋体"/>
                <w:color w:val="000000"/>
                <w:sz w:val="24"/>
              </w:rPr>
              <w:t>,</w:t>
            </w:r>
            <w:r>
              <w:rPr>
                <w:rFonts w:hint="eastAsia" w:ascii="宋体" w:hAnsi="宋体"/>
                <w:color w:val="000000"/>
                <w:sz w:val="24"/>
              </w:rPr>
              <w:t>即禁止在（</w:t>
            </w:r>
            <w:r>
              <w:rPr>
                <w:rFonts w:ascii="宋体" w:hAnsi="宋体"/>
                <w:color w:val="000000"/>
                <w:sz w:val="24"/>
              </w:rPr>
              <w:t>22:00～至次日6:00</w:t>
            </w:r>
            <w:r>
              <w:rPr>
                <w:rFonts w:hint="eastAsia" w:ascii="宋体" w:hAnsi="宋体"/>
                <w:color w:val="000000"/>
                <w:sz w:val="24"/>
              </w:rPr>
              <w:t>）及中午（12:00</w:t>
            </w:r>
            <w:r>
              <w:rPr>
                <w:rFonts w:ascii="宋体" w:hAnsi="宋体"/>
                <w:color w:val="000000"/>
                <w:sz w:val="24"/>
              </w:rPr>
              <w:t>～</w:t>
            </w:r>
            <w:r>
              <w:rPr>
                <w:rFonts w:hint="eastAsia" w:ascii="宋体" w:hAnsi="宋体"/>
                <w:color w:val="000000"/>
                <w:sz w:val="24"/>
              </w:rPr>
              <w:t>14:00）时段施工，禁止中</w:t>
            </w:r>
            <w:r>
              <w:rPr>
                <w:rFonts w:hAnsi="宋体"/>
                <w:color w:val="000000"/>
                <w:sz w:val="24"/>
              </w:rPr>
              <w:t>高考</w:t>
            </w:r>
            <w:r>
              <w:rPr>
                <w:rFonts w:hint="eastAsia" w:hAnsi="宋体"/>
                <w:color w:val="000000"/>
                <w:sz w:val="24"/>
              </w:rPr>
              <w:t>及特殊敏感</w:t>
            </w:r>
            <w:r>
              <w:rPr>
                <w:rFonts w:hAnsi="宋体"/>
                <w:color w:val="000000"/>
                <w:sz w:val="24"/>
              </w:rPr>
              <w:t>期间施</w:t>
            </w:r>
            <w:r>
              <w:rPr>
                <w:rFonts w:hint="eastAsia" w:hAnsi="宋体"/>
                <w:color w:val="000000"/>
                <w:sz w:val="24"/>
              </w:rPr>
              <w:t>工</w:t>
            </w:r>
            <w:r>
              <w:rPr>
                <w:rFonts w:ascii="宋体" w:hAnsi="宋体"/>
                <w:color w:val="000000"/>
                <w:sz w:val="24"/>
              </w:rPr>
              <w:t>,</w:t>
            </w:r>
            <w:r>
              <w:rPr>
                <w:rFonts w:hint="eastAsia" w:ascii="宋体" w:hAnsi="宋体"/>
                <w:color w:val="000000"/>
                <w:sz w:val="24"/>
              </w:rPr>
              <w:t>特别禁止在夜间使用振捣机、电锯等高强噪声机械设备</w:t>
            </w:r>
            <w:r>
              <w:rPr>
                <w:rFonts w:ascii="宋体" w:hAnsi="宋体"/>
                <w:color w:val="000000"/>
                <w:sz w:val="24"/>
              </w:rPr>
              <w:t>,</w:t>
            </w:r>
            <w:r>
              <w:rPr>
                <w:rFonts w:hint="eastAsia" w:ascii="宋体" w:hAnsi="宋体"/>
                <w:color w:val="000000"/>
                <w:sz w:val="24"/>
              </w:rPr>
              <w:t>以及运输装卸砂石、水泥、钢筋等建筑材料。</w:t>
            </w:r>
          </w:p>
          <w:p>
            <w:pPr>
              <w:spacing w:line="360" w:lineRule="auto"/>
              <w:ind w:firstLine="480" w:firstLineChars="200"/>
              <w:rPr>
                <w:rFonts w:ascii="宋体" w:hAnsi="宋体"/>
                <w:sz w:val="24"/>
              </w:rPr>
            </w:pPr>
            <w:r>
              <w:rPr>
                <w:rFonts w:hint="eastAsia" w:ascii="宋体" w:hAnsi="宋体"/>
                <w:kern w:val="0"/>
                <w:sz w:val="24"/>
              </w:rPr>
              <w:t>同时</w:t>
            </w:r>
            <w:r>
              <w:rPr>
                <w:rFonts w:ascii="宋体" w:hAnsi="宋体"/>
                <w:kern w:val="0"/>
                <w:sz w:val="24"/>
              </w:rPr>
              <w:t>,</w:t>
            </w:r>
            <w:r>
              <w:rPr>
                <w:rFonts w:hint="eastAsia" w:ascii="宋体" w:hAnsi="宋体"/>
                <w:sz w:val="24"/>
              </w:rPr>
              <w:t>根据实际情况</w:t>
            </w:r>
            <w:r>
              <w:rPr>
                <w:rFonts w:ascii="宋体" w:hAnsi="宋体"/>
                <w:sz w:val="24"/>
              </w:rPr>
              <w:t>,</w:t>
            </w:r>
            <w:r>
              <w:rPr>
                <w:rFonts w:hint="eastAsia" w:ascii="宋体" w:hAnsi="宋体"/>
                <w:sz w:val="24"/>
              </w:rPr>
              <w:t>对于在以后施工过程中</w:t>
            </w:r>
            <w:r>
              <w:rPr>
                <w:rFonts w:ascii="宋体" w:hAnsi="宋体"/>
                <w:sz w:val="24"/>
              </w:rPr>
              <w:t>,</w:t>
            </w:r>
            <w:r>
              <w:rPr>
                <w:rFonts w:hint="eastAsia" w:ascii="宋体" w:hAnsi="宋体"/>
                <w:sz w:val="24"/>
              </w:rPr>
              <w:t>确实需要连续作业夜间施工的</w:t>
            </w:r>
            <w:r>
              <w:rPr>
                <w:rFonts w:ascii="宋体" w:hAnsi="宋体"/>
                <w:sz w:val="24"/>
              </w:rPr>
              <w:t>,</w:t>
            </w:r>
            <w:r>
              <w:rPr>
                <w:rFonts w:hint="eastAsia" w:ascii="宋体" w:hAnsi="宋体"/>
                <w:sz w:val="24"/>
              </w:rPr>
              <w:t>建筑施工方应向环保主管部门申报</w:t>
            </w:r>
            <w:r>
              <w:rPr>
                <w:rFonts w:ascii="宋体" w:hAnsi="宋体"/>
                <w:sz w:val="24"/>
              </w:rPr>
              <w:t>,</w:t>
            </w:r>
            <w:r>
              <w:rPr>
                <w:rFonts w:hint="eastAsia" w:ascii="宋体" w:hAnsi="宋体"/>
                <w:sz w:val="24"/>
              </w:rPr>
              <w:t>并取得环保主管部门颁发的</w:t>
            </w:r>
            <w:r>
              <w:rPr>
                <w:rFonts w:hint="eastAsia" w:ascii="宋体" w:hAnsi="宋体"/>
                <w:color w:val="000000"/>
                <w:sz w:val="24"/>
              </w:rPr>
              <w:t>《夜间施工许可证》后</w:t>
            </w:r>
            <w:r>
              <w:rPr>
                <w:rFonts w:ascii="宋体" w:hAnsi="宋体"/>
                <w:color w:val="000000"/>
                <w:sz w:val="24"/>
              </w:rPr>
              <w:t>,</w:t>
            </w:r>
            <w:r>
              <w:rPr>
                <w:rFonts w:hint="eastAsia" w:ascii="宋体" w:hAnsi="宋体"/>
                <w:color w:val="000000"/>
                <w:sz w:val="24"/>
              </w:rPr>
              <w:t>经张贴告示告知附近居民并做好宣传解释工作方可施工</w:t>
            </w:r>
            <w:r>
              <w:rPr>
                <w:rFonts w:ascii="宋体" w:hAnsi="宋体"/>
                <w:color w:val="000000"/>
                <w:sz w:val="24"/>
              </w:rPr>
              <w:t>,</w:t>
            </w:r>
            <w:r>
              <w:rPr>
                <w:rFonts w:hint="eastAsia" w:ascii="宋体" w:hAnsi="宋体"/>
                <w:color w:val="000000"/>
                <w:sz w:val="24"/>
              </w:rPr>
              <w:t>另外建筑施工单位应加强与周围居民的沟通</w:t>
            </w:r>
            <w:r>
              <w:rPr>
                <w:rFonts w:ascii="宋体" w:hAnsi="宋体"/>
                <w:color w:val="000000"/>
                <w:sz w:val="24"/>
              </w:rPr>
              <w:t>,</w:t>
            </w:r>
            <w:r>
              <w:rPr>
                <w:rFonts w:hint="eastAsia" w:ascii="宋体" w:hAnsi="宋体"/>
                <w:color w:val="000000"/>
                <w:sz w:val="24"/>
              </w:rPr>
              <w:t>做到文明施工。</w:t>
            </w:r>
          </w:p>
          <w:p>
            <w:pPr>
              <w:spacing w:line="360" w:lineRule="auto"/>
              <w:ind w:firstLine="480" w:firstLineChars="200"/>
              <w:rPr>
                <w:rFonts w:ascii="宋体" w:hAnsi="宋体"/>
                <w:color w:val="000000"/>
                <w:sz w:val="24"/>
              </w:rPr>
            </w:pPr>
            <w:r>
              <w:rPr>
                <w:rFonts w:hint="eastAsia" w:ascii="宋体" w:hAnsi="宋体"/>
                <w:color w:val="000000"/>
                <w:sz w:val="24"/>
              </w:rPr>
              <w:t>通过采取上述措施后</w:t>
            </w:r>
            <w:r>
              <w:rPr>
                <w:rFonts w:ascii="宋体" w:hAnsi="宋体"/>
                <w:color w:val="000000"/>
                <w:sz w:val="24"/>
              </w:rPr>
              <w:t>,</w:t>
            </w:r>
            <w:r>
              <w:rPr>
                <w:rFonts w:hint="eastAsia" w:ascii="宋体" w:hAnsi="宋体"/>
                <w:color w:val="000000"/>
                <w:sz w:val="24"/>
              </w:rPr>
              <w:t>施工期产生的噪声对环境的影响相对减少</w:t>
            </w:r>
            <w:r>
              <w:rPr>
                <w:rFonts w:ascii="宋体" w:hAnsi="宋体"/>
                <w:color w:val="000000"/>
                <w:sz w:val="24"/>
              </w:rPr>
              <w:t>,</w:t>
            </w:r>
            <w:r>
              <w:rPr>
                <w:rFonts w:hint="eastAsia" w:ascii="宋体" w:hAnsi="宋体"/>
                <w:color w:val="000000"/>
                <w:sz w:val="24"/>
              </w:rPr>
              <w:t>且随着施工期的结束而结束。</w:t>
            </w:r>
          </w:p>
          <w:p>
            <w:pPr>
              <w:pStyle w:val="248"/>
              <w:spacing w:line="440" w:lineRule="exact"/>
              <w:ind w:firstLine="482"/>
              <w:rPr>
                <w:b/>
                <w:color w:val="000000"/>
              </w:rPr>
            </w:pPr>
            <w:r>
              <w:rPr>
                <w:rFonts w:hint="eastAsia"/>
                <w:bCs/>
                <w:color w:val="000000"/>
              </w:rPr>
              <w:t>（三）施工期水环境影响分析及环境保护措施</w:t>
            </w:r>
          </w:p>
          <w:p>
            <w:pPr>
              <w:tabs>
                <w:tab w:val="left" w:pos="3780"/>
              </w:tabs>
              <w:spacing w:line="360" w:lineRule="auto"/>
              <w:ind w:firstLine="480" w:firstLineChars="200"/>
              <w:rPr>
                <w:rFonts w:ascii="宋体" w:hAnsi="宋体"/>
                <w:color w:val="000000"/>
                <w:sz w:val="24"/>
              </w:rPr>
            </w:pPr>
            <w:r>
              <w:rPr>
                <w:rFonts w:ascii="宋体" w:hAnsi="宋体"/>
                <w:color w:val="000000"/>
                <w:sz w:val="24"/>
              </w:rPr>
              <w:t>项目施工期较长，大部分使用商品混凝土，产生废水主要是混凝土养护和运输车辆冲洗过程产生的少量施工废水。废水中主要污染物为S</w:t>
            </w:r>
            <w:r>
              <w:rPr>
                <w:rFonts w:hint="eastAsia" w:ascii="宋体" w:hAnsi="宋体"/>
                <w:color w:val="000000"/>
                <w:sz w:val="24"/>
              </w:rPr>
              <w:t>S</w:t>
            </w:r>
            <w:r>
              <w:rPr>
                <w:rFonts w:ascii="宋体" w:hAnsi="宋体"/>
                <w:color w:val="000000"/>
                <w:sz w:val="24"/>
              </w:rPr>
              <w:t>，无其它污染指标。如果施工废水未经处理直排，势必会加重</w:t>
            </w:r>
            <w:r>
              <w:rPr>
                <w:rFonts w:hint="eastAsia" w:ascii="宋体" w:hAnsi="宋体"/>
                <w:color w:val="000000"/>
                <w:sz w:val="24"/>
              </w:rPr>
              <w:t>舞水</w:t>
            </w:r>
            <w:r>
              <w:rPr>
                <w:rFonts w:ascii="宋体" w:hAnsi="宋体"/>
                <w:color w:val="000000"/>
                <w:sz w:val="24"/>
              </w:rPr>
              <w:t>地表水环境污染，为此对于施工期生产废水和生活污水，评价要求做好以下防治措施：</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严格执行《建设工程施工场地文明施工及环境管理暂行规定》，对地面排水应进行有组织设计、收集回用，严禁乱排、乱流污染道路、水体</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严禁将施工废水直接外排。</w:t>
            </w:r>
            <w:r>
              <w:rPr>
                <w:rFonts w:ascii="宋体" w:hAnsi="宋体"/>
                <w:bCs/>
                <w:sz w:val="24"/>
              </w:rPr>
              <w:t>对</w:t>
            </w:r>
            <w:r>
              <w:rPr>
                <w:rFonts w:ascii="宋体" w:hAnsi="宋体"/>
                <w:sz w:val="24"/>
              </w:rPr>
              <w:t>施工产生的泥浆水及洗车平台废水应设置临时沉砂池，含泥沙雨水、泥浆水应经沉淀后全部回用；场地设置防渗旱厕</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对施工场地设置的旱厕和临时沉砂池等要按照规范进行修建，地面要进行防渗硬化，防止污水对地下水造成污染。</w:t>
            </w:r>
          </w:p>
          <w:p>
            <w:pPr>
              <w:tabs>
                <w:tab w:val="left" w:pos="3780"/>
              </w:tabs>
              <w:spacing w:line="360" w:lineRule="auto"/>
              <w:ind w:firstLine="480" w:firstLineChars="200"/>
              <w:rPr>
                <w:rFonts w:ascii="宋体" w:hAnsi="宋体"/>
                <w:sz w:val="24"/>
              </w:rPr>
            </w:pPr>
            <w:r>
              <w:rPr>
                <w:rFonts w:ascii="宋体" w:hAnsi="宋体"/>
                <w:sz w:val="24"/>
              </w:rPr>
              <w:t>通过以上措施可有效控制废水外排对地表水体的污染，对环境影响小。</w:t>
            </w:r>
          </w:p>
          <w:p>
            <w:pPr>
              <w:pStyle w:val="248"/>
              <w:spacing w:line="440" w:lineRule="exact"/>
              <w:ind w:firstLine="482"/>
              <w:rPr>
                <w:bCs/>
                <w:color w:val="000000"/>
              </w:rPr>
            </w:pPr>
            <w:r>
              <w:rPr>
                <w:rFonts w:hint="eastAsia"/>
                <w:bCs/>
                <w:color w:val="000000"/>
              </w:rPr>
              <w:t>（四）固体废物环境影响分析及环境保护措施</w:t>
            </w:r>
          </w:p>
          <w:p>
            <w:pPr>
              <w:pStyle w:val="250"/>
              <w:spacing w:after="0" w:line="360" w:lineRule="auto"/>
              <w:ind w:left="0" w:leftChars="0" w:firstLine="480" w:firstLineChars="200"/>
              <w:rPr>
                <w:rFonts w:ascii="宋体" w:hAnsi="宋体"/>
                <w:color w:val="000000"/>
                <w:sz w:val="24"/>
              </w:rPr>
            </w:pPr>
            <w:r>
              <w:rPr>
                <w:rFonts w:hint="eastAsia" w:ascii="宋体" w:hAnsi="宋体"/>
                <w:color w:val="000000"/>
                <w:sz w:val="24"/>
              </w:rPr>
              <w:t>施工期固体废弃物主要有废弃建筑材料及施工人员的生活垃圾。</w:t>
            </w:r>
          </w:p>
          <w:p>
            <w:pPr>
              <w:pStyle w:val="248"/>
              <w:spacing w:line="440" w:lineRule="exact"/>
              <w:ind w:firstLine="482"/>
              <w:rPr>
                <w:bCs/>
              </w:rPr>
            </w:pPr>
            <w:r>
              <w:rPr>
                <w:rFonts w:hint="eastAsia" w:cs="宋体"/>
                <w:color w:val="000000"/>
              </w:rPr>
              <w:t>废弃建筑材料与建筑材料种类、建筑形式、建筑内容等有关</w:t>
            </w:r>
            <w:r>
              <w:rPr>
                <w:rFonts w:cs="宋体"/>
                <w:color w:val="000000"/>
              </w:rPr>
              <w:t>,</w:t>
            </w:r>
            <w:r>
              <w:rPr>
                <w:rFonts w:hint="eastAsia" w:cs="宋体"/>
              </w:rPr>
              <w:t>对于废弃的建筑垃圾</w:t>
            </w:r>
            <w:r>
              <w:rPr>
                <w:rFonts w:cs="宋体"/>
              </w:rPr>
              <w:t>,</w:t>
            </w:r>
            <w:r>
              <w:rPr>
                <w:rFonts w:hint="eastAsia" w:cs="宋体"/>
              </w:rPr>
              <w:t>施工单位应对其进行集中堆放</w:t>
            </w:r>
            <w:r>
              <w:rPr>
                <w:rFonts w:cs="宋体"/>
              </w:rPr>
              <w:t>,</w:t>
            </w:r>
            <w:r>
              <w:rPr>
                <w:rFonts w:hint="eastAsia" w:cs="宋体"/>
              </w:rPr>
              <w:t>然后送往了市政部门指定的填埋地进行填埋。经以上处理后</w:t>
            </w:r>
            <w:r>
              <w:rPr>
                <w:rFonts w:cs="宋体"/>
              </w:rPr>
              <w:t>,</w:t>
            </w:r>
            <w:r>
              <w:rPr>
                <w:rFonts w:hint="eastAsia" w:cs="宋体"/>
              </w:rPr>
              <w:t>施工期产生的建筑垃圾对区域环境影响较轻</w:t>
            </w:r>
            <w:r>
              <w:rPr>
                <w:rFonts w:cs="宋体"/>
              </w:rPr>
              <w:t>,</w:t>
            </w:r>
            <w:r>
              <w:rPr>
                <w:rFonts w:hint="eastAsia" w:cs="宋体"/>
              </w:rPr>
              <w:t>污染防治措施可行。施工人员的生活垃圾产生量少，</w:t>
            </w:r>
            <w:r>
              <w:rPr>
                <w:rFonts w:hint="eastAsia" w:cs="宋体"/>
                <w:bCs/>
              </w:rPr>
              <w:t>生活垃圾要收集到指定的垃圾箱（筒）内,由环卫部门定期清理运送至垃圾填埋厂填埋。</w:t>
            </w:r>
            <w:r>
              <w:rPr>
                <w:rFonts w:cs="宋体"/>
              </w:rPr>
              <w:t>通过以上措施可有效控制</w:t>
            </w:r>
            <w:r>
              <w:rPr>
                <w:rFonts w:hint="eastAsia" w:cs="宋体"/>
              </w:rPr>
              <w:t>固体废物</w:t>
            </w:r>
            <w:r>
              <w:rPr>
                <w:rFonts w:cs="宋体"/>
              </w:rPr>
              <w:t>对</w:t>
            </w:r>
            <w:r>
              <w:rPr>
                <w:rFonts w:hint="eastAsia" w:cs="宋体"/>
              </w:rPr>
              <w:t>环境的影响。</w:t>
            </w:r>
          </w:p>
          <w:p>
            <w:pPr>
              <w:pStyle w:val="248"/>
              <w:spacing w:line="440" w:lineRule="exact"/>
              <w:ind w:firstLine="482"/>
              <w:rPr>
                <w:bCs/>
                <w:color w:val="000000"/>
              </w:rPr>
            </w:pPr>
            <w:r>
              <w:rPr>
                <w:rFonts w:hint="eastAsia"/>
                <w:bCs/>
                <w:color w:val="000000"/>
              </w:rPr>
              <w:t>（五）施工期水土保持及生态保护</w:t>
            </w:r>
          </w:p>
          <w:p>
            <w:pPr>
              <w:spacing w:line="360" w:lineRule="auto"/>
              <w:ind w:firstLine="480" w:firstLineChars="200"/>
              <w:rPr>
                <w:rFonts w:ascii="宋体" w:hAnsi="宋体"/>
                <w:bCs/>
                <w:sz w:val="24"/>
              </w:rPr>
            </w:pPr>
            <w:r>
              <w:rPr>
                <w:rFonts w:hint="eastAsia" w:ascii="宋体" w:hAnsi="宋体"/>
                <w:bCs/>
                <w:sz w:val="24"/>
              </w:rPr>
              <w:t>由于项目建设施工中开挖地面、机械碾压、排放废弃物等原因,施工破坏了原有的地貌和植被,进一步扰动了表土结构,致使土壤抗蚀能力降低。裸露的土壤极易被降雨径流冲刷而产生水土流失,特别是暴雨时冲刷更为严重。为防治水土流失,施工中应釆取如下措施:</w:t>
            </w:r>
          </w:p>
          <w:p>
            <w:pPr>
              <w:spacing w:line="360" w:lineRule="auto"/>
              <w:ind w:firstLine="480" w:firstLineChars="200"/>
              <w:rPr>
                <w:rFonts w:ascii="宋体" w:hAnsi="宋体"/>
                <w:bCs/>
                <w:sz w:val="24"/>
              </w:rPr>
            </w:pPr>
            <w:r>
              <w:rPr>
                <w:rFonts w:hint="eastAsia" w:ascii="宋体" w:hAnsi="宋体"/>
                <w:bCs/>
                <w:sz w:val="24"/>
              </w:rPr>
              <w:t>1、科学规划,合理安排,挖填方配套作业,要求分区分片开挖和填压,及时运输挖方及时压实填方,防止暴雨径流对开挖面及填方区的冲刷,从根本上减少水土流失量。</w:t>
            </w:r>
          </w:p>
          <w:p>
            <w:pPr>
              <w:spacing w:line="360" w:lineRule="auto"/>
              <w:ind w:firstLine="480" w:firstLineChars="200"/>
              <w:rPr>
                <w:rFonts w:ascii="宋体" w:hAnsi="宋体"/>
                <w:bCs/>
                <w:sz w:val="24"/>
              </w:rPr>
            </w:pPr>
            <w:r>
              <w:rPr>
                <w:rFonts w:hint="eastAsia" w:ascii="宋体" w:hAnsi="宋体"/>
                <w:bCs/>
                <w:sz w:val="24"/>
              </w:rPr>
              <w:t>2、施工中釆取临时防护措施,如在挖填施工场地周围设临时排水沟,并用草席、沙袋等对坡面进行护理,确保下雨时不出现大量水土流失。</w:t>
            </w:r>
          </w:p>
          <w:p>
            <w:pPr>
              <w:spacing w:line="360" w:lineRule="auto"/>
              <w:ind w:firstLine="480" w:firstLineChars="200"/>
              <w:rPr>
                <w:rFonts w:ascii="宋体" w:hAnsi="宋体"/>
                <w:bCs/>
                <w:sz w:val="24"/>
              </w:rPr>
            </w:pPr>
            <w:r>
              <w:rPr>
                <w:rFonts w:hint="eastAsia" w:ascii="宋体" w:hAnsi="宋体"/>
                <w:bCs/>
                <w:sz w:val="24"/>
              </w:rPr>
              <w:t>3、设备堆放场、材料堆放场的防径流冲刷措施应加强,废土、渣应及时运出填埋,不得随意堆放,并应注意挖填平衡,防止出现废土、渣处置不当而导致的水土流失。</w:t>
            </w:r>
          </w:p>
          <w:p>
            <w:pPr>
              <w:spacing w:line="360" w:lineRule="auto"/>
              <w:ind w:firstLine="480" w:firstLineChars="200"/>
              <w:rPr>
                <w:rFonts w:ascii="宋体" w:hAnsi="宋体"/>
                <w:bCs/>
                <w:sz w:val="24"/>
              </w:rPr>
            </w:pPr>
            <w:r>
              <w:rPr>
                <w:rFonts w:hint="eastAsia" w:ascii="宋体" w:hAnsi="宋体"/>
                <w:bCs/>
                <w:sz w:val="24"/>
              </w:rPr>
              <w:t>4、施工时应尽量不破坏区内现仍保存的植被和地形地貌,在项目建设的同时应及时搞好项目区域的植树、绿化及地面硬化,项目建成后,场地内应无裸露地面,使其水土保持功能逐步恢复并加强。</w:t>
            </w:r>
          </w:p>
          <w:p>
            <w:pPr>
              <w:spacing w:line="360" w:lineRule="auto"/>
              <w:ind w:firstLine="480" w:firstLineChars="200"/>
              <w:rPr>
                <w:rFonts w:ascii="宋体" w:hAnsi="宋体"/>
                <w:sz w:val="24"/>
              </w:rPr>
            </w:pPr>
            <w:r>
              <w:rPr>
                <w:rFonts w:hint="eastAsia" w:ascii="宋体" w:hAnsi="宋体"/>
                <w:sz w:val="24"/>
              </w:rPr>
              <w:t>（六）施工期对交通的影响</w:t>
            </w:r>
          </w:p>
          <w:p>
            <w:pPr>
              <w:spacing w:line="360" w:lineRule="auto"/>
              <w:ind w:firstLine="480" w:firstLineChars="200"/>
              <w:rPr>
                <w:rFonts w:ascii="宋体" w:hAnsi="宋体"/>
                <w:bCs/>
                <w:sz w:val="24"/>
              </w:rPr>
            </w:pPr>
            <w:r>
              <w:rPr>
                <w:rFonts w:hint="eastAsia" w:ascii="宋体" w:hAnsi="宋体"/>
                <w:bCs/>
                <w:sz w:val="24"/>
              </w:rPr>
              <w:t>施工对交通的影响主要是:施工车辆增加,造成当地交通繁忙以及施工建材占用道路带来交通不便。</w:t>
            </w:r>
          </w:p>
          <w:p>
            <w:pPr>
              <w:spacing w:line="360" w:lineRule="auto"/>
              <w:ind w:firstLine="480" w:firstLineChars="200"/>
              <w:rPr>
                <w:rFonts w:ascii="宋体" w:hAnsi="宋体"/>
                <w:bCs/>
                <w:sz w:val="24"/>
              </w:rPr>
            </w:pPr>
            <w:r>
              <w:rPr>
                <w:rFonts w:hint="eastAsia" w:ascii="宋体" w:hAnsi="宋体"/>
                <w:bCs/>
                <w:sz w:val="24"/>
              </w:rPr>
              <w:t>由于本项目建设所需的建材、水泥、土石方数量较多,机械设备的运入,人流、物流的增加,势必造成城市道路车流量的增加,加之施工建筑材料占用道路等等,这一切都将给区域主干道及支路造成交通量大增甚至交通阻塞。因此,应切实注意施工的组织与管理,建筑材料及渣土运输尽量安排在夜间进行,尽量避免建筑材料占用交通主干道,必要时应派专人协助组织管理交通,保证区域交通顺畅。</w:t>
            </w:r>
          </w:p>
          <w:p>
            <w:pPr>
              <w:spacing w:line="360" w:lineRule="auto"/>
              <w:ind w:firstLine="480" w:firstLineChars="200"/>
              <w:rPr>
                <w:rFonts w:ascii="宋体" w:hAnsi="宋体"/>
                <w:sz w:val="24"/>
              </w:rPr>
            </w:pPr>
            <w:r>
              <w:rPr>
                <w:rFonts w:hint="eastAsia" w:ascii="宋体" w:hAnsi="宋体"/>
                <w:sz w:val="24"/>
              </w:rPr>
              <w:t>（七）施工期的环境管理</w:t>
            </w:r>
          </w:p>
          <w:p>
            <w:pPr>
              <w:spacing w:line="360" w:lineRule="auto"/>
              <w:ind w:firstLine="480" w:firstLineChars="200"/>
              <w:rPr>
                <w:rFonts w:ascii="宋体" w:hAnsi="宋体"/>
                <w:bCs/>
                <w:sz w:val="24"/>
              </w:rPr>
            </w:pPr>
            <w:r>
              <w:rPr>
                <w:rFonts w:hint="eastAsia" w:ascii="宋体" w:hAnsi="宋体"/>
                <w:bCs/>
                <w:sz w:val="24"/>
              </w:rPr>
              <w:t>施工方在施工过程中制定相应的环保防治措施和工程计划,并落实到位。施工方必须设专人负责管理,培训工作人员,以正确的工作方法,控制施工中产生的不利环境影响;必要时还需在监测和检查工程施工的环境影响和实施缓解措施方面进行培训,以确保项目施工期各项环保控制措施的落实。</w:t>
            </w:r>
          </w:p>
          <w:p>
            <w:pPr>
              <w:spacing w:line="360" w:lineRule="auto"/>
              <w:ind w:firstLine="480" w:firstLineChars="200"/>
              <w:rPr>
                <w:rFonts w:ascii="宋体" w:hAnsi="宋体"/>
                <w:bCs/>
                <w:sz w:val="24"/>
              </w:rPr>
            </w:pPr>
            <w:r>
              <w:rPr>
                <w:rFonts w:hint="eastAsia" w:ascii="宋体" w:hAnsi="宋体"/>
                <w:bCs/>
                <w:sz w:val="24"/>
              </w:rPr>
              <w:t>工程建设单位有责任配合当地环保主管机构,对施工过程的环境影响进行环境监测和监理,以保证施工期的环保措施得以完善和持续执行,使项目建设施工范围的环境质量得到充分有效保证。</w:t>
            </w:r>
          </w:p>
          <w:p>
            <w:pPr>
              <w:spacing w:line="360" w:lineRule="auto"/>
              <w:ind w:firstLine="480" w:firstLineChars="200"/>
              <w:rPr>
                <w:rFonts w:ascii="宋体" w:hAnsi="宋体"/>
                <w:b/>
                <w:spacing w:val="-6"/>
                <w:sz w:val="28"/>
              </w:rPr>
            </w:pPr>
            <w:r>
              <w:rPr>
                <w:rFonts w:hint="eastAsia" w:ascii="宋体" w:hAnsi="宋体"/>
                <w:bCs/>
                <w:sz w:val="24"/>
              </w:rPr>
              <w:t>综上所述，施工期间的各项污染环境的因素,可釆取一定的措施避免或减轻其污染,使其达标排放。这些影响也是短期的,随着施工期结束,施工噪声、扬尘和水土流失等问题也会消失,而新的建设工程完工后,植被恢复,新的生态环境将取代现在的被明显破坏的生态环境。</w:t>
            </w:r>
          </w:p>
          <w:p>
            <w:pPr>
              <w:spacing w:line="360" w:lineRule="auto"/>
              <w:rPr>
                <w:rFonts w:ascii="宋体" w:hAnsi="宋体"/>
                <w:b/>
                <w:spacing w:val="-6"/>
                <w:sz w:val="24"/>
                <w:szCs w:val="24"/>
              </w:rPr>
            </w:pPr>
            <w:r>
              <w:rPr>
                <w:rFonts w:ascii="宋体" w:hAnsi="宋体"/>
                <w:b/>
                <w:spacing w:val="-6"/>
                <w:sz w:val="24"/>
                <w:szCs w:val="24"/>
              </w:rPr>
              <w:t>营运期环境影响分析</w:t>
            </w:r>
            <w:r>
              <w:rPr>
                <w:rFonts w:hint="eastAsia" w:ascii="宋体" w:hAnsi="宋体"/>
                <w:b/>
                <w:spacing w:val="-6"/>
                <w:sz w:val="24"/>
                <w:szCs w:val="24"/>
              </w:rPr>
              <w:t>及环境保护措施</w:t>
            </w:r>
          </w:p>
          <w:p>
            <w:pPr>
              <w:spacing w:line="360" w:lineRule="auto"/>
              <w:ind w:firstLine="480" w:firstLineChars="200"/>
              <w:rPr>
                <w:rFonts w:ascii="宋体" w:hAnsi="宋体"/>
                <w:sz w:val="24"/>
              </w:rPr>
            </w:pPr>
            <w:r>
              <w:rPr>
                <w:rFonts w:ascii="宋体" w:hAnsi="宋体"/>
                <w:sz w:val="24"/>
              </w:rPr>
              <w:t>本项目营运期对环境的影响因子主要有废水、废气、固体废物和噪声等。</w:t>
            </w:r>
          </w:p>
          <w:p>
            <w:pPr>
              <w:pStyle w:val="248"/>
              <w:spacing w:line="440" w:lineRule="exact"/>
              <w:ind w:firstLine="482"/>
              <w:rPr>
                <w:bCs/>
                <w:color w:val="000000"/>
              </w:rPr>
            </w:pPr>
            <w:r>
              <w:rPr>
                <w:rFonts w:hint="eastAsia"/>
                <w:bCs/>
                <w:color w:val="000000"/>
              </w:rPr>
              <w:t>（一）</w:t>
            </w:r>
            <w:r>
              <w:rPr>
                <w:bCs/>
                <w:color w:val="000000"/>
              </w:rPr>
              <w:t>废水对环境的影响分析</w:t>
            </w:r>
            <w:r>
              <w:rPr>
                <w:rFonts w:hint="eastAsia"/>
                <w:bCs/>
                <w:color w:val="000000"/>
              </w:rPr>
              <w:t>及环境保护措施</w:t>
            </w:r>
          </w:p>
          <w:p>
            <w:pPr>
              <w:pStyle w:val="29"/>
              <w:spacing w:line="360" w:lineRule="auto"/>
              <w:rPr>
                <w:rFonts w:ascii="宋体"/>
                <w:sz w:val="24"/>
                <w:szCs w:val="24"/>
              </w:rPr>
            </w:pPr>
            <w:r>
              <w:rPr>
                <w:rFonts w:hint="eastAsia" w:ascii="宋体"/>
                <w:sz w:val="24"/>
                <w:szCs w:val="24"/>
              </w:rPr>
              <w:t>本项目建成运营后，产生的废水主要为生活污水。</w:t>
            </w:r>
          </w:p>
          <w:p>
            <w:pPr>
              <w:spacing w:line="360" w:lineRule="auto"/>
              <w:ind w:firstLine="480" w:firstLineChars="200"/>
              <w:rPr>
                <w:rFonts w:ascii="宋体" w:hAnsi="宋体" w:cs="宋体"/>
                <w:color w:val="000000" w:themeColor="text1"/>
                <w:sz w:val="24"/>
                <w:shd w:val="clear" w:color="auto" w:fill="FFFFFF"/>
              </w:rPr>
            </w:pPr>
            <w:r>
              <w:rPr>
                <w:rFonts w:hint="eastAsia" w:ascii="宋体" w:hAnsi="宋体"/>
                <w:sz w:val="24"/>
              </w:rPr>
              <w:t>生活污水来源于酒店客房、工作人员、餐饮等，产生量为</w:t>
            </w:r>
            <w:r>
              <w:rPr>
                <w:rStyle w:val="94"/>
                <w:rFonts w:hint="eastAsia"/>
                <w:color w:val="000000"/>
                <w:sz w:val="24"/>
                <w:szCs w:val="24"/>
              </w:rPr>
              <w:t>11.38×10</w:t>
            </w:r>
            <w:r>
              <w:rPr>
                <w:rStyle w:val="94"/>
                <w:rFonts w:hint="eastAsia"/>
                <w:color w:val="000000"/>
                <w:sz w:val="24"/>
                <w:szCs w:val="24"/>
                <w:vertAlign w:val="superscript"/>
              </w:rPr>
              <w:t>5</w:t>
            </w:r>
            <w:r>
              <w:rPr>
                <w:rFonts w:ascii="宋体" w:hAnsi="宋体"/>
                <w:color w:val="000000"/>
                <w:sz w:val="24"/>
              </w:rPr>
              <w:t>m</w:t>
            </w:r>
            <w:r>
              <w:rPr>
                <w:rFonts w:ascii="宋体" w:hAnsi="宋体"/>
                <w:color w:val="000000"/>
                <w:sz w:val="24"/>
                <w:vertAlign w:val="superscript"/>
              </w:rPr>
              <w:t>3</w:t>
            </w:r>
            <w:r>
              <w:rPr>
                <w:rFonts w:ascii="宋体" w:hAnsi="宋体"/>
                <w:color w:val="000000"/>
                <w:sz w:val="24"/>
              </w:rPr>
              <w:t>/a</w:t>
            </w:r>
            <w:r>
              <w:rPr>
                <w:rFonts w:hint="eastAsia" w:ascii="宋体" w:hAnsi="宋体"/>
                <w:color w:val="000000"/>
                <w:sz w:val="24"/>
              </w:rPr>
              <w:t>，</w:t>
            </w:r>
            <w:r>
              <w:rPr>
                <w:rStyle w:val="94"/>
                <w:rFonts w:hint="eastAsia"/>
                <w:sz w:val="24"/>
                <w:szCs w:val="24"/>
              </w:rPr>
              <w:t>经类比同类工程调查可知</w:t>
            </w:r>
            <w:r>
              <w:rPr>
                <w:rStyle w:val="94"/>
                <w:sz w:val="24"/>
                <w:szCs w:val="24"/>
              </w:rPr>
              <w:t>,</w:t>
            </w:r>
            <w:r>
              <w:rPr>
                <w:rStyle w:val="94"/>
                <w:rFonts w:hint="eastAsia"/>
                <w:sz w:val="24"/>
                <w:szCs w:val="24"/>
              </w:rPr>
              <w:t>营运期生活污水主要污染物的产生</w:t>
            </w:r>
            <w:r>
              <w:rPr>
                <w:rStyle w:val="251"/>
                <w:rFonts w:hint="eastAsia" w:ascii="宋体" w:hAnsi="宋体" w:cs="宋体"/>
                <w:sz w:val="24"/>
                <w:szCs w:val="24"/>
                <w:lang w:eastAsia="zh-CN"/>
              </w:rPr>
              <w:t>浓度为</w:t>
            </w:r>
            <w:r>
              <w:rPr>
                <w:rStyle w:val="249"/>
                <w:rFonts w:ascii="宋体" w:hAnsi="宋体"/>
                <w:sz w:val="24"/>
                <w:lang w:eastAsia="zh-CN"/>
              </w:rPr>
              <w:t>CODcr</w:t>
            </w:r>
            <w:r>
              <w:rPr>
                <w:rFonts w:ascii="宋体" w:hAnsi="宋体"/>
                <w:sz w:val="24"/>
              </w:rPr>
              <w:t xml:space="preserve"> 400mg/L、BOD</w:t>
            </w:r>
            <w:r>
              <w:rPr>
                <w:rFonts w:ascii="宋体" w:hAnsi="宋体"/>
                <w:sz w:val="24"/>
                <w:vertAlign w:val="subscript"/>
              </w:rPr>
              <w:t xml:space="preserve">5 </w:t>
            </w:r>
            <w:r>
              <w:rPr>
                <w:rFonts w:ascii="宋体" w:hAnsi="宋体"/>
                <w:sz w:val="24"/>
              </w:rPr>
              <w:t xml:space="preserve">200mg/L、SS </w:t>
            </w:r>
            <w:r>
              <w:rPr>
                <w:rFonts w:hint="eastAsia" w:ascii="宋体" w:hAnsi="宋体"/>
                <w:sz w:val="24"/>
              </w:rPr>
              <w:t>250</w:t>
            </w:r>
            <w:r>
              <w:rPr>
                <w:rFonts w:ascii="宋体" w:hAnsi="宋体"/>
                <w:sz w:val="24"/>
              </w:rPr>
              <w:t>mg/L、</w:t>
            </w:r>
            <w:r>
              <w:rPr>
                <w:rFonts w:ascii="宋体" w:hAnsi="宋体"/>
                <w:spacing w:val="5"/>
                <w:kern w:val="0"/>
                <w:sz w:val="24"/>
              </w:rPr>
              <w:t>氨氮</w:t>
            </w:r>
            <w:r>
              <w:rPr>
                <w:rFonts w:ascii="宋体" w:hAnsi="宋体"/>
                <w:sz w:val="24"/>
              </w:rPr>
              <w:t>3</w:t>
            </w:r>
            <w:r>
              <w:rPr>
                <w:rFonts w:hint="eastAsia" w:ascii="宋体" w:hAnsi="宋体"/>
                <w:sz w:val="24"/>
              </w:rPr>
              <w:t>5</w:t>
            </w:r>
            <w:r>
              <w:rPr>
                <w:rFonts w:ascii="宋体" w:hAnsi="宋体"/>
                <w:sz w:val="24"/>
              </w:rPr>
              <w:t>mg/L、动植物油</w:t>
            </w:r>
            <w:r>
              <w:rPr>
                <w:rFonts w:hint="eastAsia" w:ascii="宋体" w:hAnsi="宋体"/>
                <w:sz w:val="24"/>
              </w:rPr>
              <w:t>50</w:t>
            </w:r>
            <w:r>
              <w:rPr>
                <w:rFonts w:ascii="宋体" w:hAnsi="宋体"/>
                <w:sz w:val="24"/>
              </w:rPr>
              <w:t>mg/L。</w:t>
            </w:r>
            <w:r>
              <w:rPr>
                <w:rStyle w:val="252"/>
                <w:rFonts w:hint="eastAsia"/>
                <w:sz w:val="24"/>
                <w:lang w:val="zh-TW" w:eastAsia="zh-TW"/>
              </w:rPr>
              <w:t>经过</w:t>
            </w:r>
            <w:r>
              <w:rPr>
                <w:rStyle w:val="252"/>
                <w:rFonts w:hint="eastAsia"/>
                <w:sz w:val="24"/>
                <w:lang w:val="zh-TW" w:eastAsia="zh-CN"/>
              </w:rPr>
              <w:t>500m³隔油化粪池</w:t>
            </w:r>
            <w:r>
              <w:rPr>
                <w:rStyle w:val="252"/>
                <w:rFonts w:hint="eastAsia"/>
                <w:sz w:val="24"/>
                <w:lang w:val="zh-TW" w:eastAsia="zh-TW"/>
              </w:rPr>
              <w:t>预处理后</w:t>
            </w:r>
            <w:r>
              <w:rPr>
                <w:rStyle w:val="252"/>
                <w:sz w:val="24"/>
                <w:lang w:val="zh-TW" w:eastAsia="zh-TW"/>
              </w:rPr>
              <w:t>,</w:t>
            </w:r>
            <w:r>
              <w:rPr>
                <w:rStyle w:val="252"/>
                <w:rFonts w:hint="eastAsia"/>
                <w:sz w:val="24"/>
                <w:lang w:val="zh-TW" w:eastAsia="zh-TW"/>
              </w:rPr>
              <w:t>主要污染物的排放浓度为</w:t>
            </w:r>
            <w:r>
              <w:rPr>
                <w:rStyle w:val="236"/>
                <w:rFonts w:ascii="宋体" w:hAnsi="宋体"/>
                <w:sz w:val="24"/>
                <w:lang w:eastAsia="zh-CN"/>
              </w:rPr>
              <w:t>CODcr</w:t>
            </w:r>
            <w:r>
              <w:rPr>
                <w:rStyle w:val="236"/>
                <w:rFonts w:hint="eastAsia" w:ascii="宋体" w:hAnsi="宋体"/>
                <w:sz w:val="24"/>
                <w:lang w:eastAsia="zh-CN"/>
              </w:rPr>
              <w:t>240</w:t>
            </w:r>
            <w:r>
              <w:rPr>
                <w:rStyle w:val="236"/>
                <w:rFonts w:ascii="宋体" w:hAnsi="宋体"/>
                <w:sz w:val="24"/>
                <w:lang w:eastAsia="zh-CN"/>
              </w:rPr>
              <w:t>mg/L</w:t>
            </w:r>
            <w:r>
              <w:rPr>
                <w:rStyle w:val="252"/>
                <w:rFonts w:hint="eastAsia"/>
                <w:sz w:val="24"/>
                <w:lang w:eastAsia="zh-CN"/>
              </w:rPr>
              <w:t>、</w:t>
            </w:r>
            <w:r>
              <w:rPr>
                <w:rStyle w:val="236"/>
                <w:rFonts w:ascii="宋体" w:hAnsi="宋体"/>
                <w:sz w:val="24"/>
                <w:lang w:eastAsia="zh-CN"/>
              </w:rPr>
              <w:t>BOD</w:t>
            </w:r>
            <w:r>
              <w:rPr>
                <w:rStyle w:val="236"/>
                <w:rFonts w:ascii="宋体" w:hAnsi="宋体"/>
                <w:sz w:val="24"/>
                <w:vertAlign w:val="subscript"/>
                <w:lang w:eastAsia="zh-CN"/>
              </w:rPr>
              <w:t>5</w:t>
            </w:r>
            <w:r>
              <w:rPr>
                <w:rStyle w:val="236"/>
                <w:rFonts w:hint="eastAsia" w:ascii="宋体" w:hAnsi="宋体"/>
                <w:sz w:val="24"/>
                <w:lang w:eastAsia="zh-CN"/>
              </w:rPr>
              <w:t>100</w:t>
            </w:r>
            <w:r>
              <w:rPr>
                <w:rStyle w:val="236"/>
                <w:rFonts w:ascii="宋体" w:hAnsi="宋体"/>
                <w:sz w:val="24"/>
                <w:lang w:val="zh-TW" w:eastAsia="zh-TW"/>
              </w:rPr>
              <w:t xml:space="preserve"> </w:t>
            </w:r>
            <w:r>
              <w:rPr>
                <w:rStyle w:val="236"/>
                <w:rFonts w:ascii="宋体" w:hAnsi="宋体"/>
                <w:sz w:val="24"/>
                <w:lang w:eastAsia="zh-CN"/>
              </w:rPr>
              <w:t>mg/L</w:t>
            </w:r>
            <w:r>
              <w:rPr>
                <w:rStyle w:val="252"/>
                <w:rFonts w:hint="eastAsia"/>
                <w:sz w:val="24"/>
                <w:lang w:eastAsia="zh-CN"/>
              </w:rPr>
              <w:t>、</w:t>
            </w:r>
            <w:r>
              <w:rPr>
                <w:rStyle w:val="236"/>
                <w:rFonts w:ascii="宋体" w:hAnsi="宋体"/>
                <w:sz w:val="24"/>
                <w:lang w:eastAsia="zh-CN"/>
              </w:rPr>
              <w:t>NH</w:t>
            </w:r>
            <w:r>
              <w:rPr>
                <w:rStyle w:val="236"/>
                <w:rFonts w:ascii="宋体" w:hAnsi="宋体"/>
                <w:sz w:val="24"/>
                <w:vertAlign w:val="subscript"/>
                <w:lang w:eastAsia="zh-CN"/>
              </w:rPr>
              <w:t>3</w:t>
            </w:r>
            <w:r>
              <w:rPr>
                <w:rStyle w:val="236"/>
                <w:rFonts w:ascii="宋体" w:hAnsi="宋体"/>
                <w:sz w:val="24"/>
                <w:lang w:eastAsia="zh-CN"/>
              </w:rPr>
              <w:t>-N</w:t>
            </w:r>
            <w:r>
              <w:rPr>
                <w:rStyle w:val="236"/>
                <w:rFonts w:hint="eastAsia" w:ascii="宋体" w:hAnsi="宋体"/>
                <w:sz w:val="24"/>
                <w:lang w:eastAsia="zh-CN"/>
              </w:rPr>
              <w:t>28</w:t>
            </w:r>
            <w:r>
              <w:rPr>
                <w:rStyle w:val="236"/>
                <w:rFonts w:ascii="宋体" w:hAnsi="宋体"/>
                <w:sz w:val="24"/>
                <w:lang w:eastAsia="zh-CN"/>
              </w:rPr>
              <w:t>mg/L</w:t>
            </w:r>
            <w:r>
              <w:rPr>
                <w:rStyle w:val="252"/>
                <w:rFonts w:hint="eastAsia"/>
                <w:sz w:val="24"/>
                <w:lang w:eastAsia="zh-CN"/>
              </w:rPr>
              <w:t>、</w:t>
            </w:r>
            <w:r>
              <w:rPr>
                <w:rStyle w:val="236"/>
                <w:rFonts w:ascii="宋体" w:hAnsi="宋体"/>
                <w:sz w:val="24"/>
                <w:lang w:eastAsia="zh-CN"/>
              </w:rPr>
              <w:t>SS</w:t>
            </w:r>
            <w:r>
              <w:rPr>
                <w:rStyle w:val="236"/>
                <w:rFonts w:hint="eastAsia" w:ascii="宋体" w:hAnsi="宋体"/>
                <w:sz w:val="24"/>
                <w:lang w:eastAsia="zh-CN"/>
              </w:rPr>
              <w:t>75</w:t>
            </w:r>
            <w:r>
              <w:rPr>
                <w:rStyle w:val="236"/>
                <w:rFonts w:ascii="宋体" w:hAnsi="宋体"/>
                <w:sz w:val="24"/>
                <w:lang w:eastAsia="zh-CN"/>
              </w:rPr>
              <w:t>mg/L</w:t>
            </w:r>
            <w:r>
              <w:rPr>
                <w:rStyle w:val="252"/>
                <w:rFonts w:hint="eastAsia"/>
                <w:sz w:val="24"/>
                <w:lang w:eastAsia="zh-CN"/>
              </w:rPr>
              <w:t>、</w:t>
            </w:r>
            <w:r>
              <w:rPr>
                <w:rStyle w:val="252"/>
                <w:rFonts w:hint="eastAsia"/>
                <w:sz w:val="24"/>
                <w:lang w:val="zh-TW" w:eastAsia="zh-TW"/>
              </w:rPr>
              <w:t>动植物油</w:t>
            </w:r>
            <w:r>
              <w:rPr>
                <w:rStyle w:val="252"/>
                <w:rFonts w:hint="eastAsia"/>
                <w:sz w:val="24"/>
                <w:lang w:eastAsia="zh-CN"/>
              </w:rPr>
              <w:t>10</w:t>
            </w:r>
            <w:r>
              <w:rPr>
                <w:rStyle w:val="236"/>
                <w:rFonts w:ascii="宋体" w:hAnsi="宋体"/>
                <w:sz w:val="24"/>
                <w:lang w:eastAsia="zh-CN"/>
              </w:rPr>
              <w:t>mg/L,</w:t>
            </w:r>
            <w:r>
              <w:rPr>
                <w:rStyle w:val="252"/>
                <w:rFonts w:hint="eastAsia"/>
                <w:sz w:val="24"/>
                <w:lang w:val="zh-TW" w:eastAsia="zh-TW"/>
              </w:rPr>
              <w:t>能达到《污水综合排放标准》</w:t>
            </w:r>
            <w:r>
              <w:rPr>
                <w:rStyle w:val="252"/>
                <w:rFonts w:hint="eastAsia"/>
                <w:sz w:val="24"/>
                <w:lang w:eastAsia="zh-CN"/>
              </w:rPr>
              <w:t>（</w:t>
            </w:r>
            <w:r>
              <w:rPr>
                <w:rStyle w:val="236"/>
                <w:rFonts w:ascii="宋体" w:hAnsi="宋体"/>
                <w:sz w:val="24"/>
                <w:lang w:eastAsia="zh-CN"/>
              </w:rPr>
              <w:t>GB8978</w:t>
            </w:r>
            <w:r>
              <w:rPr>
                <w:rStyle w:val="236"/>
                <w:rFonts w:ascii="宋体" w:hAnsi="宋体"/>
                <w:sz w:val="24"/>
                <w:lang w:val="zh-TW" w:eastAsia="zh-CN"/>
              </w:rPr>
              <w:t>-</w:t>
            </w:r>
            <w:r>
              <w:rPr>
                <w:rStyle w:val="236"/>
                <w:rFonts w:ascii="宋体" w:hAnsi="宋体"/>
                <w:sz w:val="24"/>
                <w:lang w:eastAsia="zh-CN"/>
              </w:rPr>
              <w:t>1996</w:t>
            </w:r>
            <w:r>
              <w:rPr>
                <w:rStyle w:val="236"/>
                <w:rFonts w:hint="eastAsia" w:ascii="宋体" w:hAnsi="宋体" w:cs="宋体"/>
                <w:sz w:val="24"/>
                <w:lang w:eastAsia="zh-CN"/>
              </w:rPr>
              <w:t>）</w:t>
            </w:r>
            <w:r>
              <w:rPr>
                <w:rStyle w:val="252"/>
                <w:rFonts w:hint="eastAsia"/>
                <w:sz w:val="24"/>
                <w:lang w:val="zh-TW" w:eastAsia="zh-TW"/>
              </w:rPr>
              <w:t>中表</w:t>
            </w:r>
            <w:r>
              <w:rPr>
                <w:rStyle w:val="236"/>
                <w:rFonts w:ascii="宋体" w:hAnsi="宋体"/>
                <w:sz w:val="24"/>
                <w:lang w:val="zh-TW" w:eastAsia="zh-TW"/>
              </w:rPr>
              <w:t>4</w:t>
            </w:r>
            <w:r>
              <w:rPr>
                <w:rStyle w:val="252"/>
                <w:rFonts w:hint="eastAsia"/>
                <w:sz w:val="24"/>
                <w:lang w:val="zh-TW" w:eastAsia="zh-TW"/>
              </w:rPr>
              <w:t>之三级标准。本项目各污染物排放量如下表</w:t>
            </w:r>
            <w:r>
              <w:rPr>
                <w:rStyle w:val="236"/>
                <w:rFonts w:hint="eastAsia" w:ascii="宋体" w:hAnsi="宋体"/>
                <w:color w:val="000000" w:themeColor="text1"/>
                <w:sz w:val="24"/>
                <w:lang w:eastAsia="zh-CN"/>
              </w:rPr>
              <w:t>22</w:t>
            </w:r>
            <w:r>
              <w:rPr>
                <w:rStyle w:val="252"/>
                <w:rFonts w:hint="eastAsia"/>
                <w:color w:val="000000" w:themeColor="text1"/>
                <w:sz w:val="24"/>
                <w:lang w:val="zh-TW" w:eastAsia="zh-TW"/>
              </w:rPr>
              <w:t>。</w:t>
            </w:r>
          </w:p>
          <w:p>
            <w:pPr>
              <w:pStyle w:val="245"/>
              <w:spacing w:line="360" w:lineRule="auto"/>
              <w:jc w:val="center"/>
              <w:rPr>
                <w:rFonts w:ascii="宋体" w:hAnsi="宋体" w:eastAsia="宋体"/>
                <w:color w:val="000000" w:themeColor="text1"/>
                <w:sz w:val="24"/>
                <w:szCs w:val="24"/>
              </w:rPr>
            </w:pPr>
            <w:r>
              <w:rPr>
                <w:rStyle w:val="244"/>
                <w:rFonts w:hint="eastAsia" w:ascii="宋体" w:hAnsi="宋体" w:eastAsia="宋体" w:cs="宋体"/>
                <w:color w:val="000000" w:themeColor="text1"/>
                <w:sz w:val="24"/>
                <w:szCs w:val="24"/>
              </w:rPr>
              <w:t>表</w:t>
            </w:r>
            <w:r>
              <w:rPr>
                <w:rStyle w:val="241"/>
                <w:rFonts w:hint="eastAsia" w:ascii="宋体" w:hAnsi="宋体" w:eastAsia="宋体" w:cs="宋体"/>
                <w:color w:val="000000" w:themeColor="text1"/>
                <w:sz w:val="24"/>
                <w:szCs w:val="24"/>
                <w:lang w:eastAsia="zh-CN"/>
              </w:rPr>
              <w:t xml:space="preserve">22     </w:t>
            </w:r>
            <w:r>
              <w:rPr>
                <w:rStyle w:val="241"/>
                <w:rFonts w:ascii="宋体" w:hAnsi="宋体" w:eastAsia="宋体" w:cs="宋体"/>
                <w:color w:val="000000" w:themeColor="text1"/>
                <w:sz w:val="24"/>
                <w:szCs w:val="24"/>
                <w:lang w:eastAsia="zh-CN"/>
              </w:rPr>
              <w:t xml:space="preserve"> </w:t>
            </w:r>
            <w:r>
              <w:rPr>
                <w:rStyle w:val="244"/>
                <w:rFonts w:hint="eastAsia" w:ascii="宋体" w:hAnsi="宋体" w:eastAsia="宋体" w:cs="宋体"/>
                <w:color w:val="000000" w:themeColor="text1"/>
                <w:sz w:val="24"/>
                <w:szCs w:val="24"/>
              </w:rPr>
              <w:t>项目污水主要污染物排放量</w:t>
            </w:r>
          </w:p>
          <w:tbl>
            <w:tblPr>
              <w:tblStyle w:val="42"/>
              <w:tblW w:w="9160" w:type="dxa"/>
              <w:jc w:val="center"/>
              <w:tblInd w:w="0" w:type="dxa"/>
              <w:tblLayout w:type="fixed"/>
              <w:tblCellMar>
                <w:top w:w="0" w:type="dxa"/>
                <w:left w:w="0" w:type="dxa"/>
                <w:bottom w:w="0" w:type="dxa"/>
                <w:right w:w="0" w:type="dxa"/>
              </w:tblCellMar>
            </w:tblPr>
            <w:tblGrid>
              <w:gridCol w:w="1954"/>
              <w:gridCol w:w="1568"/>
              <w:gridCol w:w="997"/>
              <w:gridCol w:w="1139"/>
              <w:gridCol w:w="997"/>
              <w:gridCol w:w="1376"/>
              <w:gridCol w:w="1129"/>
            </w:tblGrid>
            <w:tr>
              <w:tblPrEx>
                <w:tblLayout w:type="fixed"/>
                <w:tblCellMar>
                  <w:top w:w="0" w:type="dxa"/>
                  <w:left w:w="0" w:type="dxa"/>
                  <w:bottom w:w="0" w:type="dxa"/>
                  <w:right w:w="0" w:type="dxa"/>
                </w:tblCellMar>
              </w:tblPrEx>
              <w:trPr>
                <w:trHeight w:val="401" w:hRule="exact"/>
                <w:jc w:val="center"/>
              </w:trPr>
              <w:tc>
                <w:tcPr>
                  <w:tcW w:w="3522" w:type="dxa"/>
                  <w:gridSpan w:val="2"/>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szCs w:val="21"/>
                    </w:rPr>
                  </w:pPr>
                  <w:r>
                    <w:rPr>
                      <w:rFonts w:hint="eastAsia" w:ascii="宋体" w:hAnsi="宋体" w:cs="宋体"/>
                      <w:szCs w:val="21"/>
                    </w:rPr>
                    <w:t>类别</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szCs w:val="21"/>
                    </w:rPr>
                  </w:pPr>
                  <w:r>
                    <w:rPr>
                      <w:rFonts w:ascii="宋体" w:hAnsi="宋体"/>
                      <w:szCs w:val="21"/>
                    </w:rPr>
                    <w:t>CODcr</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szCs w:val="21"/>
                    </w:rPr>
                  </w:pPr>
                  <w:r>
                    <w:rPr>
                      <w:rFonts w:ascii="宋体" w:hAnsi="宋体"/>
                      <w:szCs w:val="21"/>
                    </w:rPr>
                    <w:t>BOD</w:t>
                  </w:r>
                  <w:r>
                    <w:rPr>
                      <w:rFonts w:ascii="宋体" w:hAnsi="宋体"/>
                      <w:szCs w:val="21"/>
                      <w:vertAlign w:val="subscript"/>
                    </w:rPr>
                    <w:t>5</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szCs w:val="21"/>
                    </w:rPr>
                  </w:pPr>
                  <w:r>
                    <w:rPr>
                      <w:rFonts w:ascii="宋体" w:hAnsi="宋体"/>
                      <w:szCs w:val="21"/>
                    </w:rPr>
                    <w:t>NH</w:t>
                  </w:r>
                  <w:r>
                    <w:rPr>
                      <w:rFonts w:ascii="宋体" w:hAnsi="宋体"/>
                      <w:szCs w:val="21"/>
                      <w:vertAlign w:val="subscript"/>
                    </w:rPr>
                    <w:t>3</w:t>
                  </w:r>
                  <w:r>
                    <w:rPr>
                      <w:rFonts w:ascii="宋体" w:hAnsi="宋体"/>
                      <w:szCs w:val="21"/>
                    </w:rPr>
                    <w:t>-N</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szCs w:val="21"/>
                    </w:rPr>
                  </w:pPr>
                  <w:r>
                    <w:rPr>
                      <w:rFonts w:ascii="宋体" w:hAnsi="宋体"/>
                      <w:szCs w:val="21"/>
                    </w:rPr>
                    <w:t>SS</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szCs w:val="21"/>
                    </w:rPr>
                  </w:pPr>
                  <w:r>
                    <w:rPr>
                      <w:rStyle w:val="252"/>
                      <w:rFonts w:hint="eastAsia"/>
                      <w:color w:val="000000" w:themeColor="text1"/>
                      <w:sz w:val="24"/>
                      <w:lang w:val="zh-TW" w:eastAsia="zh-TW"/>
                    </w:rPr>
                    <w:t>动植物油</w:t>
                  </w:r>
                </w:p>
              </w:tc>
            </w:tr>
            <w:tr>
              <w:tblPrEx>
                <w:tblLayout w:type="fixed"/>
                <w:tblCellMar>
                  <w:top w:w="0" w:type="dxa"/>
                  <w:left w:w="0" w:type="dxa"/>
                  <w:bottom w:w="0" w:type="dxa"/>
                  <w:right w:w="0" w:type="dxa"/>
                </w:tblCellMar>
              </w:tblPrEx>
              <w:trPr>
                <w:trHeight w:val="386" w:hRule="exact"/>
                <w:jc w:val="center"/>
              </w:trPr>
              <w:tc>
                <w:tcPr>
                  <w:tcW w:w="1954" w:type="dxa"/>
                  <w:vMerge w:val="restart"/>
                  <w:tcBorders>
                    <w:top w:val="single" w:color="auto" w:sz="4" w:space="0"/>
                    <w:left w:val="single" w:color="auto" w:sz="4" w:space="0"/>
                    <w:bottom w:val="nil"/>
                    <w:right w:val="nil"/>
                  </w:tcBorders>
                  <w:shd w:val="clear" w:color="auto" w:fill="FFFFFF"/>
                  <w:vAlign w:val="center"/>
                </w:tcPr>
                <w:p>
                  <w:pPr>
                    <w:jc w:val="center"/>
                    <w:rPr>
                      <w:rFonts w:ascii="宋体" w:hAnsi="宋体"/>
                      <w:color w:val="000000" w:themeColor="text1"/>
                      <w:szCs w:val="21"/>
                    </w:rPr>
                  </w:pPr>
                  <w:r>
                    <w:rPr>
                      <w:rFonts w:hint="eastAsia" w:ascii="宋体" w:hAnsi="宋体" w:cs="宋体"/>
                      <w:color w:val="000000" w:themeColor="text1"/>
                      <w:szCs w:val="21"/>
                    </w:rPr>
                    <w:t>处理前生活污水</w:t>
                  </w:r>
                  <w:r>
                    <w:rPr>
                      <w:rStyle w:val="94"/>
                      <w:rFonts w:hint="eastAsia"/>
                      <w:color w:val="000000"/>
                      <w:sz w:val="24"/>
                      <w:szCs w:val="24"/>
                    </w:rPr>
                    <w:t>11.38×10</w:t>
                  </w:r>
                  <w:r>
                    <w:rPr>
                      <w:rStyle w:val="94"/>
                      <w:rFonts w:hint="eastAsia"/>
                      <w:color w:val="000000"/>
                      <w:sz w:val="24"/>
                      <w:szCs w:val="24"/>
                      <w:vertAlign w:val="superscript"/>
                    </w:rPr>
                    <w:t>5</w:t>
                  </w:r>
                  <w:r>
                    <w:rPr>
                      <w:rStyle w:val="94"/>
                      <w:rFonts w:hint="eastAsia"/>
                      <w:color w:val="000000" w:themeColor="text1"/>
                      <w:sz w:val="24"/>
                      <w:szCs w:val="24"/>
                    </w:rPr>
                    <w:t>m</w:t>
                  </w:r>
                  <w:r>
                    <w:rPr>
                      <w:rStyle w:val="94"/>
                      <w:rFonts w:hint="eastAsia"/>
                      <w:color w:val="000000" w:themeColor="text1"/>
                      <w:sz w:val="24"/>
                      <w:szCs w:val="24"/>
                      <w:vertAlign w:val="superscript"/>
                    </w:rPr>
                    <w:t>3</w:t>
                  </w:r>
                  <w:r>
                    <w:rPr>
                      <w:rStyle w:val="94"/>
                      <w:rFonts w:hint="eastAsia"/>
                      <w:color w:val="000000" w:themeColor="text1"/>
                      <w:sz w:val="24"/>
                      <w:szCs w:val="24"/>
                    </w:rPr>
                    <w:t>/a</w:t>
                  </w:r>
                </w:p>
              </w:tc>
              <w:tc>
                <w:tcPr>
                  <w:tcW w:w="1568"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浓度</w:t>
                  </w:r>
                  <w:r>
                    <w:rPr>
                      <w:rFonts w:hint="eastAsia" w:ascii="宋体" w:hAnsi="宋体" w:cs="宋体"/>
                      <w:color w:val="000000" w:themeColor="text1"/>
                      <w:szCs w:val="21"/>
                      <w:lang w:eastAsia="en-US"/>
                    </w:rPr>
                    <w:t>（</w:t>
                  </w:r>
                  <w:r>
                    <w:rPr>
                      <w:rFonts w:ascii="宋体" w:hAnsi="宋体"/>
                      <w:color w:val="000000" w:themeColor="text1"/>
                      <w:szCs w:val="21"/>
                    </w:rPr>
                    <w:t>mg/L</w:t>
                  </w:r>
                  <w:r>
                    <w:rPr>
                      <w:rFonts w:hint="eastAsia" w:ascii="宋体" w:hAnsi="宋体" w:cs="宋体"/>
                      <w:color w:val="000000" w:themeColor="text1"/>
                      <w:szCs w:val="21"/>
                    </w:rPr>
                    <w:t>）</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lang w:val="zh-TW"/>
                    </w:rPr>
                    <w:t>400</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lang w:val="zh-TW"/>
                    </w:rPr>
                    <w:t>200</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ascii="宋体" w:hAnsi="宋体"/>
                      <w:color w:val="000000" w:themeColor="text1"/>
                      <w:szCs w:val="21"/>
                    </w:rPr>
                    <w:t>35</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ascii="宋体" w:hAnsi="宋体"/>
                      <w:color w:val="000000" w:themeColor="text1"/>
                      <w:szCs w:val="21"/>
                    </w:rPr>
                    <w:t>250</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50</w:t>
                  </w:r>
                </w:p>
              </w:tc>
            </w:tr>
            <w:tr>
              <w:tblPrEx>
                <w:tblLayout w:type="fixed"/>
                <w:tblCellMar>
                  <w:top w:w="0" w:type="dxa"/>
                  <w:left w:w="0" w:type="dxa"/>
                  <w:bottom w:w="0" w:type="dxa"/>
                  <w:right w:w="0" w:type="dxa"/>
                </w:tblCellMar>
              </w:tblPrEx>
              <w:trPr>
                <w:trHeight w:val="477" w:hRule="exact"/>
                <w:jc w:val="center"/>
              </w:trPr>
              <w:tc>
                <w:tcPr>
                  <w:tcW w:w="1954" w:type="dxa"/>
                  <w:vMerge w:val="continue"/>
                  <w:tcBorders>
                    <w:top w:val="nil"/>
                    <w:left w:val="single" w:color="auto" w:sz="4" w:space="0"/>
                    <w:bottom w:val="nil"/>
                    <w:right w:val="nil"/>
                  </w:tcBorders>
                  <w:shd w:val="clear" w:color="auto" w:fill="FFFFFF"/>
                  <w:vAlign w:val="center"/>
                </w:tcPr>
                <w:p>
                  <w:pPr>
                    <w:spacing w:line="360" w:lineRule="auto"/>
                    <w:rPr>
                      <w:rFonts w:ascii="宋体" w:hAnsi="宋体"/>
                      <w:color w:val="000000" w:themeColor="text1"/>
                      <w:szCs w:val="21"/>
                    </w:rPr>
                  </w:pPr>
                </w:p>
              </w:tc>
              <w:tc>
                <w:tcPr>
                  <w:tcW w:w="1568"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产生量</w:t>
                  </w:r>
                  <w:r>
                    <w:rPr>
                      <w:rFonts w:hint="eastAsia" w:ascii="宋体" w:hAnsi="宋体" w:cs="宋体"/>
                      <w:color w:val="000000" w:themeColor="text1"/>
                      <w:szCs w:val="21"/>
                      <w:lang w:eastAsia="en-US"/>
                    </w:rPr>
                    <w:t>（</w:t>
                  </w:r>
                  <w:r>
                    <w:rPr>
                      <w:rFonts w:ascii="宋体" w:hAnsi="宋体"/>
                      <w:color w:val="000000" w:themeColor="text1"/>
                      <w:szCs w:val="21"/>
                    </w:rPr>
                    <w:t>t/a</w:t>
                  </w:r>
                  <w:r>
                    <w:rPr>
                      <w:rFonts w:hint="eastAsia" w:ascii="宋体" w:hAnsi="宋体" w:cs="宋体"/>
                      <w:color w:val="000000" w:themeColor="text1"/>
                      <w:szCs w:val="21"/>
                    </w:rPr>
                    <w:t>）</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45.52</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22.76</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3.98</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28.45</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5.69</w:t>
                  </w:r>
                </w:p>
              </w:tc>
            </w:tr>
            <w:tr>
              <w:tblPrEx>
                <w:tblLayout w:type="fixed"/>
                <w:tblCellMar>
                  <w:top w:w="0" w:type="dxa"/>
                  <w:left w:w="0" w:type="dxa"/>
                  <w:bottom w:w="0" w:type="dxa"/>
                  <w:right w:w="0" w:type="dxa"/>
                </w:tblCellMar>
              </w:tblPrEx>
              <w:trPr>
                <w:trHeight w:val="386" w:hRule="exact"/>
                <w:jc w:val="center"/>
              </w:trPr>
              <w:tc>
                <w:tcPr>
                  <w:tcW w:w="1954" w:type="dxa"/>
                  <w:vMerge w:val="restart"/>
                  <w:tcBorders>
                    <w:top w:val="single" w:color="auto" w:sz="4" w:space="0"/>
                    <w:left w:val="single" w:color="auto" w:sz="4" w:space="0"/>
                    <w:bottom w:val="nil"/>
                    <w:right w:val="nil"/>
                  </w:tcBorders>
                  <w:shd w:val="clear" w:color="auto" w:fill="FFFFFF"/>
                  <w:vAlign w:val="center"/>
                </w:tcPr>
                <w:p>
                  <w:pPr>
                    <w:jc w:val="center"/>
                    <w:rPr>
                      <w:rFonts w:ascii="宋体" w:hAnsi="宋体"/>
                      <w:color w:val="000000" w:themeColor="text1"/>
                      <w:szCs w:val="21"/>
                    </w:rPr>
                  </w:pPr>
                  <w:r>
                    <w:rPr>
                      <w:rFonts w:hint="eastAsia" w:ascii="宋体" w:hAnsi="宋体" w:cs="宋体"/>
                      <w:color w:val="000000" w:themeColor="text1"/>
                      <w:szCs w:val="21"/>
                    </w:rPr>
                    <w:t>污水经预处理系统处理后排入市政污水管网</w:t>
                  </w:r>
                </w:p>
              </w:tc>
              <w:tc>
                <w:tcPr>
                  <w:tcW w:w="1568"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浓度</w:t>
                  </w:r>
                  <w:r>
                    <w:rPr>
                      <w:rFonts w:hint="eastAsia" w:ascii="宋体" w:hAnsi="宋体" w:cs="宋体"/>
                      <w:color w:val="000000" w:themeColor="text1"/>
                      <w:szCs w:val="21"/>
                      <w:lang w:eastAsia="en-US"/>
                    </w:rPr>
                    <w:t>（</w:t>
                  </w:r>
                  <w:r>
                    <w:rPr>
                      <w:rFonts w:ascii="宋体" w:hAnsi="宋体"/>
                      <w:color w:val="000000" w:themeColor="text1"/>
                      <w:szCs w:val="21"/>
                    </w:rPr>
                    <w:t>mg/L</w:t>
                  </w:r>
                  <w:r>
                    <w:rPr>
                      <w:rFonts w:hint="eastAsia" w:ascii="宋体" w:hAnsi="宋体" w:cs="宋体"/>
                      <w:color w:val="000000" w:themeColor="text1"/>
                      <w:szCs w:val="21"/>
                    </w:rPr>
                    <w:t>）</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240</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100</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28</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75</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10</w:t>
                  </w:r>
                </w:p>
              </w:tc>
            </w:tr>
            <w:tr>
              <w:tblPrEx>
                <w:tblLayout w:type="fixed"/>
                <w:tblCellMar>
                  <w:top w:w="0" w:type="dxa"/>
                  <w:left w:w="0" w:type="dxa"/>
                  <w:bottom w:w="0" w:type="dxa"/>
                  <w:right w:w="0" w:type="dxa"/>
                </w:tblCellMar>
              </w:tblPrEx>
              <w:trPr>
                <w:trHeight w:val="394" w:hRule="exact"/>
                <w:jc w:val="center"/>
              </w:trPr>
              <w:tc>
                <w:tcPr>
                  <w:tcW w:w="1954" w:type="dxa"/>
                  <w:vMerge w:val="continue"/>
                  <w:tcBorders>
                    <w:top w:val="nil"/>
                    <w:left w:val="single" w:color="auto" w:sz="4" w:space="0"/>
                    <w:bottom w:val="nil"/>
                    <w:right w:val="nil"/>
                  </w:tcBorders>
                  <w:shd w:val="clear" w:color="auto" w:fill="FFFFFF"/>
                  <w:vAlign w:val="center"/>
                </w:tcPr>
                <w:p>
                  <w:pPr>
                    <w:spacing w:line="360" w:lineRule="auto"/>
                    <w:rPr>
                      <w:rFonts w:ascii="宋体" w:hAnsi="宋体"/>
                      <w:color w:val="000000" w:themeColor="text1"/>
                      <w:szCs w:val="21"/>
                    </w:rPr>
                  </w:pPr>
                </w:p>
              </w:tc>
              <w:tc>
                <w:tcPr>
                  <w:tcW w:w="1568"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排放量</w:t>
                  </w:r>
                  <w:r>
                    <w:rPr>
                      <w:rFonts w:hint="eastAsia" w:ascii="宋体" w:hAnsi="宋体" w:cs="宋体"/>
                      <w:color w:val="000000" w:themeColor="text1"/>
                      <w:szCs w:val="21"/>
                      <w:lang w:eastAsia="en-US"/>
                    </w:rPr>
                    <w:t>（</w:t>
                  </w:r>
                  <w:r>
                    <w:rPr>
                      <w:rFonts w:ascii="宋体" w:hAnsi="宋体"/>
                      <w:color w:val="000000" w:themeColor="text1"/>
                      <w:szCs w:val="21"/>
                    </w:rPr>
                    <w:t>t/a</w:t>
                  </w:r>
                  <w:r>
                    <w:rPr>
                      <w:rFonts w:hint="eastAsia" w:ascii="宋体" w:hAnsi="宋体" w:cs="宋体"/>
                      <w:color w:val="000000" w:themeColor="text1"/>
                      <w:szCs w:val="21"/>
                    </w:rPr>
                    <w:t>）</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27.31</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11.38</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3.19</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8.54</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1.14</w:t>
                  </w:r>
                </w:p>
              </w:tc>
            </w:tr>
            <w:tr>
              <w:tblPrEx>
                <w:tblLayout w:type="fixed"/>
                <w:tblCellMar>
                  <w:top w:w="0" w:type="dxa"/>
                  <w:left w:w="0" w:type="dxa"/>
                  <w:bottom w:w="0" w:type="dxa"/>
                  <w:right w:w="0" w:type="dxa"/>
                </w:tblCellMar>
              </w:tblPrEx>
              <w:trPr>
                <w:trHeight w:val="397" w:hRule="exact"/>
                <w:jc w:val="center"/>
              </w:trPr>
              <w:tc>
                <w:tcPr>
                  <w:tcW w:w="1954" w:type="dxa"/>
                  <w:vMerge w:val="continue"/>
                  <w:tcBorders>
                    <w:top w:val="nil"/>
                    <w:left w:val="single" w:color="auto" w:sz="4" w:space="0"/>
                    <w:bottom w:val="nil"/>
                    <w:right w:val="nil"/>
                  </w:tcBorders>
                  <w:shd w:val="clear" w:color="auto" w:fill="FFFFFF"/>
                  <w:vAlign w:val="center"/>
                </w:tcPr>
                <w:p>
                  <w:pPr>
                    <w:spacing w:line="360" w:lineRule="auto"/>
                    <w:rPr>
                      <w:rFonts w:ascii="宋体" w:hAnsi="宋体"/>
                      <w:color w:val="000000" w:themeColor="text1"/>
                      <w:szCs w:val="21"/>
                    </w:rPr>
                  </w:pPr>
                </w:p>
              </w:tc>
              <w:tc>
                <w:tcPr>
                  <w:tcW w:w="1568"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削减量</w:t>
                  </w:r>
                  <w:r>
                    <w:rPr>
                      <w:rFonts w:hint="eastAsia" w:ascii="宋体" w:hAnsi="宋体" w:cs="宋体"/>
                      <w:color w:val="000000" w:themeColor="text1"/>
                      <w:szCs w:val="21"/>
                      <w:lang w:eastAsia="en-US"/>
                    </w:rPr>
                    <w:t>（</w:t>
                  </w:r>
                  <w:r>
                    <w:rPr>
                      <w:rFonts w:ascii="宋体" w:hAnsi="宋体"/>
                      <w:color w:val="000000" w:themeColor="text1"/>
                      <w:szCs w:val="21"/>
                    </w:rPr>
                    <w:t>t/a</w:t>
                  </w:r>
                  <w:r>
                    <w:rPr>
                      <w:rFonts w:hint="eastAsia" w:ascii="宋体" w:hAnsi="宋体" w:cs="宋体"/>
                      <w:color w:val="000000" w:themeColor="text1"/>
                      <w:szCs w:val="21"/>
                    </w:rPr>
                    <w:t>）</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18.21</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11.38</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0.79</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19.91</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4.55</w:t>
                  </w:r>
                </w:p>
              </w:tc>
            </w:tr>
            <w:tr>
              <w:tblPrEx>
                <w:tblLayout w:type="fixed"/>
                <w:tblCellMar>
                  <w:top w:w="0" w:type="dxa"/>
                  <w:left w:w="0" w:type="dxa"/>
                  <w:bottom w:w="0" w:type="dxa"/>
                  <w:right w:w="0" w:type="dxa"/>
                </w:tblCellMar>
              </w:tblPrEx>
              <w:trPr>
                <w:trHeight w:val="386" w:hRule="exact"/>
                <w:jc w:val="center"/>
              </w:trPr>
              <w:tc>
                <w:tcPr>
                  <w:tcW w:w="1954" w:type="dxa"/>
                  <w:vMerge w:val="restart"/>
                  <w:tcBorders>
                    <w:top w:val="single" w:color="auto" w:sz="4" w:space="0"/>
                    <w:left w:val="single" w:color="auto" w:sz="4" w:space="0"/>
                    <w:bottom w:val="nil"/>
                    <w:right w:val="nil"/>
                  </w:tcBorders>
                  <w:shd w:val="clear" w:color="auto" w:fill="FFFFFF"/>
                  <w:vAlign w:val="center"/>
                </w:tcPr>
                <w:p>
                  <w:pPr>
                    <w:jc w:val="center"/>
                    <w:rPr>
                      <w:rFonts w:ascii="宋体" w:hAnsi="宋体"/>
                      <w:color w:val="000000" w:themeColor="text1"/>
                      <w:szCs w:val="21"/>
                    </w:rPr>
                  </w:pPr>
                  <w:r>
                    <w:rPr>
                      <w:rFonts w:hint="eastAsia" w:ascii="宋体" w:hAnsi="宋体" w:cs="宋体"/>
                      <w:color w:val="000000" w:themeColor="text1"/>
                      <w:szCs w:val="21"/>
                    </w:rPr>
                    <w:t>洪江市污水处理厂达标排放</w:t>
                  </w:r>
                </w:p>
              </w:tc>
              <w:tc>
                <w:tcPr>
                  <w:tcW w:w="1568"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浓度（</w:t>
                  </w:r>
                  <w:r>
                    <w:rPr>
                      <w:rFonts w:ascii="宋体" w:hAnsi="宋体"/>
                      <w:color w:val="000000" w:themeColor="text1"/>
                      <w:szCs w:val="21"/>
                    </w:rPr>
                    <w:t>mg/L</w:t>
                  </w:r>
                  <w:r>
                    <w:rPr>
                      <w:rFonts w:hint="eastAsia" w:ascii="宋体" w:hAnsi="宋体" w:cs="宋体"/>
                      <w:color w:val="000000" w:themeColor="text1"/>
                      <w:szCs w:val="21"/>
                    </w:rPr>
                    <w:t>）</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ascii="宋体" w:hAnsi="宋体"/>
                      <w:color w:val="000000" w:themeColor="text1"/>
                      <w:szCs w:val="21"/>
                      <w:lang w:val="zh-TW" w:eastAsia="zh-TW"/>
                    </w:rPr>
                    <w:t>60</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lang w:val="zh-TW"/>
                    </w:rPr>
                    <w:t>18</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ascii="宋体" w:hAnsi="宋体"/>
                      <w:color w:val="000000" w:themeColor="text1"/>
                      <w:szCs w:val="21"/>
                    </w:rPr>
                    <w:t>8</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ascii="宋体" w:hAnsi="宋体"/>
                      <w:color w:val="000000" w:themeColor="text1"/>
                      <w:szCs w:val="21"/>
                    </w:rPr>
                    <w:t>20</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8</w:t>
                  </w:r>
                </w:p>
              </w:tc>
            </w:tr>
            <w:tr>
              <w:tblPrEx>
                <w:tblLayout w:type="fixed"/>
                <w:tblCellMar>
                  <w:top w:w="0" w:type="dxa"/>
                  <w:left w:w="0" w:type="dxa"/>
                  <w:bottom w:w="0" w:type="dxa"/>
                  <w:right w:w="0" w:type="dxa"/>
                </w:tblCellMar>
              </w:tblPrEx>
              <w:trPr>
                <w:trHeight w:val="390" w:hRule="exact"/>
                <w:jc w:val="center"/>
              </w:trPr>
              <w:tc>
                <w:tcPr>
                  <w:tcW w:w="1954" w:type="dxa"/>
                  <w:vMerge w:val="continue"/>
                  <w:tcBorders>
                    <w:top w:val="nil"/>
                    <w:left w:val="single" w:color="auto" w:sz="4" w:space="0"/>
                    <w:bottom w:val="nil"/>
                    <w:right w:val="nil"/>
                  </w:tcBorders>
                  <w:shd w:val="clear" w:color="auto" w:fill="FFFFFF"/>
                  <w:vAlign w:val="center"/>
                </w:tcPr>
                <w:p>
                  <w:pPr>
                    <w:spacing w:line="360" w:lineRule="auto"/>
                    <w:rPr>
                      <w:rFonts w:ascii="宋体" w:hAnsi="宋体"/>
                      <w:color w:val="000000" w:themeColor="text1"/>
                      <w:szCs w:val="21"/>
                    </w:rPr>
                  </w:pPr>
                </w:p>
              </w:tc>
              <w:tc>
                <w:tcPr>
                  <w:tcW w:w="1568"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排放量（</w:t>
                  </w:r>
                  <w:r>
                    <w:rPr>
                      <w:rFonts w:ascii="宋体" w:hAnsi="宋体"/>
                      <w:color w:val="000000" w:themeColor="text1"/>
                      <w:szCs w:val="21"/>
                    </w:rPr>
                    <w:t>t/a</w:t>
                  </w:r>
                  <w:r>
                    <w:rPr>
                      <w:rFonts w:hint="eastAsia" w:ascii="宋体" w:hAnsi="宋体" w:cs="宋体"/>
                      <w:color w:val="000000" w:themeColor="text1"/>
                      <w:szCs w:val="21"/>
                    </w:rPr>
                    <w:t>）</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6.83</w:t>
                  </w:r>
                </w:p>
              </w:tc>
              <w:tc>
                <w:tcPr>
                  <w:tcW w:w="1139"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2.05</w:t>
                  </w:r>
                </w:p>
              </w:tc>
              <w:tc>
                <w:tcPr>
                  <w:tcW w:w="997" w:type="dxa"/>
                  <w:tcBorders>
                    <w:top w:val="single" w:color="auto" w:sz="4" w:space="0"/>
                    <w:left w:val="single" w:color="auto" w:sz="4" w:space="0"/>
                    <w:bottom w:val="nil"/>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0.91</w:t>
                  </w:r>
                </w:p>
              </w:tc>
              <w:tc>
                <w:tcPr>
                  <w:tcW w:w="1376"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2.28</w:t>
                  </w:r>
                </w:p>
              </w:tc>
              <w:tc>
                <w:tcPr>
                  <w:tcW w:w="1129" w:type="dxa"/>
                  <w:tcBorders>
                    <w:top w:val="single" w:color="auto" w:sz="4" w:space="0"/>
                    <w:left w:val="single" w:color="auto" w:sz="4" w:space="0"/>
                    <w:bottom w:val="nil"/>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0.91</w:t>
                  </w:r>
                </w:p>
              </w:tc>
            </w:tr>
            <w:tr>
              <w:tblPrEx>
                <w:tblLayout w:type="fixed"/>
                <w:tblCellMar>
                  <w:top w:w="0" w:type="dxa"/>
                  <w:left w:w="0" w:type="dxa"/>
                  <w:bottom w:w="0" w:type="dxa"/>
                  <w:right w:w="0" w:type="dxa"/>
                </w:tblCellMar>
              </w:tblPrEx>
              <w:trPr>
                <w:trHeight w:val="419" w:hRule="exact"/>
                <w:jc w:val="center"/>
              </w:trPr>
              <w:tc>
                <w:tcPr>
                  <w:tcW w:w="1954" w:type="dxa"/>
                  <w:vMerge w:val="continue"/>
                  <w:tcBorders>
                    <w:top w:val="nil"/>
                    <w:left w:val="single" w:color="auto" w:sz="4" w:space="0"/>
                    <w:bottom w:val="single" w:color="auto" w:sz="4" w:space="0"/>
                    <w:right w:val="nil"/>
                  </w:tcBorders>
                  <w:shd w:val="clear" w:color="auto" w:fill="FFFFFF"/>
                  <w:vAlign w:val="center"/>
                </w:tcPr>
                <w:p>
                  <w:pPr>
                    <w:spacing w:line="360" w:lineRule="auto"/>
                    <w:rPr>
                      <w:rFonts w:ascii="宋体" w:hAnsi="宋体"/>
                      <w:color w:val="000000" w:themeColor="text1"/>
                      <w:szCs w:val="21"/>
                    </w:rPr>
                  </w:pPr>
                </w:p>
              </w:tc>
              <w:tc>
                <w:tcPr>
                  <w:tcW w:w="1568" w:type="dxa"/>
                  <w:tcBorders>
                    <w:top w:val="single" w:color="auto" w:sz="4" w:space="0"/>
                    <w:left w:val="single" w:color="auto" w:sz="4" w:space="0"/>
                    <w:bottom w:val="single" w:color="auto" w:sz="4" w:space="0"/>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s="宋体"/>
                      <w:color w:val="000000" w:themeColor="text1"/>
                      <w:szCs w:val="21"/>
                    </w:rPr>
                    <w:t>总削减量（</w:t>
                  </w:r>
                  <w:r>
                    <w:rPr>
                      <w:rFonts w:ascii="宋体" w:hAnsi="宋体"/>
                      <w:color w:val="000000" w:themeColor="text1"/>
                      <w:szCs w:val="21"/>
                    </w:rPr>
                    <w:t>t/a</w:t>
                  </w:r>
                  <w:r>
                    <w:rPr>
                      <w:rFonts w:hint="eastAsia" w:ascii="宋体" w:hAnsi="宋体" w:cs="宋体"/>
                      <w:color w:val="000000" w:themeColor="text1"/>
                      <w:szCs w:val="21"/>
                    </w:rPr>
                    <w:t>）</w:t>
                  </w:r>
                </w:p>
              </w:tc>
              <w:tc>
                <w:tcPr>
                  <w:tcW w:w="997" w:type="dxa"/>
                  <w:tcBorders>
                    <w:top w:val="single" w:color="auto" w:sz="4" w:space="0"/>
                    <w:left w:val="single" w:color="auto" w:sz="4" w:space="0"/>
                    <w:bottom w:val="single" w:color="auto" w:sz="4" w:space="0"/>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38.69</w:t>
                  </w:r>
                </w:p>
              </w:tc>
              <w:tc>
                <w:tcPr>
                  <w:tcW w:w="1139" w:type="dxa"/>
                  <w:tcBorders>
                    <w:top w:val="single" w:color="auto" w:sz="4" w:space="0"/>
                    <w:left w:val="single" w:color="auto" w:sz="4" w:space="0"/>
                    <w:bottom w:val="single" w:color="auto" w:sz="4" w:space="0"/>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20.71</w:t>
                  </w:r>
                </w:p>
              </w:tc>
              <w:tc>
                <w:tcPr>
                  <w:tcW w:w="997" w:type="dxa"/>
                  <w:tcBorders>
                    <w:top w:val="single" w:color="auto" w:sz="4" w:space="0"/>
                    <w:left w:val="single" w:color="auto" w:sz="4" w:space="0"/>
                    <w:bottom w:val="single" w:color="auto" w:sz="4" w:space="0"/>
                    <w:right w:val="nil"/>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3.07</w:t>
                  </w:r>
                </w:p>
              </w:tc>
              <w:tc>
                <w:tcPr>
                  <w:tcW w:w="137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26.17</w:t>
                  </w:r>
                </w:p>
              </w:tc>
              <w:tc>
                <w:tcPr>
                  <w:tcW w:w="1129"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4.7</w:t>
                  </w:r>
                </w:p>
              </w:tc>
            </w:tr>
          </w:tbl>
          <w:p>
            <w:pPr>
              <w:spacing w:line="360" w:lineRule="auto"/>
              <w:ind w:firstLine="561"/>
              <w:rPr>
                <w:rFonts w:ascii="宋体" w:hAnsi="宋体"/>
                <w:color w:val="000000" w:themeColor="text1"/>
                <w:sz w:val="24"/>
              </w:rPr>
            </w:pPr>
            <w:r>
              <w:rPr>
                <w:rFonts w:hint="eastAsia" w:ascii="宋体" w:hAnsi="宋体"/>
                <w:sz w:val="24"/>
              </w:rPr>
              <w:t>本项目餐饮废水经隔油池预处理后，与其他污水一同经化粪池处理，达到《污水综合排放标准》（GB8978-1996）中表4之三级标准后，排入市政污水</w:t>
            </w:r>
            <w:r>
              <w:rPr>
                <w:rFonts w:hint="eastAsia" w:ascii="宋体" w:hAnsi="宋体"/>
                <w:color w:val="000000" w:themeColor="text1"/>
                <w:sz w:val="24"/>
              </w:rPr>
              <w:t>管网，最终进入洪江市污水处理厂处理达标排放</w:t>
            </w:r>
            <w:r>
              <w:rPr>
                <w:rFonts w:hint="eastAsia"/>
                <w:color w:val="000000" w:themeColor="text1"/>
                <w:sz w:val="24"/>
              </w:rPr>
              <w:t>。对纳污水体影响较小。</w:t>
            </w:r>
          </w:p>
          <w:p>
            <w:pPr>
              <w:pStyle w:val="248"/>
              <w:spacing w:line="440" w:lineRule="exact"/>
              <w:ind w:firstLine="482"/>
              <w:rPr>
                <w:bCs/>
                <w:color w:val="000000"/>
              </w:rPr>
            </w:pPr>
            <w:bookmarkStart w:id="16" w:name="OLE_LINK32"/>
            <w:bookmarkStart w:id="17" w:name="OLE_LINK33"/>
            <w:r>
              <w:rPr>
                <w:rFonts w:hint="eastAsia"/>
                <w:bCs/>
                <w:color w:val="000000"/>
              </w:rPr>
              <w:t>（二）</w:t>
            </w:r>
            <w:r>
              <w:rPr>
                <w:bCs/>
                <w:color w:val="000000"/>
              </w:rPr>
              <w:t>大气环境影响分析</w:t>
            </w:r>
            <w:r>
              <w:rPr>
                <w:rFonts w:hint="eastAsia"/>
                <w:bCs/>
                <w:color w:val="000000"/>
              </w:rPr>
              <w:t>及环境保护措施</w:t>
            </w:r>
          </w:p>
          <w:p>
            <w:pPr>
              <w:spacing w:line="360" w:lineRule="auto"/>
              <w:ind w:firstLine="480"/>
              <w:rPr>
                <w:rFonts w:ascii="宋体" w:hAnsi="宋体"/>
                <w:sz w:val="24"/>
              </w:rPr>
            </w:pPr>
            <w:r>
              <w:rPr>
                <w:rFonts w:ascii="宋体" w:hAnsi="宋体"/>
                <w:sz w:val="24"/>
              </w:rPr>
              <w:t>本项目营运后，对大气环境造成的影响主要来源于厨房产生的油烟</w:t>
            </w:r>
            <w:r>
              <w:rPr>
                <w:rFonts w:hint="eastAsia" w:ascii="宋体" w:hAnsi="宋体"/>
                <w:sz w:val="24"/>
              </w:rPr>
              <w:t>废气和燃料废气</w:t>
            </w:r>
            <w:r>
              <w:rPr>
                <w:rFonts w:ascii="宋体" w:hAnsi="宋体"/>
                <w:sz w:val="24"/>
              </w:rPr>
              <w:t>。</w:t>
            </w:r>
          </w:p>
          <w:p>
            <w:pPr>
              <w:spacing w:line="360" w:lineRule="auto"/>
              <w:ind w:firstLine="480" w:firstLineChars="200"/>
              <w:rPr>
                <w:rFonts w:ascii="宋体" w:hAnsi="宋体"/>
                <w:sz w:val="24"/>
              </w:rPr>
            </w:pPr>
            <w:r>
              <w:rPr>
                <w:rFonts w:hint="eastAsia" w:ascii="宋体" w:hAnsi="宋体"/>
                <w:sz w:val="24"/>
              </w:rPr>
              <w:t>1、餐饮油烟</w:t>
            </w:r>
          </w:p>
          <w:p>
            <w:pPr>
              <w:spacing w:line="360" w:lineRule="auto"/>
              <w:ind w:firstLine="480" w:firstLineChars="200"/>
              <w:rPr>
                <w:rFonts w:ascii="宋体" w:hAnsi="宋体"/>
                <w:sz w:val="24"/>
              </w:rPr>
            </w:pPr>
            <w:r>
              <w:rPr>
                <w:rFonts w:hint="eastAsia" w:ascii="宋体" w:hAnsi="宋体"/>
                <w:sz w:val="24"/>
              </w:rPr>
              <w:t>餐饮油烟采用油烟净化装置对油烟废气进行收集、处置，油烟净化效率根据《饮食业油烟排放标准（试行）GB18483-2001》规定，大型饮食业单位按85%计，则油烟排放量为0.075kg/d（27.38kg/a）。设计排风量为20000m</w:t>
            </w:r>
            <w:r>
              <w:rPr>
                <w:rFonts w:hint="eastAsia" w:ascii="宋体" w:hAnsi="宋体"/>
                <w:sz w:val="24"/>
                <w:vertAlign w:val="superscript"/>
              </w:rPr>
              <w:t>3</w:t>
            </w:r>
            <w:r>
              <w:rPr>
                <w:rFonts w:hint="eastAsia" w:ascii="宋体" w:hAnsi="宋体"/>
                <w:sz w:val="24"/>
              </w:rPr>
              <w:t>/h计，风机运行按4h/d计，则油烟排放浓度为0.68mg/m</w:t>
            </w:r>
            <w:r>
              <w:rPr>
                <w:rFonts w:hint="eastAsia" w:ascii="宋体" w:hAnsi="宋体"/>
                <w:sz w:val="24"/>
                <w:vertAlign w:val="superscript"/>
              </w:rPr>
              <w:t>3</w:t>
            </w:r>
            <w:r>
              <w:rPr>
                <w:rFonts w:hint="eastAsia" w:ascii="宋体" w:hAnsi="宋体"/>
                <w:sz w:val="24"/>
              </w:rPr>
              <w:t>，小于《饮食业油烟排放标准（试行）GB18483-2001》2.0mg/m</w:t>
            </w:r>
            <w:r>
              <w:rPr>
                <w:rFonts w:hint="eastAsia" w:ascii="宋体" w:hAnsi="宋体"/>
                <w:sz w:val="24"/>
                <w:vertAlign w:val="superscript"/>
              </w:rPr>
              <w:t>3</w:t>
            </w:r>
            <w:r>
              <w:rPr>
                <w:rFonts w:hint="eastAsia" w:ascii="宋体" w:hAnsi="宋体"/>
                <w:sz w:val="24"/>
              </w:rPr>
              <w:t>的限值。处理后的油烟由9m专用烟道引至楼顶排放，对环境影响小。</w:t>
            </w:r>
          </w:p>
          <w:p>
            <w:pPr>
              <w:spacing w:line="360" w:lineRule="auto"/>
              <w:ind w:firstLine="480" w:firstLineChars="200"/>
              <w:rPr>
                <w:rFonts w:ascii="宋体" w:hAnsi="宋体"/>
                <w:sz w:val="24"/>
              </w:rPr>
            </w:pPr>
            <w:r>
              <w:rPr>
                <w:rFonts w:hint="eastAsia" w:ascii="宋体" w:hAnsi="宋体"/>
                <w:sz w:val="24"/>
              </w:rPr>
              <w:t>2、燃料废气</w:t>
            </w:r>
          </w:p>
          <w:p>
            <w:pPr>
              <w:spacing w:line="360" w:lineRule="auto"/>
              <w:ind w:firstLine="480" w:firstLineChars="200"/>
              <w:rPr>
                <w:rFonts w:ascii="宋体" w:hAnsi="宋体"/>
                <w:sz w:val="24"/>
              </w:rPr>
            </w:pPr>
            <w:r>
              <w:rPr>
                <w:rFonts w:hint="eastAsia" w:ascii="宋体" w:hAnsi="宋体"/>
                <w:sz w:val="24"/>
              </w:rPr>
              <w:t>本项目餐饮燃料采用天然气，属清洁能源，污染物产生量小，经9m专用烟道引至楼顶排放后对环境影响小。</w:t>
            </w:r>
          </w:p>
          <w:p>
            <w:pPr>
              <w:adjustRightInd w:val="0"/>
              <w:spacing w:line="360" w:lineRule="auto"/>
              <w:ind w:firstLine="480" w:firstLineChars="200"/>
              <w:rPr>
                <w:rFonts w:ascii="宋体" w:hAnsi="宋体"/>
                <w:sz w:val="24"/>
                <w:szCs w:val="24"/>
              </w:rPr>
            </w:pPr>
            <w:r>
              <w:rPr>
                <w:rFonts w:hint="eastAsia" w:ascii="宋体" w:hAnsi="宋体"/>
                <w:sz w:val="24"/>
                <w:szCs w:val="24"/>
              </w:rPr>
              <w:t>本项目的锅炉以天然气作为燃料,天然气为清洁能源,燃烧过程中所产生的SO</w:t>
            </w:r>
            <w:r>
              <w:rPr>
                <w:rFonts w:hint="eastAsia" w:ascii="宋体" w:hAnsi="宋体"/>
                <w:sz w:val="24"/>
                <w:szCs w:val="24"/>
                <w:vertAlign w:val="subscript"/>
              </w:rPr>
              <w:t>2</w:t>
            </w:r>
            <w:r>
              <w:rPr>
                <w:rFonts w:hint="eastAsia" w:ascii="宋体" w:hAnsi="宋体"/>
                <w:sz w:val="24"/>
                <w:szCs w:val="24"/>
              </w:rPr>
              <w:t>和NO</w:t>
            </w:r>
            <w:r>
              <w:rPr>
                <w:rFonts w:hint="eastAsia" w:ascii="宋体" w:hAnsi="宋体"/>
                <w:sz w:val="24"/>
                <w:szCs w:val="24"/>
                <w:vertAlign w:val="subscript"/>
              </w:rPr>
              <w:t>2</w:t>
            </w:r>
            <w:r>
              <w:rPr>
                <w:rFonts w:hint="eastAsia" w:ascii="宋体" w:hAnsi="宋体"/>
                <w:sz w:val="24"/>
                <w:szCs w:val="24"/>
              </w:rPr>
              <w:t>较少。</w:t>
            </w:r>
            <w:r>
              <w:rPr>
                <w:rFonts w:hint="eastAsia" w:ascii="宋体" w:hAnsi="宋体"/>
                <w:color w:val="000000"/>
                <w:sz w:val="24"/>
                <w:szCs w:val="24"/>
              </w:rPr>
              <w:t>项目污染物浓度及产生量分别</w:t>
            </w:r>
            <w:r>
              <w:rPr>
                <w:rFonts w:hint="eastAsia" w:ascii="宋体" w:hAnsi="宋体"/>
                <w:color w:val="000000" w:themeColor="text1"/>
                <w:sz w:val="24"/>
                <w:szCs w:val="24"/>
              </w:rPr>
              <w:t>为</w:t>
            </w:r>
            <w:r>
              <w:rPr>
                <w:rFonts w:hint="eastAsia" w:ascii="宋体" w:hAnsi="宋体"/>
                <w:color w:val="000000" w:themeColor="text1"/>
                <w:sz w:val="24"/>
              </w:rPr>
              <w:t>SO</w:t>
            </w:r>
            <w:r>
              <w:rPr>
                <w:rFonts w:hint="eastAsia" w:ascii="宋体" w:hAnsi="宋体"/>
                <w:color w:val="000000" w:themeColor="text1"/>
                <w:sz w:val="24"/>
                <w:vertAlign w:val="subscript"/>
              </w:rPr>
              <w:t>2</w:t>
            </w:r>
            <w:r>
              <w:rPr>
                <w:rFonts w:hint="eastAsia" w:ascii="宋体" w:hAnsi="宋体"/>
                <w:color w:val="000000" w:themeColor="text1"/>
                <w:kern w:val="0"/>
                <w:szCs w:val="21"/>
              </w:rPr>
              <w:t>2.69</w:t>
            </w:r>
            <w:r>
              <w:rPr>
                <w:rFonts w:hint="eastAsia" w:ascii="宋体" w:hAnsi="宋体"/>
                <w:color w:val="000000" w:themeColor="text1"/>
                <w:sz w:val="24"/>
              </w:rPr>
              <w:t>mg/m</w:t>
            </w:r>
            <w:r>
              <w:rPr>
                <w:rFonts w:hint="eastAsia" w:ascii="宋体" w:hAnsi="宋体"/>
                <w:color w:val="000000" w:themeColor="text1"/>
                <w:sz w:val="24"/>
                <w:vertAlign w:val="superscript"/>
              </w:rPr>
              <w:t>3</w:t>
            </w:r>
            <w:r>
              <w:rPr>
                <w:rFonts w:hint="eastAsia" w:ascii="宋体" w:hAnsi="宋体"/>
                <w:color w:val="000000" w:themeColor="text1"/>
                <w:sz w:val="24"/>
              </w:rPr>
              <w:t>、0.023/a; NO</w:t>
            </w:r>
            <w:r>
              <w:rPr>
                <w:rFonts w:hint="eastAsia" w:ascii="宋体" w:hAnsi="宋体"/>
                <w:color w:val="000000" w:themeColor="text1"/>
                <w:sz w:val="24"/>
                <w:vertAlign w:val="subscript"/>
              </w:rPr>
              <w:t>x</w:t>
            </w:r>
            <w:r>
              <w:rPr>
                <w:rFonts w:hint="eastAsia" w:ascii="宋体" w:hAnsi="宋体"/>
                <w:color w:val="000000" w:themeColor="text1"/>
                <w:sz w:val="24"/>
              </w:rPr>
              <w:t>137.77mg/m</w:t>
            </w:r>
            <w:r>
              <w:rPr>
                <w:rFonts w:hint="eastAsia" w:ascii="宋体" w:hAnsi="宋体"/>
                <w:color w:val="000000" w:themeColor="text1"/>
                <w:sz w:val="24"/>
                <w:vertAlign w:val="superscript"/>
              </w:rPr>
              <w:t>3</w:t>
            </w:r>
            <w:r>
              <w:rPr>
                <w:rFonts w:hint="eastAsia" w:ascii="宋体" w:hAnsi="宋体"/>
                <w:color w:val="000000" w:themeColor="text1"/>
                <w:sz w:val="24"/>
              </w:rPr>
              <w:t>、1.08tg/a,</w:t>
            </w:r>
            <w:r>
              <w:rPr>
                <w:rFonts w:hint="eastAsia" w:ascii="宋体" w:hAnsi="宋体"/>
                <w:color w:val="000000" w:themeColor="text1"/>
                <w:sz w:val="24"/>
                <w:szCs w:val="24"/>
              </w:rPr>
              <w:t>,燃烧产生的废气通过8米的专用烟道排放,</w:t>
            </w:r>
            <w:r>
              <w:rPr>
                <w:rFonts w:hint="eastAsia" w:ascii="宋体" w:hAnsi="宋体"/>
                <w:sz w:val="24"/>
                <w:szCs w:val="24"/>
              </w:rPr>
              <w:t>项目排放的废气浓度满足《锅炉大气污染物排放标准》（GB13271-2014）中表2燃气锅炉标准（SO</w:t>
            </w:r>
            <w:r>
              <w:rPr>
                <w:rFonts w:hint="eastAsia" w:ascii="宋体" w:hAnsi="宋体"/>
                <w:sz w:val="24"/>
                <w:szCs w:val="24"/>
                <w:vertAlign w:val="subscript"/>
              </w:rPr>
              <w:t>2</w:t>
            </w:r>
            <w:r>
              <w:rPr>
                <w:rFonts w:hint="eastAsia" w:ascii="宋体" w:hAnsi="宋体"/>
                <w:sz w:val="24"/>
                <w:szCs w:val="24"/>
              </w:rPr>
              <w:t>≤50mg/m</w:t>
            </w:r>
            <w:r>
              <w:rPr>
                <w:rFonts w:hint="eastAsia" w:ascii="宋体" w:hAnsi="宋体"/>
                <w:sz w:val="24"/>
                <w:szCs w:val="24"/>
                <w:vertAlign w:val="superscript"/>
              </w:rPr>
              <w:t>3</w:t>
            </w:r>
            <w:r>
              <w:rPr>
                <w:rFonts w:hint="eastAsia" w:ascii="宋体" w:hAnsi="宋体"/>
                <w:sz w:val="24"/>
                <w:szCs w:val="24"/>
              </w:rPr>
              <w:t>、NO</w:t>
            </w:r>
            <w:r>
              <w:rPr>
                <w:rFonts w:hint="eastAsia" w:ascii="宋体" w:hAnsi="宋体"/>
                <w:sz w:val="24"/>
                <w:szCs w:val="24"/>
                <w:vertAlign w:val="subscript"/>
              </w:rPr>
              <w:t>x</w:t>
            </w:r>
            <w:r>
              <w:rPr>
                <w:rFonts w:hint="eastAsia" w:ascii="宋体" w:hAnsi="宋体"/>
                <w:sz w:val="24"/>
                <w:szCs w:val="24"/>
              </w:rPr>
              <w:t>≤200mg/m</w:t>
            </w:r>
            <w:r>
              <w:rPr>
                <w:rFonts w:hint="eastAsia" w:ascii="宋体" w:hAnsi="宋体"/>
                <w:sz w:val="24"/>
                <w:szCs w:val="24"/>
                <w:vertAlign w:val="superscript"/>
              </w:rPr>
              <w:t>3</w:t>
            </w:r>
            <w:r>
              <w:rPr>
                <w:rFonts w:hint="eastAsia" w:ascii="宋体" w:hAnsi="宋体"/>
                <w:sz w:val="24"/>
                <w:szCs w:val="24"/>
              </w:rPr>
              <w:t>）,烟囱设置符合燃气锅炉房相关规定（燃油燃气锅炉烟囱不低于8米）,因此项目排放废气对周围的大气环境产生影响较小。</w:t>
            </w:r>
          </w:p>
          <w:p>
            <w:pPr>
              <w:pStyle w:val="95"/>
              <w:spacing w:line="520" w:lineRule="exact"/>
              <w:ind w:firstLine="600" w:firstLineChars="250"/>
              <w:jc w:val="both"/>
              <w:rPr>
                <w:rStyle w:val="94"/>
                <w:bCs/>
                <w:sz w:val="24"/>
                <w:szCs w:val="24"/>
              </w:rPr>
            </w:pPr>
            <w:r>
              <w:rPr>
                <w:rStyle w:val="94"/>
                <w:rFonts w:hint="eastAsia"/>
                <w:bCs/>
                <w:sz w:val="24"/>
                <w:szCs w:val="24"/>
              </w:rPr>
              <w:t>3、</w:t>
            </w:r>
            <w:r>
              <w:rPr>
                <w:rStyle w:val="94"/>
                <w:bCs/>
                <w:sz w:val="24"/>
                <w:szCs w:val="24"/>
              </w:rPr>
              <w:t>备用柴油发电机燃油废气</w:t>
            </w:r>
          </w:p>
          <w:p>
            <w:pPr>
              <w:pStyle w:val="95"/>
              <w:widowControl w:val="0"/>
              <w:spacing w:line="360" w:lineRule="auto"/>
              <w:ind w:firstLine="480" w:firstLineChars="200"/>
              <w:jc w:val="both"/>
              <w:rPr>
                <w:rStyle w:val="94"/>
                <w:color w:val="000000"/>
              </w:rPr>
            </w:pPr>
            <w:r>
              <w:rPr>
                <w:rStyle w:val="94"/>
                <w:color w:val="000000"/>
                <w:sz w:val="24"/>
                <w:szCs w:val="24"/>
              </w:rPr>
              <w:t>由于本项目使用含硫量低的轻质柴油,在加强运行操作管理的情况下,燃烧较为完全,发电机燃油废气由排风管道引至排烟竖井从楼顶高空排放,加上备用柴油发电机组使用频率较低,污染物排放量较少,预计短时间运行不会对周边大气敏感目标产生明显影响。</w:t>
            </w:r>
          </w:p>
          <w:p>
            <w:pPr>
              <w:pStyle w:val="245"/>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4、汽车尾气</w:t>
            </w:r>
          </w:p>
          <w:p>
            <w:pPr>
              <w:pStyle w:val="95"/>
              <w:widowControl w:val="0"/>
              <w:spacing w:line="360" w:lineRule="auto"/>
              <w:ind w:firstLine="480" w:firstLineChars="200"/>
              <w:jc w:val="both"/>
              <w:rPr>
                <w:color w:val="000000"/>
                <w:sz w:val="24"/>
                <w:szCs w:val="24"/>
              </w:rPr>
            </w:pPr>
            <w:r>
              <w:rPr>
                <w:rStyle w:val="94"/>
                <w:color w:val="000000"/>
                <w:sz w:val="24"/>
                <w:szCs w:val="24"/>
              </w:rPr>
              <w:t>本项目规划停车</w:t>
            </w:r>
            <w:r>
              <w:rPr>
                <w:rStyle w:val="94"/>
                <w:rFonts w:hint="eastAsia"/>
                <w:color w:val="000000"/>
                <w:sz w:val="24"/>
                <w:szCs w:val="24"/>
              </w:rPr>
              <w:t>位</w:t>
            </w:r>
            <w:r>
              <w:rPr>
                <w:rFonts w:hint="eastAsia" w:hAnsi="宋体"/>
                <w:sz w:val="24"/>
                <w:szCs w:val="24"/>
              </w:rPr>
              <w:t>347</w:t>
            </w:r>
            <w:r>
              <w:rPr>
                <w:rStyle w:val="94"/>
                <w:rFonts w:hint="eastAsia"/>
                <w:color w:val="000000"/>
                <w:sz w:val="24"/>
                <w:szCs w:val="24"/>
              </w:rPr>
              <w:t>个，其中地面车位107个，地下停车位240个。</w:t>
            </w:r>
          </w:p>
          <w:p>
            <w:pPr>
              <w:pStyle w:val="95"/>
              <w:widowControl w:val="0"/>
              <w:spacing w:line="360" w:lineRule="auto"/>
              <w:ind w:firstLine="480" w:firstLineChars="200"/>
              <w:jc w:val="both"/>
              <w:rPr>
                <w:color w:val="000000"/>
                <w:sz w:val="24"/>
                <w:szCs w:val="24"/>
              </w:rPr>
            </w:pPr>
            <w:r>
              <w:rPr>
                <w:rStyle w:val="94"/>
                <w:color w:val="000000"/>
                <w:sz w:val="24"/>
                <w:szCs w:val="24"/>
              </w:rPr>
              <w:t>由于地面停车场车位较</w:t>
            </w:r>
            <w:r>
              <w:rPr>
                <w:rStyle w:val="94"/>
                <w:rFonts w:hint="eastAsia"/>
                <w:color w:val="000000"/>
                <w:sz w:val="24"/>
                <w:szCs w:val="24"/>
              </w:rPr>
              <w:t>为</w:t>
            </w:r>
            <w:r>
              <w:rPr>
                <w:rStyle w:val="94"/>
                <w:color w:val="000000"/>
                <w:sz w:val="24"/>
                <w:szCs w:val="24"/>
              </w:rPr>
              <w:t>分散,启动时间较短,非连续性排放,且露天空旷条件较容易扩散,因此,其对周围环境产生的</w:t>
            </w:r>
            <w:r>
              <w:rPr>
                <w:rStyle w:val="94"/>
                <w:rFonts w:hint="eastAsia"/>
                <w:color w:val="000000"/>
                <w:sz w:val="24"/>
                <w:szCs w:val="24"/>
              </w:rPr>
              <w:t>影响较小</w:t>
            </w:r>
            <w:r>
              <w:rPr>
                <w:rStyle w:val="94"/>
                <w:color w:val="000000"/>
                <w:sz w:val="24"/>
                <w:szCs w:val="24"/>
              </w:rPr>
              <w:t>。</w:t>
            </w:r>
          </w:p>
          <w:p>
            <w:pPr>
              <w:spacing w:line="360" w:lineRule="auto"/>
              <w:ind w:firstLine="480" w:firstLineChars="200"/>
              <w:rPr>
                <w:rStyle w:val="94"/>
                <w:color w:val="000000"/>
                <w:sz w:val="24"/>
                <w:szCs w:val="24"/>
              </w:rPr>
            </w:pPr>
            <w:r>
              <w:rPr>
                <w:rStyle w:val="94"/>
                <w:color w:val="000000"/>
                <w:sz w:val="24"/>
                <w:szCs w:val="24"/>
              </w:rPr>
              <w:t>地下车库具有箱状结构较封闭的空间环境,空气质量受控于汽车发动机的工作状态,汽车尾气的排放是车库内主要污染源。对于地下车库内汽车而言,其汽车尾气的排放并不是连续的,仅在进出车库时,废气的排放会使地下车库内的污染物浓度升高。如果通风条件不好,则局部</w:t>
            </w:r>
            <w:r>
              <w:rPr>
                <w:rStyle w:val="233"/>
                <w:rFonts w:hint="eastAsia" w:ascii="宋体" w:hAnsi="宋体" w:cs="宋体"/>
                <w:color w:val="000000"/>
                <w:sz w:val="24"/>
                <w:lang w:eastAsia="zh-CN"/>
              </w:rPr>
              <w:t>NO</w:t>
            </w:r>
            <w:r>
              <w:rPr>
                <w:rStyle w:val="233"/>
                <w:rFonts w:hint="eastAsia" w:ascii="宋体" w:hAnsi="宋体"/>
                <w:color w:val="000000"/>
                <w:sz w:val="24"/>
                <w:vertAlign w:val="subscript"/>
                <w:lang w:eastAsia="zh-CN"/>
              </w:rPr>
              <w:t>x</w:t>
            </w:r>
            <w:r>
              <w:rPr>
                <w:rStyle w:val="94"/>
                <w:color w:val="000000"/>
                <w:sz w:val="24"/>
                <w:szCs w:val="24"/>
              </w:rPr>
              <w:t>、</w:t>
            </w:r>
            <w:r>
              <w:rPr>
                <w:rStyle w:val="233"/>
                <w:rFonts w:hint="eastAsia" w:ascii="宋体" w:hAnsi="宋体" w:cs="宋体"/>
                <w:color w:val="000000"/>
                <w:sz w:val="24"/>
                <w:lang w:eastAsia="zh-CN"/>
              </w:rPr>
              <w:t>CO</w:t>
            </w:r>
            <w:r>
              <w:rPr>
                <w:rStyle w:val="94"/>
                <w:color w:val="000000"/>
                <w:sz w:val="24"/>
                <w:szCs w:val="24"/>
              </w:rPr>
              <w:t>浓度将超过</w:t>
            </w:r>
            <w:r>
              <w:rPr>
                <w:rFonts w:hint="eastAsia" w:ascii="宋体" w:hAnsi="宋体"/>
                <w:color w:val="000000"/>
                <w:sz w:val="24"/>
              </w:rPr>
              <w:t>《工作场所有害因素职业接触限制》（GBZ21-2007</w:t>
            </w:r>
            <w:r>
              <w:rPr>
                <w:rFonts w:ascii="宋体" w:hAnsi="宋体"/>
                <w:color w:val="000000"/>
                <w:sz w:val="24"/>
              </w:rPr>
              <w:t>）</w:t>
            </w:r>
            <w:r>
              <w:rPr>
                <w:rFonts w:hint="eastAsia" w:ascii="宋体" w:hAnsi="宋体"/>
                <w:color w:val="000000"/>
                <w:sz w:val="24"/>
              </w:rPr>
              <w:t>中有害物质短时间（15min）接触容许浓度限值。</w:t>
            </w:r>
            <w:r>
              <w:rPr>
                <w:rStyle w:val="94"/>
                <w:color w:val="000000"/>
                <w:sz w:val="24"/>
                <w:szCs w:val="24"/>
              </w:rPr>
              <w:t>只要加强地下车库通风换气,采用机械通风方式将地下车库内废气排出,将不会使地下车库内环境和外环境空气质量超标。本项目地下车库</w:t>
            </w:r>
            <w:r>
              <w:rPr>
                <w:rStyle w:val="94"/>
                <w:rFonts w:hint="eastAsia"/>
                <w:color w:val="000000"/>
                <w:sz w:val="24"/>
                <w:szCs w:val="24"/>
              </w:rPr>
              <w:t>需</w:t>
            </w:r>
            <w:r>
              <w:rPr>
                <w:rStyle w:val="94"/>
                <w:color w:val="000000"/>
                <w:sz w:val="24"/>
                <w:szCs w:val="24"/>
              </w:rPr>
              <w:t>设</w:t>
            </w:r>
            <w:r>
              <w:rPr>
                <w:rStyle w:val="94"/>
                <w:rFonts w:hint="eastAsia"/>
                <w:color w:val="000000"/>
                <w:sz w:val="24"/>
                <w:szCs w:val="24"/>
              </w:rPr>
              <w:t>2</w:t>
            </w:r>
            <w:r>
              <w:rPr>
                <w:rStyle w:val="94"/>
                <w:color w:val="000000"/>
                <w:sz w:val="24"/>
                <w:szCs w:val="24"/>
              </w:rPr>
              <w:t>个排风口,</w:t>
            </w:r>
            <w:r>
              <w:rPr>
                <w:rStyle w:val="94"/>
                <w:rFonts w:hint="eastAsia"/>
                <w:color w:val="000000"/>
                <w:sz w:val="24"/>
                <w:szCs w:val="24"/>
              </w:rPr>
              <w:t>根据建筑设计可用高空与地面排风结合的方式，要求地面</w:t>
            </w:r>
            <w:r>
              <w:rPr>
                <w:rStyle w:val="94"/>
                <w:color w:val="000000"/>
                <w:sz w:val="24"/>
                <w:szCs w:val="24"/>
              </w:rPr>
              <w:t>排风口</w:t>
            </w:r>
            <w:r>
              <w:rPr>
                <w:rStyle w:val="94"/>
                <w:rFonts w:hint="eastAsia"/>
                <w:color w:val="000000"/>
                <w:sz w:val="24"/>
                <w:szCs w:val="24"/>
              </w:rPr>
              <w:t>单个</w:t>
            </w:r>
            <w:r>
              <w:rPr>
                <w:rStyle w:val="94"/>
                <w:color w:val="000000"/>
                <w:sz w:val="24"/>
                <w:szCs w:val="24"/>
              </w:rPr>
              <w:t>面积</w:t>
            </w:r>
            <w:r>
              <w:rPr>
                <w:rStyle w:val="94"/>
                <w:rFonts w:hint="eastAsia"/>
                <w:color w:val="000000"/>
                <w:sz w:val="24"/>
                <w:szCs w:val="24"/>
              </w:rPr>
              <w:t>不小于</w:t>
            </w:r>
            <w:r>
              <w:rPr>
                <w:rStyle w:val="235"/>
                <w:rFonts w:hint="default" w:ascii="宋体" w:hAnsi="宋体" w:eastAsia="宋体" w:cs="宋体"/>
                <w:color w:val="000000"/>
                <w:sz w:val="24"/>
                <w:lang w:eastAsia="zh-CN"/>
              </w:rPr>
              <w:t>1</w:t>
            </w:r>
            <w:r>
              <w:rPr>
                <w:rStyle w:val="233"/>
                <w:rFonts w:hint="eastAsia" w:ascii="宋体" w:hAnsi="宋体" w:cs="宋体"/>
                <w:color w:val="000000"/>
                <w:sz w:val="24"/>
                <w:lang w:eastAsia="zh-CN"/>
              </w:rPr>
              <w:t>m</w:t>
            </w:r>
            <w:r>
              <w:rPr>
                <w:rStyle w:val="235"/>
                <w:rFonts w:hint="default" w:ascii="宋体" w:hAnsi="宋体" w:eastAsia="宋体" w:cs="宋体"/>
                <w:color w:val="000000"/>
                <w:sz w:val="24"/>
                <w:vertAlign w:val="superscript"/>
                <w:lang w:eastAsia="zh-CN"/>
              </w:rPr>
              <w:t>2</w:t>
            </w:r>
            <w:r>
              <w:rPr>
                <w:rStyle w:val="94"/>
                <w:color w:val="000000"/>
                <w:sz w:val="24"/>
                <w:szCs w:val="24"/>
              </w:rPr>
              <w:t>,离室外地坪高度</w:t>
            </w:r>
            <w:r>
              <w:rPr>
                <w:rStyle w:val="235"/>
                <w:rFonts w:hint="default" w:ascii="宋体" w:hAnsi="宋体" w:eastAsia="宋体" w:cs="宋体"/>
                <w:color w:val="000000"/>
                <w:sz w:val="24"/>
                <w:lang w:eastAsia="zh-CN"/>
              </w:rPr>
              <w:t>2</w:t>
            </w:r>
            <w:r>
              <w:rPr>
                <w:rStyle w:val="233"/>
                <w:rFonts w:hint="eastAsia" w:ascii="宋体" w:hAnsi="宋体" w:cs="宋体"/>
                <w:color w:val="000000"/>
                <w:sz w:val="24"/>
                <w:lang w:eastAsia="zh-CN"/>
              </w:rPr>
              <w:t>.5</w:t>
            </w:r>
            <w:r>
              <w:rPr>
                <w:rStyle w:val="235"/>
                <w:rFonts w:hint="default" w:ascii="宋体" w:hAnsi="宋体" w:eastAsia="宋体" w:cs="宋体"/>
                <w:color w:val="000000"/>
                <w:sz w:val="24"/>
                <w:lang w:eastAsia="zh-CN"/>
              </w:rPr>
              <w:t>0</w:t>
            </w:r>
            <w:r>
              <w:rPr>
                <w:rStyle w:val="233"/>
                <w:rFonts w:hint="eastAsia" w:ascii="宋体" w:hAnsi="宋体" w:cs="宋体"/>
                <w:color w:val="000000"/>
                <w:sz w:val="24"/>
                <w:lang w:eastAsia="zh-CN"/>
              </w:rPr>
              <w:t>m</w:t>
            </w:r>
            <w:r>
              <w:rPr>
                <w:rStyle w:val="94"/>
                <w:rFonts w:hint="eastAsia"/>
                <w:color w:val="000000"/>
                <w:sz w:val="24"/>
                <w:szCs w:val="24"/>
              </w:rPr>
              <w:t>；对建筑物正下面的车库其排风口将采用与地上建筑所设置的高空通风口相连通共用，保证通</w:t>
            </w:r>
            <w:r>
              <w:rPr>
                <w:rStyle w:val="94"/>
                <w:color w:val="000000"/>
                <w:sz w:val="24"/>
                <w:szCs w:val="24"/>
              </w:rPr>
              <w:t>风量设计按汽车库容积</w:t>
            </w:r>
            <w:r>
              <w:rPr>
                <w:rStyle w:val="235"/>
                <w:rFonts w:hint="default" w:ascii="宋体" w:hAnsi="宋体" w:eastAsia="宋体" w:cs="宋体"/>
                <w:color w:val="000000"/>
                <w:sz w:val="24"/>
                <w:lang w:val="zh-TW" w:eastAsia="zh-TW"/>
              </w:rPr>
              <w:t>6</w:t>
            </w:r>
            <w:r>
              <w:rPr>
                <w:rStyle w:val="94"/>
                <w:color w:val="000000"/>
                <w:sz w:val="24"/>
                <w:szCs w:val="24"/>
              </w:rPr>
              <w:t>次</w:t>
            </w:r>
            <w:r>
              <w:rPr>
                <w:rStyle w:val="233"/>
                <w:rFonts w:hint="eastAsia" w:ascii="宋体" w:hAnsi="宋体" w:cs="宋体"/>
                <w:color w:val="000000"/>
                <w:sz w:val="24"/>
                <w:lang w:eastAsia="zh-CN"/>
              </w:rPr>
              <w:t>/h</w:t>
            </w:r>
            <w:r>
              <w:rPr>
                <w:rStyle w:val="94"/>
                <w:color w:val="000000"/>
                <w:sz w:val="24"/>
                <w:szCs w:val="24"/>
              </w:rPr>
              <w:t>换气次数</w:t>
            </w:r>
            <w:r>
              <w:rPr>
                <w:rStyle w:val="94"/>
                <w:rFonts w:hint="eastAsia"/>
                <w:color w:val="000000"/>
                <w:sz w:val="24"/>
                <w:szCs w:val="24"/>
              </w:rPr>
              <w:t>考虑，并</w:t>
            </w:r>
            <w:r>
              <w:rPr>
                <w:rStyle w:val="94"/>
                <w:color w:val="000000"/>
                <w:sz w:val="24"/>
                <w:szCs w:val="24"/>
              </w:rPr>
              <w:t>作消声处理</w:t>
            </w:r>
            <w:r>
              <w:rPr>
                <w:rStyle w:val="94"/>
                <w:rFonts w:hint="eastAsia"/>
                <w:color w:val="000000"/>
                <w:sz w:val="24"/>
                <w:szCs w:val="24"/>
              </w:rPr>
              <w:t>。</w:t>
            </w:r>
            <w:r>
              <w:rPr>
                <w:rStyle w:val="94"/>
                <w:color w:val="000000"/>
                <w:sz w:val="24"/>
                <w:szCs w:val="24"/>
              </w:rPr>
              <w:t>在每个</w:t>
            </w:r>
            <w:r>
              <w:rPr>
                <w:rStyle w:val="94"/>
                <w:rFonts w:hint="eastAsia"/>
                <w:color w:val="000000"/>
                <w:sz w:val="24"/>
                <w:szCs w:val="24"/>
              </w:rPr>
              <w:t>地面</w:t>
            </w:r>
            <w:r>
              <w:rPr>
                <w:rStyle w:val="94"/>
                <w:color w:val="000000"/>
                <w:sz w:val="24"/>
                <w:szCs w:val="24"/>
              </w:rPr>
              <w:t>排风口周围种植高度接近的绿化灌木进行遮掩,再沿所有排风口四周种植一圈乔木进行总体装饰和掩盖,使其不影响整体美观,也在一定程度上通过植被对废气的吸收减少汽车尾气对</w:t>
            </w:r>
            <w:r>
              <w:rPr>
                <w:rStyle w:val="94"/>
                <w:rFonts w:hint="eastAsia"/>
                <w:color w:val="000000"/>
                <w:sz w:val="24"/>
                <w:szCs w:val="24"/>
              </w:rPr>
              <w:t>环境</w:t>
            </w:r>
            <w:r>
              <w:rPr>
                <w:rStyle w:val="94"/>
                <w:color w:val="000000"/>
                <w:sz w:val="24"/>
                <w:szCs w:val="24"/>
              </w:rPr>
              <w:t>的影响。</w:t>
            </w:r>
          </w:p>
          <w:p>
            <w:pPr>
              <w:pStyle w:val="95"/>
              <w:widowControl w:val="0"/>
              <w:spacing w:line="360" w:lineRule="auto"/>
              <w:ind w:firstLine="480" w:firstLineChars="200"/>
              <w:jc w:val="both"/>
              <w:rPr>
                <w:color w:val="000000"/>
                <w:shd w:val="clear" w:color="auto" w:fill="FFFFFF"/>
              </w:rPr>
            </w:pPr>
            <w:r>
              <w:rPr>
                <w:rStyle w:val="94"/>
                <w:color w:val="000000"/>
                <w:sz w:val="24"/>
                <w:szCs w:val="24"/>
              </w:rPr>
              <w:t>综上分析</w:t>
            </w:r>
            <w:r>
              <w:rPr>
                <w:rStyle w:val="94"/>
                <w:rFonts w:hint="eastAsia"/>
                <w:color w:val="000000"/>
                <w:sz w:val="24"/>
                <w:szCs w:val="24"/>
              </w:rPr>
              <w:t>,</w:t>
            </w:r>
            <w:r>
              <w:rPr>
                <w:rStyle w:val="94"/>
                <w:color w:val="000000"/>
                <w:sz w:val="24"/>
                <w:szCs w:val="24"/>
              </w:rPr>
              <w:t>本项目运营期所排放废气总量少、浓度低,采取上述措施后,项目营运过程中排放的废气不会对周边环境空气构成明显污染。</w:t>
            </w:r>
          </w:p>
          <w:p>
            <w:pPr>
              <w:pStyle w:val="248"/>
              <w:spacing w:line="440" w:lineRule="exact"/>
              <w:ind w:firstLine="482"/>
              <w:rPr>
                <w:bCs/>
                <w:color w:val="000000"/>
              </w:rPr>
            </w:pPr>
            <w:r>
              <w:rPr>
                <w:rFonts w:hint="eastAsia"/>
                <w:bCs/>
                <w:color w:val="000000"/>
              </w:rPr>
              <w:t>（三）</w:t>
            </w:r>
            <w:r>
              <w:rPr>
                <w:bCs/>
                <w:color w:val="000000"/>
              </w:rPr>
              <w:t>固体污染物环境影响分析</w:t>
            </w:r>
            <w:r>
              <w:rPr>
                <w:rFonts w:hint="eastAsia"/>
                <w:bCs/>
                <w:color w:val="000000"/>
              </w:rPr>
              <w:t>及环境保护措施</w:t>
            </w:r>
          </w:p>
          <w:p>
            <w:pPr>
              <w:pStyle w:val="248"/>
              <w:spacing w:line="440" w:lineRule="exact"/>
              <w:ind w:left="478" w:leftChars="228" w:firstLine="0" w:firstLineChars="0"/>
              <w:rPr>
                <w:rFonts w:hint="eastAsia"/>
                <w:color w:val="000000"/>
              </w:rPr>
            </w:pPr>
            <w:r>
              <w:rPr>
                <w:color w:val="000000"/>
              </w:rPr>
              <w:t>营运期固体污染物</w:t>
            </w:r>
            <w:r>
              <w:rPr>
                <w:rFonts w:hint="eastAsia"/>
                <w:color w:val="000000"/>
              </w:rPr>
              <w:t>主要为生活垃圾、餐厨垃圾、废油脂</w:t>
            </w:r>
            <w:r>
              <w:rPr>
                <w:rFonts w:hint="eastAsia"/>
                <w:color w:val="000000"/>
                <w:lang w:eastAsia="zh-CN"/>
              </w:rPr>
              <w:t>、</w:t>
            </w:r>
            <w:r>
              <w:rPr>
                <w:color w:val="000000"/>
              </w:rPr>
              <w:t>锅炉房产生的固体废物</w:t>
            </w:r>
            <w:r>
              <w:rPr>
                <w:rFonts w:hint="eastAsia"/>
                <w:color w:val="000000"/>
              </w:rPr>
              <w:t>。</w:t>
            </w:r>
            <w:r>
              <w:rPr>
                <w:rFonts w:hint="eastAsia"/>
                <w:color w:val="000000"/>
                <w:lang w:val="en-US" w:eastAsia="zh-CN"/>
              </w:rPr>
              <w:t>1、</w:t>
            </w:r>
            <w:r>
              <w:rPr>
                <w:rFonts w:hint="eastAsia"/>
                <w:color w:val="000000"/>
              </w:rPr>
              <w:t>生活垃圾</w:t>
            </w:r>
          </w:p>
          <w:p>
            <w:pPr>
              <w:pStyle w:val="248"/>
              <w:spacing w:line="440" w:lineRule="exact"/>
              <w:ind w:firstLine="482"/>
              <w:rPr>
                <w:color w:val="000000"/>
              </w:rPr>
            </w:pPr>
            <w:r>
              <w:rPr>
                <w:rFonts w:hint="eastAsia"/>
                <w:color w:val="000000"/>
              </w:rPr>
              <w:t>生活垃圾</w:t>
            </w:r>
            <w:r>
              <w:rPr>
                <w:color w:val="000000"/>
              </w:rPr>
              <w:t>主要源于</w:t>
            </w:r>
            <w:r>
              <w:rPr>
                <w:rFonts w:hint="eastAsia"/>
                <w:color w:val="000000"/>
              </w:rPr>
              <w:t>酒店</w:t>
            </w:r>
            <w:r>
              <w:rPr>
                <w:color w:val="000000"/>
              </w:rPr>
              <w:t>工作人员、住宿人员</w:t>
            </w:r>
            <w:r>
              <w:rPr>
                <w:rFonts w:hint="eastAsia"/>
                <w:color w:val="000000"/>
              </w:rPr>
              <w:t>、会议、演播厅人员等，年产生量229.59t。生活垃圾及商业垃圾由垃圾桶收集后集中</w:t>
            </w:r>
            <w:r>
              <w:rPr>
                <w:color w:val="000000"/>
              </w:rPr>
              <w:t>堆放</w:t>
            </w:r>
            <w:r>
              <w:rPr>
                <w:rFonts w:hint="eastAsia"/>
                <w:color w:val="000000"/>
              </w:rPr>
              <w:t>于垃圾转运站</w:t>
            </w:r>
            <w:r>
              <w:rPr>
                <w:color w:val="000000"/>
              </w:rPr>
              <w:t>，每日定时由</w:t>
            </w:r>
            <w:r>
              <w:rPr>
                <w:rFonts w:hint="eastAsia"/>
                <w:color w:val="000000"/>
              </w:rPr>
              <w:t>环卫部门</w:t>
            </w:r>
            <w:r>
              <w:rPr>
                <w:color w:val="000000"/>
              </w:rPr>
              <w:t>将垃圾统一</w:t>
            </w:r>
            <w:r>
              <w:rPr>
                <w:rFonts w:hint="eastAsia"/>
                <w:color w:val="000000"/>
              </w:rPr>
              <w:t>清理</w:t>
            </w:r>
            <w:r>
              <w:rPr>
                <w:color w:val="000000"/>
              </w:rPr>
              <w:t>运至</w:t>
            </w:r>
            <w:r>
              <w:rPr>
                <w:rFonts w:hint="eastAsia"/>
                <w:color w:val="000000"/>
              </w:rPr>
              <w:t>洪江市</w:t>
            </w:r>
            <w:r>
              <w:rPr>
                <w:color w:val="000000"/>
              </w:rPr>
              <w:t>垃圾填埋场进行卫生填埋。</w:t>
            </w:r>
          </w:p>
          <w:p>
            <w:pPr>
              <w:pStyle w:val="248"/>
              <w:numPr>
                <w:ilvl w:val="0"/>
                <w:numId w:val="1"/>
              </w:numPr>
              <w:spacing w:line="440" w:lineRule="exact"/>
              <w:ind w:firstLine="482"/>
              <w:rPr>
                <w:rFonts w:hint="eastAsia"/>
                <w:color w:val="000000"/>
              </w:rPr>
            </w:pPr>
            <w:r>
              <w:rPr>
                <w:rFonts w:hint="eastAsia"/>
                <w:color w:val="000000"/>
              </w:rPr>
              <w:t>餐厨垃圾</w:t>
            </w:r>
          </w:p>
          <w:p>
            <w:pPr>
              <w:pStyle w:val="248"/>
              <w:numPr>
                <w:ilvl w:val="0"/>
                <w:numId w:val="0"/>
              </w:numPr>
              <w:spacing w:line="440" w:lineRule="exact"/>
              <w:ind w:firstLine="480" w:firstLineChars="200"/>
              <w:rPr>
                <w:color w:val="000000"/>
              </w:rPr>
            </w:pPr>
            <w:r>
              <w:rPr>
                <w:rFonts w:hint="eastAsia"/>
                <w:color w:val="000000"/>
                <w:lang w:eastAsia="zh-CN"/>
              </w:rPr>
              <w:t>本项目</w:t>
            </w:r>
            <w:r>
              <w:rPr>
                <w:rFonts w:hint="eastAsia"/>
                <w:color w:val="000000"/>
              </w:rPr>
              <w:t>餐厨垃圾主要是用餐客人剩余剩菜、剩饭等，本项目每天产餐厨垃圾200</w:t>
            </w:r>
            <w:r>
              <w:rPr>
                <w:color w:val="000000"/>
              </w:rPr>
              <w:t>kg</w:t>
            </w:r>
            <w:r>
              <w:rPr>
                <w:rFonts w:hint="eastAsia"/>
                <w:color w:val="000000"/>
              </w:rPr>
              <w:t>/d，年产生量为73t。隔油池会产生少量的废油脂。根据《</w:t>
            </w:r>
            <w:r>
              <w:rPr>
                <w:color w:val="000000"/>
              </w:rPr>
              <w:t>湖南省人民政府办公厅关于加强地沟油整治和餐厨废弃物管理的实施意见</w:t>
            </w:r>
            <w:r>
              <w:rPr>
                <w:rFonts w:hint="eastAsia"/>
                <w:color w:val="000000"/>
              </w:rPr>
              <w:t>》，评价要求</w:t>
            </w:r>
            <w:r>
              <w:rPr>
                <w:color w:val="000000"/>
              </w:rPr>
              <w:t>产生单位建立餐厨废弃物处置管理制度，设置符合标准的餐厨垃圾</w:t>
            </w:r>
            <w:r>
              <w:rPr>
                <w:rFonts w:hint="eastAsia"/>
                <w:color w:val="000000"/>
              </w:rPr>
              <w:t>及废油脂</w:t>
            </w:r>
            <w:r>
              <w:rPr>
                <w:color w:val="000000"/>
              </w:rPr>
              <w:t>收集容器，将餐厨废弃物分类放置，做到日产日清。禁止随意倾倒、堆放餐厨废弃物</w:t>
            </w:r>
            <w:r>
              <w:rPr>
                <w:rFonts w:hint="eastAsia"/>
                <w:color w:val="000000"/>
              </w:rPr>
              <w:t>及废油脂</w:t>
            </w:r>
            <w:r>
              <w:rPr>
                <w:color w:val="000000"/>
              </w:rPr>
              <w:t>，禁止将餐厨废弃物</w:t>
            </w:r>
            <w:r>
              <w:rPr>
                <w:rFonts w:hint="eastAsia"/>
                <w:color w:val="000000"/>
              </w:rPr>
              <w:t>及废油脂</w:t>
            </w:r>
            <w:r>
              <w:rPr>
                <w:color w:val="000000"/>
              </w:rPr>
              <w:t>直接排入公共排水设施、河道、公共厕所和生活垃圾收集设施，禁止将餐厨废弃物</w:t>
            </w:r>
            <w:r>
              <w:rPr>
                <w:rFonts w:hint="eastAsia"/>
                <w:color w:val="000000"/>
              </w:rPr>
              <w:t>及废油脂</w:t>
            </w:r>
            <w:r>
              <w:rPr>
                <w:color w:val="000000"/>
              </w:rPr>
              <w:t>交给未经相关部门许可或备案的餐厨废弃物</w:t>
            </w:r>
            <w:r>
              <w:rPr>
                <w:rFonts w:hint="eastAsia"/>
                <w:color w:val="000000"/>
              </w:rPr>
              <w:t>及废油脂</w:t>
            </w:r>
            <w:r>
              <w:rPr>
                <w:color w:val="000000"/>
              </w:rPr>
              <w:t>收运、处置单位或个人处理。不得用未经无害化处理的餐厨废弃物喂养畜禽</w:t>
            </w:r>
            <w:r>
              <w:rPr>
                <w:rFonts w:hint="eastAsia"/>
                <w:color w:val="000000"/>
              </w:rPr>
              <w:t>生</w:t>
            </w:r>
          </w:p>
          <w:p>
            <w:pPr>
              <w:pStyle w:val="248"/>
              <w:spacing w:line="440" w:lineRule="exact"/>
              <w:ind w:firstLine="482"/>
              <w:rPr>
                <w:color w:val="000000"/>
              </w:rPr>
            </w:pPr>
            <w:r>
              <w:rPr>
                <w:rFonts w:hint="eastAsia"/>
                <w:color w:val="000000"/>
                <w:lang w:val="en-US" w:eastAsia="zh-CN"/>
              </w:rPr>
              <w:t>3、</w:t>
            </w:r>
            <w:r>
              <w:rPr>
                <w:color w:val="000000"/>
              </w:rPr>
              <w:t>锅炉房产生的固体废物</w:t>
            </w:r>
          </w:p>
          <w:p>
            <w:pPr>
              <w:pStyle w:val="248"/>
              <w:spacing w:line="440" w:lineRule="exact"/>
              <w:ind w:firstLine="482"/>
              <w:rPr>
                <w:color w:val="000000"/>
              </w:rPr>
            </w:pPr>
            <w:r>
              <w:rPr>
                <w:color w:val="000000"/>
              </w:rPr>
              <w:t>锅炉房产生的固体废物主要为软化水处理设备中使用失效后的离子交换树脂。软</w:t>
            </w:r>
            <w:r>
              <w:rPr>
                <w:color w:val="000000"/>
              </w:rPr>
              <w:br w:type="textWrapping"/>
            </w:r>
            <w:r>
              <w:rPr>
                <w:color w:val="000000"/>
              </w:rPr>
              <w:t>化水处理器的的填料为强酸型阳离子交换树脂,使用量约为</w:t>
            </w:r>
            <w:r>
              <w:rPr>
                <w:rStyle w:val="94"/>
                <w:rFonts w:hint="eastAsia"/>
                <w:color w:val="000000" w:themeColor="text1"/>
                <w:sz w:val="24"/>
              </w:rPr>
              <w:t>0.985</w:t>
            </w:r>
            <w:r>
              <w:rPr>
                <w:color w:val="000000"/>
              </w:rPr>
              <w:t xml:space="preserve"> t/a。失效后的离子</w:t>
            </w:r>
            <w:r>
              <w:rPr>
                <w:color w:val="000000"/>
              </w:rPr>
              <w:br w:type="textWrapping"/>
            </w:r>
            <w:r>
              <w:rPr>
                <w:color w:val="000000"/>
              </w:rPr>
              <w:t>树属于国家危险废物名录中规定的危险废物,统一收集后委托有资质单位处理理,对环境无影响</w:t>
            </w:r>
            <w:r>
              <w:rPr>
                <w:rFonts w:hint="eastAsia"/>
                <w:color w:val="000000"/>
                <w:lang w:eastAsia="zh-CN"/>
              </w:rPr>
              <w:t>。</w:t>
            </w:r>
          </w:p>
          <w:p>
            <w:pPr>
              <w:pStyle w:val="248"/>
              <w:spacing w:line="440" w:lineRule="exact"/>
              <w:ind w:firstLine="482"/>
              <w:rPr>
                <w:color w:val="000000"/>
              </w:rPr>
            </w:pPr>
            <w:r>
              <w:rPr>
                <w:rFonts w:hint="eastAsia"/>
                <w:color w:val="000000"/>
              </w:rPr>
              <w:t>采取以上措施后</w:t>
            </w:r>
            <w:r>
              <w:rPr>
                <w:color w:val="000000"/>
              </w:rPr>
              <w:t>，项目产生的固体废弃物对环境的影响较小。</w:t>
            </w:r>
          </w:p>
          <w:p>
            <w:pPr>
              <w:adjustRightInd w:val="0"/>
              <w:spacing w:line="360" w:lineRule="auto"/>
              <w:ind w:firstLine="480" w:firstLineChars="200"/>
              <w:rPr>
                <w:rFonts w:ascii="宋体" w:hAnsi="宋体"/>
                <w:sz w:val="24"/>
                <w:szCs w:val="24"/>
              </w:rPr>
            </w:pPr>
            <w:r>
              <w:rPr>
                <w:rFonts w:hint="eastAsia" w:ascii="宋体" w:hAnsi="宋体"/>
                <w:sz w:val="24"/>
                <w:szCs w:val="24"/>
              </w:rPr>
              <w:t>锅炉房风险分析及应采取防范措施</w:t>
            </w:r>
          </w:p>
          <w:p>
            <w:pPr>
              <w:adjustRightInd w:val="0"/>
              <w:spacing w:line="360" w:lineRule="auto"/>
              <w:ind w:firstLine="480" w:firstLineChars="200"/>
              <w:rPr>
                <w:rFonts w:ascii="宋体" w:hAnsi="宋体"/>
                <w:sz w:val="24"/>
                <w:szCs w:val="24"/>
              </w:rPr>
            </w:pPr>
            <w:r>
              <w:rPr>
                <w:rFonts w:hint="eastAsia" w:ascii="宋体" w:hAnsi="宋体"/>
                <w:sz w:val="24"/>
                <w:szCs w:val="24"/>
              </w:rPr>
              <w:t>（1）风险分析</w:t>
            </w:r>
          </w:p>
          <w:p>
            <w:pPr>
              <w:adjustRightInd w:val="0"/>
              <w:spacing w:line="360" w:lineRule="auto"/>
              <w:ind w:firstLine="480" w:firstLineChars="200"/>
              <w:rPr>
                <w:rFonts w:ascii="宋体" w:hAnsi="宋体"/>
                <w:sz w:val="24"/>
                <w:szCs w:val="24"/>
              </w:rPr>
            </w:pPr>
            <w:r>
              <w:rPr>
                <w:rFonts w:hint="eastAsia" w:ascii="宋体" w:hAnsi="宋体"/>
                <w:sz w:val="24"/>
                <w:szCs w:val="24"/>
              </w:rPr>
              <w:t>锅炉系统管路鼓包或爆破、系统管道泄漏事及爆沸事故均属于锅炉风险,引起锅炉房发生事故的主要原因有以下几类:</w:t>
            </w:r>
          </w:p>
          <w:p>
            <w:pPr>
              <w:adjustRightInd w:val="0"/>
              <w:spacing w:line="360" w:lineRule="auto"/>
              <w:ind w:firstLine="480" w:firstLineChars="200"/>
              <w:rPr>
                <w:rFonts w:ascii="宋体" w:hAnsi="宋体"/>
                <w:sz w:val="24"/>
                <w:szCs w:val="24"/>
              </w:rPr>
            </w:pPr>
            <w:r>
              <w:rPr>
                <w:rFonts w:hint="eastAsia" w:ascii="宋体" w:hAnsi="宋体"/>
                <w:sz w:val="24"/>
                <w:szCs w:val="24"/>
              </w:rPr>
              <w:t>①锅炉超压</w:t>
            </w:r>
          </w:p>
          <w:p>
            <w:pPr>
              <w:adjustRightInd w:val="0"/>
              <w:spacing w:line="360" w:lineRule="auto"/>
              <w:ind w:firstLine="480" w:firstLineChars="200"/>
              <w:rPr>
                <w:rFonts w:ascii="宋体" w:hAnsi="宋体"/>
                <w:sz w:val="24"/>
                <w:szCs w:val="24"/>
              </w:rPr>
            </w:pPr>
            <w:r>
              <w:rPr>
                <w:rFonts w:hint="eastAsia" w:ascii="宋体" w:hAnsi="宋体"/>
                <w:sz w:val="24"/>
                <w:szCs w:val="24"/>
              </w:rPr>
              <w:t>压力表和安全阀都是防止锅炉超压的主要安全装置。锅炉在运行过程中,如果其中任一安全装置失灵,则司炉人员可以通过另一安全装置提示的警告采取必要的紧急处理措施,若这两种安全装置同时失灵,那么其后果是相当严重的。</w:t>
            </w:r>
          </w:p>
          <w:p>
            <w:pPr>
              <w:adjustRightInd w:val="0"/>
              <w:spacing w:line="360" w:lineRule="auto"/>
              <w:ind w:firstLine="480" w:firstLineChars="200"/>
              <w:rPr>
                <w:rFonts w:ascii="宋体" w:hAnsi="宋体"/>
                <w:sz w:val="24"/>
                <w:szCs w:val="24"/>
              </w:rPr>
            </w:pPr>
            <w:r>
              <w:rPr>
                <w:rFonts w:hint="eastAsia" w:ascii="宋体" w:hAnsi="宋体"/>
                <w:sz w:val="24"/>
                <w:szCs w:val="24"/>
              </w:rPr>
              <w:t>②锅炉过热</w:t>
            </w:r>
          </w:p>
          <w:p>
            <w:pPr>
              <w:adjustRightInd w:val="0"/>
              <w:spacing w:line="360" w:lineRule="auto"/>
              <w:ind w:firstLine="480" w:firstLineChars="200"/>
              <w:rPr>
                <w:rFonts w:ascii="宋体" w:hAnsi="宋体"/>
                <w:sz w:val="24"/>
                <w:szCs w:val="24"/>
              </w:rPr>
            </w:pPr>
            <w:r>
              <w:rPr>
                <w:rFonts w:hint="eastAsia" w:ascii="宋体" w:hAnsi="宋体"/>
                <w:sz w:val="24"/>
                <w:szCs w:val="24"/>
              </w:rPr>
              <w:t>缺水事故在整个锅炉事故中,所占比例是相当很大。由于工作人员的疏忽、责任心不强,技术生疏或由于设备缺陷和其它故障就造成了锅炉过热,从而发生事故。</w:t>
            </w:r>
          </w:p>
          <w:p>
            <w:pPr>
              <w:adjustRightInd w:val="0"/>
              <w:spacing w:line="360" w:lineRule="auto"/>
              <w:ind w:firstLine="480" w:firstLineChars="200"/>
              <w:rPr>
                <w:rFonts w:ascii="宋体" w:hAnsi="宋体"/>
                <w:sz w:val="24"/>
                <w:szCs w:val="24"/>
              </w:rPr>
            </w:pPr>
            <w:r>
              <w:rPr>
                <w:rFonts w:hint="eastAsia" w:ascii="宋体" w:hAnsi="宋体"/>
                <w:sz w:val="24"/>
                <w:szCs w:val="24"/>
              </w:rPr>
              <w:t>③锅炉腐蚀</w:t>
            </w:r>
          </w:p>
          <w:p>
            <w:pPr>
              <w:adjustRightInd w:val="0"/>
              <w:spacing w:line="360" w:lineRule="auto"/>
              <w:ind w:firstLine="480" w:firstLineChars="200"/>
              <w:rPr>
                <w:rFonts w:ascii="宋体" w:hAnsi="宋体"/>
                <w:sz w:val="24"/>
                <w:szCs w:val="24"/>
              </w:rPr>
            </w:pPr>
            <w:r>
              <w:rPr>
                <w:rFonts w:hint="eastAsia" w:ascii="宋体" w:hAnsi="宋体"/>
                <w:sz w:val="24"/>
                <w:szCs w:val="24"/>
              </w:rPr>
              <w:t>锅炉在长期的运行过程中,受压元件会受到烟灰的冲刷而减薄,锅炉给水中SO</w:t>
            </w:r>
            <w:r>
              <w:rPr>
                <w:rFonts w:hint="eastAsia" w:ascii="宋体" w:hAnsi="宋体"/>
                <w:sz w:val="24"/>
                <w:szCs w:val="24"/>
                <w:vertAlign w:val="subscript"/>
              </w:rPr>
              <w:t>2</w:t>
            </w:r>
            <w:r>
              <w:rPr>
                <w:rFonts w:hint="eastAsia" w:ascii="宋体" w:hAnsi="宋体"/>
                <w:sz w:val="24"/>
                <w:szCs w:val="24"/>
              </w:rPr>
              <w:t>和CO</w:t>
            </w:r>
            <w:r>
              <w:rPr>
                <w:rFonts w:hint="eastAsia" w:ascii="宋体" w:hAnsi="宋体"/>
                <w:sz w:val="24"/>
                <w:szCs w:val="24"/>
                <w:vertAlign w:val="subscript"/>
              </w:rPr>
              <w:t>2</w:t>
            </w:r>
            <w:r>
              <w:rPr>
                <w:rFonts w:hint="eastAsia" w:ascii="宋体" w:hAnsi="宋体"/>
                <w:sz w:val="24"/>
                <w:szCs w:val="24"/>
              </w:rPr>
              <w:t xml:space="preserve">,溶解其中,若不除去,会引起锅炉金属腐蚀,长此以往则发生事故。 </w:t>
            </w:r>
          </w:p>
          <w:p>
            <w:pPr>
              <w:adjustRightInd w:val="0"/>
              <w:spacing w:line="360" w:lineRule="auto"/>
              <w:ind w:firstLine="480" w:firstLineChars="200"/>
              <w:rPr>
                <w:rFonts w:ascii="宋体" w:hAnsi="宋体"/>
                <w:sz w:val="24"/>
                <w:szCs w:val="24"/>
              </w:rPr>
            </w:pPr>
            <w:r>
              <w:rPr>
                <w:rFonts w:hint="eastAsia" w:ascii="宋体" w:hAnsi="宋体"/>
                <w:sz w:val="24"/>
                <w:szCs w:val="24"/>
              </w:rPr>
              <w:t>③锅炉缺陷</w:t>
            </w:r>
          </w:p>
          <w:p>
            <w:pPr>
              <w:adjustRightInd w:val="0"/>
              <w:spacing w:line="360" w:lineRule="auto"/>
              <w:ind w:firstLine="480" w:firstLineChars="200"/>
              <w:rPr>
                <w:rFonts w:ascii="宋体" w:hAnsi="宋体"/>
                <w:sz w:val="24"/>
                <w:szCs w:val="24"/>
              </w:rPr>
            </w:pPr>
            <w:r>
              <w:rPr>
                <w:rFonts w:hint="eastAsia" w:ascii="宋体" w:hAnsi="宋体"/>
                <w:sz w:val="24"/>
                <w:szCs w:val="24"/>
              </w:rPr>
              <w:t>锅炉产品在出厂前,将其缺陷消除,是保证锅炉安全使用的最重要环节。锅炉在运行过程中,由于负荷增减幅度过大,冷热交替频繁以及过热等因素的影响,裂纹等缺陷会时常发生。对于裂纹,在某些部位有可能容易发现,而有些部位却难发现,不易发现的裂纹往往直到扩展、出现不祥症兆后才会被发现。发现较早的,有可能修复,而晚期的则不易修复,不得不做报废处理,继续使用则会引起事故的发生。</w:t>
            </w:r>
          </w:p>
          <w:p>
            <w:pPr>
              <w:adjustRightInd w:val="0"/>
              <w:spacing w:line="360" w:lineRule="auto"/>
              <w:ind w:firstLine="480" w:firstLineChars="200"/>
              <w:rPr>
                <w:rFonts w:ascii="宋体" w:hAnsi="宋体"/>
                <w:sz w:val="24"/>
                <w:szCs w:val="24"/>
              </w:rPr>
            </w:pPr>
            <w:r>
              <w:rPr>
                <w:rFonts w:hint="eastAsia" w:ascii="宋体" w:hAnsi="宋体"/>
                <w:sz w:val="24"/>
                <w:szCs w:val="24"/>
              </w:rPr>
              <w:t>（2）防范措施</w:t>
            </w:r>
          </w:p>
          <w:p>
            <w:pPr>
              <w:adjustRightInd w:val="0"/>
              <w:spacing w:line="360" w:lineRule="auto"/>
              <w:ind w:firstLine="480" w:firstLineChars="200"/>
              <w:rPr>
                <w:rFonts w:ascii="宋体" w:hAnsi="宋体"/>
                <w:sz w:val="24"/>
                <w:szCs w:val="24"/>
              </w:rPr>
            </w:pPr>
            <w:r>
              <w:rPr>
                <w:rFonts w:hint="eastAsia" w:ascii="宋体" w:hAnsi="宋体"/>
                <w:sz w:val="24"/>
                <w:szCs w:val="24"/>
              </w:rPr>
              <w:t>①加强管理,建立健全相应的的防范应急措施,锅炉房设置异常情况的报警装置。</w:t>
            </w:r>
          </w:p>
          <w:p>
            <w:pPr>
              <w:adjustRightInd w:val="0"/>
              <w:spacing w:line="360" w:lineRule="auto"/>
              <w:ind w:firstLine="480" w:firstLineChars="200"/>
              <w:rPr>
                <w:rFonts w:ascii="宋体" w:hAnsi="宋体"/>
                <w:sz w:val="24"/>
                <w:szCs w:val="24"/>
              </w:rPr>
            </w:pPr>
            <w:r>
              <w:rPr>
                <w:rFonts w:hint="eastAsia" w:ascii="宋体" w:hAnsi="宋体"/>
                <w:sz w:val="24"/>
                <w:szCs w:val="24"/>
              </w:rPr>
              <w:t>②加强职工教育培训,定期进行事故演习,进而提高职工安全防范和应急能力。</w:t>
            </w:r>
          </w:p>
          <w:p>
            <w:pPr>
              <w:adjustRightInd w:val="0"/>
              <w:spacing w:line="360" w:lineRule="auto"/>
              <w:ind w:firstLine="480" w:firstLineChars="200"/>
              <w:rPr>
                <w:rFonts w:ascii="宋体" w:hAnsi="宋体"/>
                <w:sz w:val="24"/>
                <w:szCs w:val="24"/>
              </w:rPr>
            </w:pPr>
            <w:r>
              <w:rPr>
                <w:rFonts w:hint="eastAsia" w:ascii="宋体" w:hAnsi="宋体"/>
                <w:sz w:val="24"/>
                <w:szCs w:val="24"/>
              </w:rPr>
              <w:t>③用科学的手段和现有的检测仪器及时发现泄漏隐患,提前采取预防措施。</w:t>
            </w:r>
          </w:p>
          <w:p>
            <w:pPr>
              <w:adjustRightInd w:val="0"/>
              <w:spacing w:line="360" w:lineRule="auto"/>
              <w:ind w:firstLine="480" w:firstLineChars="200"/>
              <w:rPr>
                <w:rFonts w:ascii="宋体" w:hAnsi="宋体"/>
                <w:sz w:val="24"/>
                <w:szCs w:val="24"/>
              </w:rPr>
            </w:pPr>
            <w:r>
              <w:rPr>
                <w:rFonts w:hint="eastAsia" w:ascii="宋体" w:hAnsi="宋体"/>
                <w:sz w:val="24"/>
                <w:szCs w:val="24"/>
              </w:rPr>
              <w:t>④建立健全车间的各项安全管理制度。建立健全了《燃气锅炉房安全操作规则》、《燃气锅炉事故处理预案》、《安全生产责任制》、《巡回检查制度》、《燃气锅炉房作业标准》、《消防安全检查制度》、《设备维修保养制度》、《出入登记》以及各岗位人员责任制等,加强锅炉房的安全管理。</w:t>
            </w:r>
          </w:p>
          <w:p>
            <w:pPr>
              <w:adjustRightInd w:val="0"/>
              <w:spacing w:line="360" w:lineRule="auto"/>
              <w:ind w:firstLine="480" w:firstLineChars="200"/>
              <w:rPr>
                <w:rFonts w:ascii="宋体" w:hAnsi="宋体"/>
                <w:sz w:val="24"/>
                <w:szCs w:val="24"/>
              </w:rPr>
            </w:pPr>
            <w:r>
              <w:rPr>
                <w:rFonts w:hint="eastAsia" w:ascii="宋体" w:hAnsi="宋体"/>
                <w:sz w:val="24"/>
                <w:szCs w:val="24"/>
              </w:rPr>
              <w:t>⑤锅炉系统鼓包或爆破,应中断燃烧,关闭鼓风机和燃烧装置,如造成火灾,导致人员受伤,要以最快速度疏散附件人员,马上通知相关人员处理。</w:t>
            </w:r>
          </w:p>
          <w:p>
            <w:pPr>
              <w:pStyle w:val="248"/>
              <w:spacing w:line="440" w:lineRule="exact"/>
              <w:ind w:firstLine="482"/>
            </w:pPr>
            <w:r>
              <w:rPr>
                <w:rFonts w:hint="eastAsia"/>
              </w:rPr>
              <w:t>项目只要保证在设计、施工、管理及运行中认真落实工程拟采取的安全措施及评价所提出的安全设施和安全对策后,上述风险事故隐患可降至最低。</w:t>
            </w:r>
            <w:bookmarkEnd w:id="16"/>
            <w:bookmarkEnd w:id="17"/>
          </w:p>
          <w:p>
            <w:pPr>
              <w:pStyle w:val="248"/>
              <w:spacing w:line="440" w:lineRule="exact"/>
              <w:rPr>
                <w:bCs/>
                <w:color w:val="000000"/>
              </w:rPr>
            </w:pPr>
            <w:r>
              <w:rPr>
                <w:rFonts w:hint="eastAsia"/>
                <w:bCs/>
                <w:color w:val="000000"/>
              </w:rPr>
              <w:t>（</w:t>
            </w:r>
            <w:r>
              <w:rPr>
                <w:rFonts w:hint="eastAsia"/>
                <w:bCs/>
                <w:color w:val="000000"/>
                <w:lang w:eastAsia="zh-CN"/>
              </w:rPr>
              <w:t>四</w:t>
            </w:r>
            <w:r>
              <w:rPr>
                <w:rFonts w:hint="eastAsia"/>
                <w:bCs/>
                <w:color w:val="000000"/>
              </w:rPr>
              <w:t>）</w:t>
            </w:r>
            <w:r>
              <w:rPr>
                <w:bCs/>
                <w:color w:val="000000"/>
              </w:rPr>
              <w:t>噪声环境影响分析</w:t>
            </w:r>
            <w:r>
              <w:rPr>
                <w:rFonts w:hint="eastAsia"/>
                <w:bCs/>
                <w:color w:val="000000"/>
              </w:rPr>
              <w:t>及环境保护措施</w:t>
            </w:r>
          </w:p>
          <w:p>
            <w:pPr>
              <w:spacing w:line="360" w:lineRule="auto"/>
              <w:ind w:firstLine="480" w:firstLineChars="200"/>
              <w:rPr>
                <w:rFonts w:hint="eastAsia" w:ascii="宋体" w:hAnsi="宋体" w:eastAsia="宋体"/>
                <w:color w:val="auto"/>
                <w:sz w:val="24"/>
                <w:shd w:val="clear" w:color="auto" w:fill="auto"/>
                <w:lang w:eastAsia="zh-CN"/>
              </w:rPr>
            </w:pPr>
            <w:r>
              <w:rPr>
                <w:rFonts w:hint="eastAsia" w:ascii="宋体" w:hAnsi="宋体"/>
                <w:color w:val="auto"/>
                <w:sz w:val="24"/>
                <w:shd w:val="clear" w:color="auto" w:fill="auto"/>
                <w:lang w:eastAsia="zh-CN"/>
              </w:rPr>
              <w:t>本项目运营期主要为设备噪声（</w:t>
            </w:r>
            <w:r>
              <w:rPr>
                <w:rFonts w:hint="eastAsia" w:ascii="宋体" w:hAnsi="宋体"/>
                <w:color w:val="auto"/>
                <w:sz w:val="24"/>
                <w:szCs w:val="24"/>
                <w:shd w:val="clear" w:color="auto" w:fill="auto"/>
                <w:lang w:eastAsia="zh-CN"/>
              </w:rPr>
              <w:t>油烟引风机</w:t>
            </w:r>
            <w:r>
              <w:rPr>
                <w:rFonts w:hint="eastAsia" w:hAnsi="宋体"/>
                <w:color w:val="auto"/>
                <w:sz w:val="24"/>
                <w:shd w:val="clear" w:color="auto" w:fill="auto"/>
                <w:lang w:eastAsia="zh-CN"/>
              </w:rPr>
              <w:t>、锅炉风机</w:t>
            </w:r>
            <w:r>
              <w:rPr>
                <w:rFonts w:hAnsi="宋体"/>
                <w:color w:val="auto"/>
                <w:sz w:val="24"/>
                <w:shd w:val="clear" w:color="auto" w:fill="auto"/>
              </w:rPr>
              <w:t>、</w:t>
            </w:r>
            <w:r>
              <w:rPr>
                <w:rFonts w:hint="eastAsia" w:hAnsi="宋体"/>
                <w:color w:val="auto"/>
                <w:sz w:val="24"/>
                <w:shd w:val="clear" w:color="auto" w:fill="auto"/>
                <w:lang w:eastAsia="zh-CN"/>
              </w:rPr>
              <w:t>中央空调机组、冷却塔、备用发电机等设备产生的噪声）、社会噪声（</w:t>
            </w:r>
            <w:r>
              <w:rPr>
                <w:rFonts w:hint="eastAsia" w:hAnsi="宋体"/>
                <w:color w:val="auto"/>
                <w:sz w:val="24"/>
                <w:shd w:val="clear" w:color="auto" w:fill="auto"/>
                <w:lang w:val="en-US" w:eastAsia="zh-CN"/>
              </w:rPr>
              <w:t>演播厅音响设备噪声和</w:t>
            </w:r>
            <w:r>
              <w:rPr>
                <w:rFonts w:hint="eastAsia" w:hAnsi="宋体"/>
                <w:color w:val="auto"/>
                <w:sz w:val="24"/>
                <w:shd w:val="clear" w:color="auto" w:fill="auto"/>
                <w:lang w:eastAsia="zh-CN"/>
              </w:rPr>
              <w:t>客人活动</w:t>
            </w:r>
            <w:r>
              <w:rPr>
                <w:rFonts w:hAnsi="宋体"/>
                <w:color w:val="auto"/>
                <w:sz w:val="24"/>
                <w:shd w:val="clear" w:color="auto" w:fill="auto"/>
              </w:rPr>
              <w:t>产生的人群活动噪声</w:t>
            </w:r>
            <w:r>
              <w:rPr>
                <w:rFonts w:hint="eastAsia" w:hAnsi="宋体"/>
                <w:color w:val="auto"/>
                <w:sz w:val="24"/>
                <w:shd w:val="clear" w:color="auto" w:fill="auto"/>
                <w:lang w:eastAsia="zh-CN"/>
              </w:rPr>
              <w:t>）和交通噪声。</w:t>
            </w:r>
          </w:p>
          <w:p>
            <w:pPr>
              <w:spacing w:line="360" w:lineRule="auto"/>
              <w:ind w:firstLine="480" w:firstLineChars="200"/>
              <w:rPr>
                <w:rFonts w:hint="eastAsia" w:ascii="宋体" w:hAnsi="宋体"/>
                <w:color w:val="auto"/>
                <w:sz w:val="24"/>
                <w:shd w:val="clear" w:color="auto" w:fill="auto"/>
              </w:rPr>
            </w:pPr>
            <w:r>
              <w:rPr>
                <w:rFonts w:hint="eastAsia" w:ascii="宋体" w:hAnsi="宋体"/>
                <w:color w:val="auto"/>
                <w:sz w:val="24"/>
                <w:shd w:val="clear" w:color="auto" w:fill="auto"/>
                <w:lang w:val="en-US" w:eastAsia="zh-CN"/>
              </w:rPr>
              <w:t>1、</w:t>
            </w:r>
            <w:r>
              <w:rPr>
                <w:rFonts w:hint="eastAsia" w:ascii="宋体" w:hAnsi="宋体"/>
                <w:color w:val="auto"/>
                <w:sz w:val="24"/>
                <w:shd w:val="clear" w:color="auto" w:fill="auto"/>
                <w:lang w:eastAsia="zh-CN"/>
              </w:rPr>
              <w:t>设备噪声影响分析</w:t>
            </w:r>
          </w:p>
          <w:p>
            <w:pPr>
              <w:spacing w:line="360" w:lineRule="auto"/>
              <w:ind w:firstLine="480" w:firstLineChars="200"/>
              <w:rPr>
                <w:rFonts w:hint="eastAsia" w:ascii="宋体" w:hAnsi="宋体"/>
                <w:color w:val="auto"/>
                <w:sz w:val="24"/>
                <w:szCs w:val="24"/>
                <w:shd w:val="clear" w:color="auto" w:fill="auto"/>
              </w:rPr>
            </w:pPr>
            <w:r>
              <w:rPr>
                <w:rFonts w:hint="eastAsia" w:ascii="宋体" w:hAnsi="宋体"/>
                <w:color w:val="auto"/>
                <w:sz w:val="24"/>
                <w:szCs w:val="24"/>
                <w:shd w:val="clear" w:color="auto" w:fill="auto"/>
              </w:rPr>
              <w:t>本项目为服务性项目，噪声为本项目的特征污染物。项目主要辅助设备</w:t>
            </w:r>
            <w:r>
              <w:rPr>
                <w:rFonts w:hint="eastAsia" w:ascii="宋体" w:hAnsi="宋体"/>
                <w:color w:val="auto"/>
                <w:sz w:val="24"/>
                <w:szCs w:val="24"/>
                <w:shd w:val="clear" w:color="auto" w:fill="auto"/>
                <w:lang w:eastAsia="zh-CN"/>
              </w:rPr>
              <w:t>为</w:t>
            </w:r>
            <w:r>
              <w:rPr>
                <w:rFonts w:hint="eastAsia"/>
                <w:color w:val="auto"/>
                <w:sz w:val="24"/>
                <w:szCs w:val="24"/>
                <w:shd w:val="clear" w:color="auto" w:fill="auto"/>
                <w:lang w:eastAsia="zh-CN"/>
              </w:rPr>
              <w:t>油烟引风机</w:t>
            </w:r>
            <w:r>
              <w:rPr>
                <w:rFonts w:hint="eastAsia" w:ascii="宋体" w:hAnsi="宋体"/>
                <w:color w:val="auto"/>
                <w:sz w:val="24"/>
                <w:szCs w:val="24"/>
                <w:shd w:val="clear" w:color="auto" w:fill="auto"/>
                <w:lang w:eastAsia="zh-CN"/>
              </w:rPr>
              <w:t>、锅炉风机</w:t>
            </w:r>
            <w:r>
              <w:rPr>
                <w:rFonts w:hint="eastAsia" w:ascii="宋体" w:hAnsi="宋体"/>
                <w:color w:val="auto"/>
                <w:sz w:val="24"/>
                <w:szCs w:val="24"/>
                <w:shd w:val="clear" w:color="auto" w:fill="auto"/>
              </w:rPr>
              <w:t>、</w:t>
            </w:r>
            <w:r>
              <w:rPr>
                <w:rFonts w:hint="eastAsia" w:ascii="宋体" w:hAnsi="宋体"/>
                <w:color w:val="auto"/>
                <w:sz w:val="24"/>
                <w:szCs w:val="24"/>
                <w:shd w:val="clear" w:color="auto" w:fill="auto"/>
                <w:lang w:eastAsia="zh-CN"/>
              </w:rPr>
              <w:t>中央空调机组、冷却塔、备用发电机等。锅炉风机、中央空调机组、备用发电机</w:t>
            </w:r>
            <w:r>
              <w:rPr>
                <w:rFonts w:hint="eastAsia" w:ascii="宋体" w:hAnsi="宋体"/>
                <w:color w:val="auto"/>
                <w:sz w:val="24"/>
                <w:szCs w:val="24"/>
                <w:shd w:val="clear" w:color="auto" w:fill="auto"/>
              </w:rPr>
              <w:t>等均设置于</w:t>
            </w:r>
            <w:r>
              <w:rPr>
                <w:rFonts w:hint="eastAsia" w:ascii="宋体" w:hAnsi="宋体"/>
                <w:color w:val="auto"/>
                <w:sz w:val="24"/>
                <w:szCs w:val="24"/>
                <w:shd w:val="clear" w:color="auto" w:fill="auto"/>
                <w:lang w:eastAsia="zh-CN"/>
              </w:rPr>
              <w:t>地下一层</w:t>
            </w:r>
            <w:r>
              <w:rPr>
                <w:rFonts w:hint="eastAsia" w:ascii="宋体" w:hAnsi="宋体"/>
                <w:color w:val="auto"/>
                <w:sz w:val="24"/>
                <w:szCs w:val="24"/>
                <w:shd w:val="clear" w:color="auto" w:fill="auto"/>
              </w:rPr>
              <w:t>设备房内，该部分噪声</w:t>
            </w:r>
            <w:r>
              <w:rPr>
                <w:rFonts w:hint="eastAsia" w:ascii="宋体" w:hAnsi="宋体"/>
                <w:color w:val="auto"/>
                <w:sz w:val="24"/>
                <w:shd w:val="clear" w:color="auto" w:fill="auto"/>
              </w:rPr>
              <w:t>经地下室隔声后</w:t>
            </w:r>
            <w:r>
              <w:rPr>
                <w:rFonts w:hint="eastAsia" w:ascii="宋体" w:hAnsi="宋体"/>
                <w:color w:val="auto"/>
                <w:sz w:val="24"/>
                <w:szCs w:val="24"/>
                <w:shd w:val="clear" w:color="auto" w:fill="auto"/>
              </w:rPr>
              <w:t>，</w:t>
            </w:r>
            <w:r>
              <w:rPr>
                <w:rFonts w:hint="eastAsia" w:ascii="宋体" w:hAnsi="宋体"/>
                <w:color w:val="auto"/>
                <w:sz w:val="24"/>
                <w:szCs w:val="24"/>
                <w:shd w:val="clear" w:color="auto" w:fill="auto"/>
                <w:lang w:eastAsia="zh-CN"/>
              </w:rPr>
              <w:t>对外环境影响很小。油烟引风机设在</w:t>
            </w:r>
            <w:r>
              <w:rPr>
                <w:rFonts w:hint="eastAsia" w:ascii="宋体" w:hAnsi="宋体"/>
                <w:color w:val="auto"/>
                <w:sz w:val="24"/>
                <w:shd w:val="clear" w:color="auto" w:fill="auto"/>
              </w:rPr>
              <w:t>厨房内，经密闭隔声，</w:t>
            </w:r>
            <w:r>
              <w:rPr>
                <w:rFonts w:hint="eastAsia" w:ascii="宋体" w:hAnsi="宋体"/>
                <w:color w:val="auto"/>
                <w:sz w:val="24"/>
                <w:szCs w:val="24"/>
                <w:shd w:val="clear" w:color="auto" w:fill="auto"/>
                <w:lang w:eastAsia="zh-CN"/>
              </w:rPr>
              <w:t>冷却塔设在项目楼顶，</w:t>
            </w:r>
            <w:r>
              <w:rPr>
                <w:color w:val="auto"/>
                <w:sz w:val="24"/>
                <w:szCs w:val="24"/>
                <w:shd w:val="clear" w:color="auto" w:fill="auto"/>
              </w:rPr>
              <w:t>经建筑本身隔声后，一般不会对外界声环境产生不良影响</w:t>
            </w:r>
            <w:r>
              <w:rPr>
                <w:rFonts w:hint="eastAsia"/>
                <w:color w:val="auto"/>
                <w:sz w:val="24"/>
                <w:szCs w:val="24"/>
                <w:shd w:val="clear" w:color="auto" w:fill="auto"/>
                <w:lang w:eastAsia="zh-CN"/>
              </w:rPr>
              <w:t>。</w:t>
            </w:r>
            <w:r>
              <w:rPr>
                <w:rFonts w:hint="eastAsia" w:ascii="宋体" w:hAnsi="宋体"/>
                <w:color w:val="auto"/>
                <w:sz w:val="24"/>
                <w:szCs w:val="24"/>
                <w:shd w:val="clear" w:color="auto" w:fill="auto"/>
              </w:rPr>
              <w:t>为了严格控制经营期间设备噪声的污染影响问题，</w:t>
            </w:r>
            <w:r>
              <w:rPr>
                <w:rFonts w:hint="eastAsia" w:ascii="宋体" w:hAnsi="宋体"/>
                <w:color w:val="auto"/>
                <w:sz w:val="24"/>
                <w:szCs w:val="24"/>
                <w:shd w:val="clear" w:color="auto" w:fill="auto"/>
                <w:lang w:eastAsia="zh-CN"/>
              </w:rPr>
              <w:t>环评建议</w:t>
            </w:r>
            <w:r>
              <w:rPr>
                <w:rFonts w:hint="eastAsia" w:ascii="宋体" w:hAnsi="宋体"/>
                <w:color w:val="auto"/>
                <w:sz w:val="24"/>
                <w:szCs w:val="24"/>
                <w:shd w:val="clear" w:color="auto" w:fill="auto"/>
              </w:rPr>
              <w:t>对产生主要噪声污染源的设备采取减振、隔声等措施：</w:t>
            </w:r>
          </w:p>
          <w:p>
            <w:pPr>
              <w:spacing w:line="360" w:lineRule="auto"/>
              <w:ind w:firstLine="480" w:firstLineChars="200"/>
              <w:rPr>
                <w:rFonts w:hint="eastAsia" w:ascii="宋体" w:hAnsi="宋体"/>
                <w:color w:val="auto"/>
                <w:sz w:val="24"/>
                <w:szCs w:val="24"/>
                <w:shd w:val="clear" w:color="auto" w:fill="auto"/>
              </w:rPr>
            </w:pPr>
            <w:r>
              <w:rPr>
                <w:rFonts w:hint="eastAsia" w:ascii="宋体" w:hAnsi="宋体"/>
                <w:color w:val="auto"/>
                <w:sz w:val="24"/>
                <w:szCs w:val="24"/>
                <w:shd w:val="clear" w:color="auto" w:fill="auto"/>
              </w:rPr>
              <w:t>①</w:t>
            </w:r>
            <w:r>
              <w:rPr>
                <w:rFonts w:hint="eastAsia" w:ascii="宋体" w:hAnsi="宋体"/>
                <w:color w:val="auto"/>
                <w:sz w:val="24"/>
                <w:szCs w:val="24"/>
                <w:shd w:val="clear" w:color="auto" w:fill="auto"/>
                <w:lang w:eastAsia="zh-CN"/>
              </w:rPr>
              <w:t>在空调机组等设备上</w:t>
            </w:r>
            <w:r>
              <w:rPr>
                <w:rFonts w:hint="eastAsia" w:ascii="宋体" w:hAnsi="宋体"/>
                <w:color w:val="auto"/>
                <w:sz w:val="24"/>
                <w:szCs w:val="24"/>
                <w:shd w:val="clear" w:color="auto" w:fill="auto"/>
              </w:rPr>
              <w:t>安装</w:t>
            </w:r>
            <w:r>
              <w:rPr>
                <w:rFonts w:hint="eastAsia" w:ascii="宋体" w:hAnsi="宋体"/>
                <w:color w:val="auto"/>
                <w:sz w:val="24"/>
                <w:szCs w:val="24"/>
                <w:shd w:val="clear" w:color="auto" w:fill="auto"/>
                <w:lang w:eastAsia="zh-CN"/>
              </w:rPr>
              <w:t>减振基座；</w:t>
            </w:r>
          </w:p>
          <w:p>
            <w:pPr>
              <w:spacing w:line="360" w:lineRule="auto"/>
              <w:ind w:firstLine="480" w:firstLineChars="200"/>
              <w:rPr>
                <w:rFonts w:hint="eastAsia" w:ascii="宋体" w:hAnsi="宋体"/>
                <w:color w:val="auto"/>
                <w:sz w:val="24"/>
                <w:shd w:val="clear" w:color="auto" w:fill="auto"/>
                <w:lang w:eastAsia="zh-CN"/>
              </w:rPr>
            </w:pPr>
            <w:r>
              <w:rPr>
                <w:rFonts w:hint="eastAsia" w:ascii="宋体" w:hAnsi="宋体"/>
                <w:color w:val="auto"/>
                <w:sz w:val="24"/>
                <w:szCs w:val="24"/>
                <w:shd w:val="clear" w:color="auto" w:fill="auto"/>
              </w:rPr>
              <w:t>②</w:t>
            </w:r>
            <w:r>
              <w:rPr>
                <w:rFonts w:hint="eastAsia" w:ascii="宋体" w:hAnsi="宋体"/>
                <w:color w:val="auto"/>
                <w:sz w:val="24"/>
                <w:szCs w:val="24"/>
                <w:shd w:val="clear" w:color="auto" w:fill="auto"/>
                <w:lang w:eastAsia="zh-CN"/>
              </w:rPr>
              <w:t>油烟引风机设在</w:t>
            </w:r>
            <w:r>
              <w:rPr>
                <w:rFonts w:hint="eastAsia" w:ascii="宋体" w:hAnsi="宋体"/>
                <w:color w:val="auto"/>
                <w:sz w:val="24"/>
                <w:shd w:val="clear" w:color="auto" w:fill="auto"/>
              </w:rPr>
              <w:t>厨房内</w:t>
            </w:r>
            <w:r>
              <w:rPr>
                <w:rFonts w:hint="eastAsia" w:ascii="宋体" w:hAnsi="宋体"/>
                <w:color w:val="auto"/>
                <w:sz w:val="24"/>
                <w:shd w:val="clear" w:color="auto" w:fill="auto"/>
                <w:lang w:eastAsia="zh-CN"/>
              </w:rPr>
              <w:t>，</w:t>
            </w:r>
            <w:r>
              <w:rPr>
                <w:rFonts w:hint="eastAsia" w:ascii="宋体" w:hAnsi="宋体"/>
                <w:color w:val="auto"/>
                <w:sz w:val="24"/>
                <w:shd w:val="clear" w:color="auto" w:fill="auto"/>
              </w:rPr>
              <w:t>采取</w:t>
            </w:r>
            <w:r>
              <w:rPr>
                <w:rFonts w:hint="eastAsia" w:ascii="宋体" w:hAnsi="宋体"/>
                <w:color w:val="auto"/>
                <w:sz w:val="24"/>
                <w:shd w:val="clear" w:color="auto" w:fill="auto"/>
                <w:lang w:eastAsia="zh-CN"/>
              </w:rPr>
              <w:t>减振</w:t>
            </w:r>
            <w:r>
              <w:rPr>
                <w:rFonts w:hint="eastAsia" w:ascii="宋体" w:hAnsi="宋体"/>
                <w:color w:val="auto"/>
                <w:sz w:val="24"/>
                <w:shd w:val="clear" w:color="auto" w:fill="auto"/>
              </w:rPr>
              <w:t>处理，并在排气口安装消声器；加强油烟排风机等设备的维护保养，并定期检修</w:t>
            </w:r>
            <w:r>
              <w:rPr>
                <w:rFonts w:hint="eastAsia" w:ascii="宋体" w:hAnsi="宋体"/>
                <w:color w:val="auto"/>
                <w:sz w:val="24"/>
                <w:shd w:val="clear" w:color="auto" w:fill="auto"/>
                <w:lang w:eastAsia="zh-CN"/>
              </w:rPr>
              <w:t>。</w:t>
            </w:r>
          </w:p>
          <w:p>
            <w:pPr>
              <w:spacing w:line="360" w:lineRule="auto"/>
              <w:ind w:firstLine="480" w:firstLineChars="200"/>
              <w:rPr>
                <w:rFonts w:hint="eastAsia" w:ascii="宋体" w:hAnsi="宋体"/>
                <w:color w:val="auto"/>
                <w:sz w:val="24"/>
                <w:shd w:val="clear" w:color="auto" w:fill="auto"/>
                <w:lang w:eastAsia="zh-CN"/>
              </w:rPr>
            </w:pPr>
            <w:r>
              <w:rPr>
                <w:rFonts w:hint="eastAsia" w:ascii="宋体" w:hAnsi="宋体"/>
                <w:color w:val="auto"/>
                <w:sz w:val="24"/>
                <w:shd w:val="clear" w:color="auto" w:fill="auto"/>
              </w:rPr>
              <w:t>③将冷却塔消声通风百叶隔声结构与隔声板组合成为适宜的隔声结构降低凉水塔整体噪声，这种结构可以降低凉水塔进排气噪声、淋水噪声、电动机和传动设备的机械噪声。</w:t>
            </w:r>
          </w:p>
          <w:p>
            <w:pPr>
              <w:spacing w:line="360" w:lineRule="auto"/>
              <w:ind w:firstLine="480" w:firstLineChars="200"/>
              <w:rPr>
                <w:rFonts w:hint="eastAsia" w:ascii="宋体" w:hAnsi="宋体"/>
                <w:color w:val="auto"/>
                <w:sz w:val="24"/>
                <w:shd w:val="clear" w:color="auto" w:fill="auto"/>
              </w:rPr>
            </w:pPr>
            <w:r>
              <w:rPr>
                <w:rFonts w:hint="eastAsia" w:ascii="宋体" w:hAnsi="宋体"/>
                <w:color w:val="auto"/>
                <w:sz w:val="24"/>
                <w:shd w:val="clear" w:color="auto" w:fill="auto"/>
              </w:rPr>
              <w:t>在采取以上措施后，可降低噪声10~30dB，可将设备噪声对环境影响降至最低。</w:t>
            </w:r>
          </w:p>
          <w:p>
            <w:pPr>
              <w:spacing w:line="360" w:lineRule="auto"/>
              <w:ind w:firstLine="480" w:firstLineChars="200"/>
              <w:rPr>
                <w:rFonts w:hint="eastAsia" w:ascii="宋体" w:hAnsi="宋体"/>
                <w:color w:val="auto"/>
                <w:sz w:val="24"/>
                <w:shd w:val="clear" w:color="auto" w:fill="auto"/>
              </w:rPr>
            </w:pPr>
            <w:r>
              <w:rPr>
                <w:rFonts w:hint="eastAsia" w:ascii="宋体" w:hAnsi="宋体"/>
                <w:color w:val="auto"/>
                <w:sz w:val="24"/>
                <w:shd w:val="clear" w:color="auto" w:fill="auto"/>
              </w:rPr>
              <w:t xml:space="preserve"> </w:t>
            </w:r>
            <w:r>
              <w:rPr>
                <w:rFonts w:hint="eastAsia" w:hAnsi="宋体"/>
                <w:color w:val="auto"/>
                <w:sz w:val="24"/>
                <w:shd w:val="clear" w:color="auto" w:fill="auto"/>
                <w:lang w:val="en-US" w:eastAsia="zh-CN"/>
              </w:rPr>
              <w:t>2、</w:t>
            </w:r>
            <w:r>
              <w:rPr>
                <w:rFonts w:hint="eastAsia" w:ascii="宋体" w:hAnsi="宋体"/>
                <w:color w:val="auto"/>
                <w:sz w:val="24"/>
                <w:shd w:val="clear" w:color="auto" w:fill="auto"/>
                <w:lang w:eastAsia="zh-CN"/>
              </w:rPr>
              <w:t>社会噪声</w:t>
            </w:r>
          </w:p>
          <w:p>
            <w:pPr>
              <w:spacing w:line="360" w:lineRule="auto"/>
              <w:ind w:firstLine="480" w:firstLineChars="200"/>
              <w:rPr>
                <w:rFonts w:hint="eastAsia"/>
                <w:color w:val="auto"/>
                <w:spacing w:val="6"/>
                <w:sz w:val="24"/>
                <w:szCs w:val="24"/>
                <w:u w:val="none"/>
                <w:shd w:val="clear" w:color="auto" w:fill="auto"/>
              </w:rPr>
            </w:pPr>
            <w:r>
              <w:rPr>
                <w:rFonts w:hint="eastAsia" w:ascii="宋体" w:hAnsi="宋体"/>
                <w:color w:val="auto"/>
                <w:sz w:val="24"/>
                <w:shd w:val="clear" w:color="auto" w:fill="auto"/>
                <w:lang w:eastAsia="zh-CN"/>
              </w:rPr>
              <w:t>本项目设有客房、餐饮业、演播厅</w:t>
            </w:r>
            <w:r>
              <w:rPr>
                <w:rFonts w:hint="eastAsia" w:ascii="宋体" w:hAnsi="宋体"/>
                <w:color w:val="auto"/>
                <w:sz w:val="24"/>
                <w:shd w:val="clear" w:color="auto" w:fill="auto"/>
                <w:lang w:val="en-US" w:eastAsia="zh-CN"/>
              </w:rPr>
              <w:t>等，顾客到酒店进行消费会产生一定的社会噪声，</w:t>
            </w:r>
            <w:r>
              <w:rPr>
                <w:rFonts w:hint="eastAsia" w:ascii="宋体" w:hAnsi="宋体"/>
                <w:color w:val="auto"/>
                <w:sz w:val="24"/>
                <w:shd w:val="clear" w:color="auto" w:fill="auto"/>
              </w:rPr>
              <w:t>项目的最主要噪声是</w:t>
            </w:r>
            <w:r>
              <w:rPr>
                <w:rFonts w:hint="eastAsia" w:ascii="宋体" w:hAnsi="宋体"/>
                <w:color w:val="auto"/>
                <w:sz w:val="24"/>
                <w:shd w:val="clear" w:color="auto" w:fill="auto"/>
                <w:lang w:eastAsia="zh-CN"/>
              </w:rPr>
              <w:t>演播厅</w:t>
            </w:r>
            <w:r>
              <w:rPr>
                <w:rFonts w:hint="eastAsia" w:ascii="宋体" w:hAnsi="宋体"/>
                <w:color w:val="auto"/>
                <w:sz w:val="24"/>
                <w:shd w:val="clear" w:color="auto" w:fill="auto"/>
              </w:rPr>
              <w:t>噪声。根据</w:t>
            </w:r>
            <w:r>
              <w:rPr>
                <w:rFonts w:hint="eastAsia" w:ascii="宋体" w:hAnsi="宋体"/>
                <w:color w:val="auto"/>
                <w:sz w:val="24"/>
                <w:shd w:val="clear" w:color="auto" w:fill="auto"/>
                <w:lang w:eastAsia="zh-CN"/>
              </w:rPr>
              <w:t>对其他演播厅</w:t>
            </w:r>
            <w:r>
              <w:rPr>
                <w:rFonts w:hint="eastAsia" w:ascii="宋体" w:hAnsi="宋体"/>
                <w:color w:val="auto"/>
                <w:sz w:val="24"/>
                <w:shd w:val="clear" w:color="auto" w:fill="auto"/>
              </w:rPr>
              <w:t>项目的类比监测，</w:t>
            </w:r>
            <w:r>
              <w:rPr>
                <w:rFonts w:hint="eastAsia"/>
                <w:color w:val="auto"/>
                <w:spacing w:val="6"/>
                <w:sz w:val="24"/>
                <w:szCs w:val="24"/>
                <w:u w:val="none"/>
                <w:shd w:val="clear" w:color="auto" w:fill="auto"/>
              </w:rPr>
              <w:t>音箱设备噪声级一般为80~95 dB(A)，声压级很高，从噪声频率特征看，呈较宽频带，以中低频信号最强，音箱的音乐能穿透混凝土建筑结构，传递到邻近的室内，一般的建筑结构隔声量不能满足要求，加上固体传声，使得噪声、振动衰减很慢，传播较远。</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u w:val="none"/>
                <w:shd w:val="clear" w:color="auto" w:fill="auto"/>
              </w:rPr>
            </w:pPr>
            <w:r>
              <w:rPr>
                <w:rFonts w:hint="eastAsia" w:cs="Times New Roman"/>
                <w:color w:val="auto"/>
                <w:spacing w:val="6"/>
                <w:u w:val="none"/>
                <w:shd w:val="clear" w:color="auto" w:fill="auto"/>
              </w:rPr>
              <w:t>为了减轻项目噪声、振动对周围环境的影响，本项目在</w:t>
            </w:r>
            <w:r>
              <w:rPr>
                <w:rFonts w:hint="eastAsia" w:cs="Times New Roman"/>
                <w:color w:val="auto"/>
                <w:spacing w:val="6"/>
                <w:u w:val="none"/>
                <w:shd w:val="clear" w:color="auto" w:fill="auto"/>
                <w:lang w:eastAsia="zh-CN"/>
              </w:rPr>
              <w:t>装修时</w:t>
            </w:r>
            <w:r>
              <w:rPr>
                <w:rFonts w:hint="eastAsia" w:cs="Times New Roman"/>
                <w:color w:val="auto"/>
                <w:spacing w:val="6"/>
                <w:u w:val="none"/>
                <w:shd w:val="clear" w:color="auto" w:fill="auto"/>
              </w:rPr>
              <w:t>拟采取以下减缓措施：</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olor w:val="auto"/>
                <w:sz w:val="20"/>
                <w:u w:val="none"/>
                <w:shd w:val="clear" w:color="auto" w:fill="auto"/>
              </w:rPr>
            </w:pPr>
            <w:r>
              <w:rPr>
                <w:rFonts w:hint="eastAsia" w:ascii="宋体" w:cs="Times New Roman"/>
                <w:color w:val="auto"/>
                <w:spacing w:val="6"/>
                <w:u w:val="none"/>
                <w:shd w:val="clear" w:color="auto" w:fill="auto"/>
              </w:rPr>
              <w:t>①</w:t>
            </w:r>
            <w:r>
              <w:rPr>
                <w:color w:val="auto"/>
                <w:u w:val="none"/>
                <w:shd w:val="clear" w:color="auto" w:fill="auto"/>
              </w:rPr>
              <w:t>天花板吊顶采用弹性吊顶，并做隔声处理。</w:t>
            </w:r>
            <w:r>
              <w:rPr>
                <w:rFonts w:hint="eastAsia" w:cs="Times New Roman"/>
                <w:color w:val="auto"/>
                <w:spacing w:val="6"/>
                <w:u w:val="none"/>
                <w:shd w:val="clear" w:color="auto" w:fill="auto"/>
              </w:rPr>
              <w:t>天花板均安装4~5cm厚的吸声棉，</w:t>
            </w:r>
            <w:r>
              <w:rPr>
                <w:color w:val="auto"/>
                <w:u w:val="none"/>
                <w:shd w:val="clear" w:color="auto" w:fill="auto"/>
              </w:rPr>
              <w:t>为了保证隔声效果，吊顶内电缆、消防管线穿透吊顶时，用密封胶密封处理，防止漏声</w:t>
            </w:r>
            <w:r>
              <w:rPr>
                <w:rFonts w:hint="eastAsia"/>
                <w:color w:val="auto"/>
                <w:u w:val="none"/>
                <w:shd w:val="clear" w:color="auto" w:fill="auto"/>
              </w:rPr>
              <w:t>，从而</w:t>
            </w:r>
            <w:r>
              <w:rPr>
                <w:rFonts w:hint="eastAsia" w:cs="Times New Roman"/>
                <w:color w:val="auto"/>
                <w:spacing w:val="6"/>
                <w:u w:val="none"/>
                <w:shd w:val="clear" w:color="auto" w:fill="auto"/>
              </w:rPr>
              <w:t>减少噪声向外传播。</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u w:val="none"/>
                <w:shd w:val="clear" w:color="auto" w:fill="auto"/>
              </w:rPr>
            </w:pPr>
            <w:r>
              <w:rPr>
                <w:rFonts w:hint="eastAsia" w:ascii="宋体" w:cs="Times New Roman"/>
                <w:color w:val="auto"/>
                <w:spacing w:val="6"/>
                <w:u w:val="none"/>
                <w:shd w:val="clear" w:color="auto" w:fill="auto"/>
              </w:rPr>
              <w:t>②</w:t>
            </w:r>
            <w:r>
              <w:rPr>
                <w:rFonts w:hint="eastAsia" w:cs="Times New Roman"/>
                <w:color w:val="auto"/>
                <w:spacing w:val="6"/>
                <w:u w:val="none"/>
                <w:shd w:val="clear" w:color="auto" w:fill="auto"/>
              </w:rPr>
              <w:t>包厢墙体采用隔声墙体，墙体结构为15公分砖砌+1.5公分批灰+10公分隔音棉，噪声在通过具有弹性、多孔性及表面粗造的装饰材料的不规则反射性的多重作用下，可以减轻会所内的噪声、振动向外传播。</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u w:val="none"/>
                <w:shd w:val="clear" w:color="auto" w:fill="auto"/>
              </w:rPr>
            </w:pPr>
            <w:r>
              <w:rPr>
                <w:rFonts w:hint="eastAsia" w:ascii="宋体" w:cs="Times New Roman"/>
                <w:color w:val="auto"/>
                <w:spacing w:val="6"/>
                <w:u w:val="none"/>
                <w:shd w:val="clear" w:color="auto" w:fill="auto"/>
              </w:rPr>
              <w:t>③</w:t>
            </w:r>
            <w:r>
              <w:rPr>
                <w:rFonts w:hint="eastAsia" w:ascii="宋体" w:hAnsi="宋体"/>
                <w:color w:val="auto"/>
                <w:sz w:val="24"/>
                <w:shd w:val="clear" w:color="auto" w:fill="auto"/>
                <w:lang w:eastAsia="zh-CN"/>
              </w:rPr>
              <w:t>演播厅</w:t>
            </w:r>
            <w:r>
              <w:rPr>
                <w:rFonts w:hint="eastAsia" w:cs="Times New Roman"/>
                <w:color w:val="auto"/>
                <w:spacing w:val="6"/>
                <w:u w:val="none"/>
                <w:shd w:val="clear" w:color="auto" w:fill="auto"/>
              </w:rPr>
              <w:t>内不设置窗户，由换气扇通风；</w:t>
            </w:r>
            <w:r>
              <w:rPr>
                <w:rFonts w:hint="eastAsia" w:ascii="宋体" w:hAnsi="宋体"/>
                <w:color w:val="auto"/>
                <w:sz w:val="24"/>
                <w:shd w:val="clear" w:color="auto" w:fill="auto"/>
                <w:lang w:eastAsia="zh-CN"/>
              </w:rPr>
              <w:t>演播厅</w:t>
            </w:r>
            <w:r>
              <w:rPr>
                <w:rFonts w:hint="eastAsia" w:cs="Times New Roman"/>
                <w:color w:val="auto"/>
                <w:spacing w:val="6"/>
                <w:u w:val="none"/>
                <w:shd w:val="clear" w:color="auto" w:fill="auto"/>
              </w:rPr>
              <w:t>门采用隔声门，且门与房间密封严实，可以有效阻隔一部分噪声。</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u w:val="none"/>
                <w:shd w:val="clear" w:color="auto" w:fill="auto"/>
              </w:rPr>
            </w:pPr>
            <w:r>
              <w:rPr>
                <w:rFonts w:hint="eastAsia" w:ascii="宋体" w:cs="Times New Roman"/>
                <w:color w:val="auto"/>
                <w:spacing w:val="6"/>
                <w:u w:val="none"/>
                <w:shd w:val="clear" w:color="auto" w:fill="auto"/>
              </w:rPr>
              <w:t>④</w:t>
            </w:r>
            <w:r>
              <w:rPr>
                <w:rFonts w:hint="eastAsia" w:ascii="宋体" w:hAnsi="宋体"/>
                <w:color w:val="auto"/>
                <w:sz w:val="24"/>
                <w:shd w:val="clear" w:color="auto" w:fill="auto"/>
                <w:lang w:eastAsia="zh-CN"/>
              </w:rPr>
              <w:t>演播厅</w:t>
            </w:r>
            <w:r>
              <w:rPr>
                <w:rFonts w:hint="eastAsia" w:cs="Times New Roman"/>
                <w:color w:val="auto"/>
                <w:spacing w:val="6"/>
                <w:u w:val="none"/>
                <w:shd w:val="clear" w:color="auto" w:fill="auto"/>
              </w:rPr>
              <w:t>里的音箱摆放位置离开墙体，尽量</w:t>
            </w:r>
            <w:r>
              <w:rPr>
                <w:rFonts w:hint="eastAsia" w:cs="Times New Roman"/>
                <w:color w:val="auto"/>
                <w:spacing w:val="6"/>
                <w:u w:val="none"/>
                <w:shd w:val="clear" w:color="auto" w:fill="auto"/>
                <w:lang w:eastAsia="zh-CN"/>
              </w:rPr>
              <w:t>远离南</w:t>
            </w:r>
            <w:r>
              <w:rPr>
                <w:rFonts w:hint="eastAsia" w:cs="Times New Roman"/>
                <w:color w:val="auto"/>
                <w:spacing w:val="6"/>
                <w:u w:val="none"/>
                <w:shd w:val="clear" w:color="auto" w:fill="auto"/>
              </w:rPr>
              <w:t>侧</w:t>
            </w:r>
            <w:r>
              <w:rPr>
                <w:rFonts w:hint="eastAsia" w:cs="Times New Roman"/>
                <w:color w:val="auto"/>
                <w:spacing w:val="6"/>
                <w:u w:val="none"/>
                <w:shd w:val="clear" w:color="auto" w:fill="auto"/>
                <w:lang w:eastAsia="zh-CN"/>
              </w:rPr>
              <w:t>与本项目相邻部分</w:t>
            </w:r>
            <w:r>
              <w:rPr>
                <w:rFonts w:hint="eastAsia" w:cs="Times New Roman"/>
                <w:color w:val="auto"/>
                <w:spacing w:val="6"/>
                <w:u w:val="none"/>
                <w:shd w:val="clear" w:color="auto" w:fill="auto"/>
              </w:rPr>
              <w:t>，音箱底座装设减振措施，可避免音箱产生的低频震动通过墙体下传。</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color w:val="auto"/>
                <w:u w:val="none"/>
                <w:shd w:val="clear" w:color="auto" w:fill="auto"/>
              </w:rPr>
            </w:pPr>
            <w:r>
              <w:rPr>
                <w:rFonts w:hint="eastAsia" w:ascii="宋体"/>
                <w:color w:val="auto"/>
                <w:u w:val="none"/>
                <w:shd w:val="clear" w:color="auto" w:fill="auto"/>
              </w:rPr>
              <w:t>⑤</w:t>
            </w:r>
            <w:r>
              <w:rPr>
                <w:rFonts w:hint="eastAsia"/>
                <w:color w:val="auto"/>
                <w:u w:val="none"/>
                <w:shd w:val="clear" w:color="auto" w:fill="auto"/>
              </w:rPr>
              <w:t>出入楼道口、上下管线通道口采用隔声门，防止声波通过通道传播。</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color w:val="auto"/>
                <w:sz w:val="24"/>
                <w:szCs w:val="24"/>
                <w:u w:val="none"/>
                <w:shd w:val="clear" w:color="auto" w:fill="auto"/>
              </w:rPr>
            </w:pPr>
            <w:r>
              <w:rPr>
                <w:rFonts w:hint="eastAsia" w:ascii="宋体"/>
                <w:color w:val="auto"/>
                <w:u w:val="none"/>
                <w:shd w:val="clear" w:color="auto" w:fill="auto"/>
              </w:rPr>
              <w:t>⑥</w:t>
            </w:r>
            <w:r>
              <w:rPr>
                <w:rFonts w:hint="eastAsia"/>
                <w:color w:val="auto"/>
                <w:u w:val="none"/>
                <w:shd w:val="clear" w:color="auto" w:fill="auto"/>
              </w:rPr>
              <w:t>通风机及其通风管道是产生空气动力性噪音的重要部位，管道各部位采用隔声阻尼包扎处理。</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80" w:firstLineChars="200"/>
              <w:jc w:val="both"/>
              <w:textAlignment w:val="auto"/>
              <w:outlineLvl w:val="9"/>
              <w:rPr>
                <w:rFonts w:hint="eastAsia" w:cs="Times New Roman"/>
                <w:color w:val="auto"/>
                <w:spacing w:val="6"/>
                <w:sz w:val="24"/>
                <w:szCs w:val="24"/>
                <w:u w:val="none"/>
                <w:shd w:val="clear" w:color="auto" w:fill="auto"/>
              </w:rPr>
            </w:pPr>
            <w:r>
              <w:rPr>
                <w:rFonts w:hint="eastAsia"/>
                <w:color w:val="auto"/>
                <w:kern w:val="0"/>
                <w:sz w:val="24"/>
                <w:szCs w:val="24"/>
                <w:u w:val="none"/>
                <w:shd w:val="clear" w:color="auto" w:fill="auto"/>
              </w:rPr>
              <w:t>根据</w:t>
            </w:r>
            <w:r>
              <w:rPr>
                <w:color w:val="auto"/>
                <w:kern w:val="0"/>
                <w:sz w:val="24"/>
                <w:szCs w:val="24"/>
                <w:u w:val="none"/>
                <w:shd w:val="clear" w:color="auto" w:fill="auto"/>
              </w:rPr>
              <w:t>《建筑隔声与吸声构造》</w:t>
            </w:r>
            <w:r>
              <w:rPr>
                <w:rFonts w:hint="eastAsia"/>
                <w:color w:val="auto"/>
                <w:kern w:val="0"/>
                <w:sz w:val="24"/>
                <w:szCs w:val="24"/>
                <w:u w:val="none"/>
                <w:shd w:val="clear" w:color="auto" w:fill="auto"/>
              </w:rPr>
              <w:t>，以及类比采取相似隔声设计的KTV酒吧等，项目在采取以上隔声、吸音设计后可</w:t>
            </w:r>
            <w:r>
              <w:rPr>
                <w:color w:val="auto"/>
                <w:kern w:val="0"/>
                <w:sz w:val="24"/>
                <w:szCs w:val="24"/>
                <w:u w:val="none"/>
                <w:shd w:val="clear" w:color="auto" w:fill="auto"/>
              </w:rPr>
              <w:t>降噪</w:t>
            </w:r>
            <w:r>
              <w:rPr>
                <w:rFonts w:hint="eastAsia"/>
                <w:color w:val="auto"/>
                <w:kern w:val="0"/>
                <w:sz w:val="24"/>
                <w:szCs w:val="24"/>
                <w:u w:val="none"/>
                <w:shd w:val="clear" w:color="auto" w:fill="auto"/>
              </w:rPr>
              <w:t>50</w:t>
            </w:r>
            <w:r>
              <w:rPr>
                <w:color w:val="auto"/>
                <w:kern w:val="0"/>
                <w:sz w:val="24"/>
                <w:szCs w:val="24"/>
                <w:u w:val="none"/>
                <w:shd w:val="clear" w:color="auto" w:fill="auto"/>
              </w:rPr>
              <w:t>dB(A)，振动级的衰减量可达</w:t>
            </w:r>
            <w:r>
              <w:rPr>
                <w:rFonts w:hint="eastAsia"/>
                <w:color w:val="auto"/>
                <w:kern w:val="0"/>
                <w:sz w:val="24"/>
                <w:szCs w:val="24"/>
                <w:u w:val="none"/>
                <w:shd w:val="clear" w:color="auto" w:fill="auto"/>
              </w:rPr>
              <w:t>10</w:t>
            </w:r>
            <w:r>
              <w:rPr>
                <w:color w:val="auto"/>
                <w:kern w:val="0"/>
                <w:sz w:val="24"/>
                <w:szCs w:val="24"/>
                <w:u w:val="none"/>
                <w:shd w:val="clear" w:color="auto" w:fill="auto"/>
              </w:rPr>
              <w:t>～</w:t>
            </w:r>
            <w:r>
              <w:rPr>
                <w:rFonts w:hint="eastAsia"/>
                <w:color w:val="auto"/>
                <w:kern w:val="0"/>
                <w:sz w:val="24"/>
                <w:szCs w:val="24"/>
                <w:u w:val="none"/>
                <w:shd w:val="clear" w:color="auto" w:fill="auto"/>
              </w:rPr>
              <w:t>25</w:t>
            </w:r>
            <w:r>
              <w:rPr>
                <w:color w:val="auto"/>
                <w:kern w:val="0"/>
                <w:sz w:val="24"/>
                <w:szCs w:val="24"/>
                <w:u w:val="none"/>
                <w:shd w:val="clear" w:color="auto" w:fill="auto"/>
              </w:rPr>
              <w:t>dB(A)。</w:t>
            </w:r>
            <w:r>
              <w:rPr>
                <w:rFonts w:hint="eastAsia" w:cs="Times New Roman"/>
                <w:color w:val="auto"/>
                <w:spacing w:val="6"/>
                <w:sz w:val="24"/>
                <w:szCs w:val="24"/>
                <w:u w:val="none"/>
                <w:shd w:val="clear" w:color="auto" w:fill="auto"/>
              </w:rPr>
              <w:t>为了进一步减轻项目营运期产生的噪声、振动对周围环境敏感点产生不良影响，本环评建议：</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sz w:val="24"/>
                <w:szCs w:val="24"/>
                <w:u w:val="none"/>
                <w:shd w:val="clear" w:color="auto" w:fill="auto"/>
              </w:rPr>
            </w:pPr>
            <w:r>
              <w:rPr>
                <w:rFonts w:hint="eastAsia" w:ascii="宋体" w:cs="Times New Roman"/>
                <w:color w:val="auto"/>
                <w:spacing w:val="6"/>
                <w:sz w:val="24"/>
                <w:szCs w:val="24"/>
                <w:u w:val="none"/>
                <w:shd w:val="clear" w:color="auto" w:fill="auto"/>
              </w:rPr>
              <w:t>①</w:t>
            </w:r>
            <w:r>
              <w:rPr>
                <w:rFonts w:hint="eastAsia" w:cs="Times New Roman"/>
                <w:color w:val="auto"/>
                <w:spacing w:val="6"/>
                <w:sz w:val="24"/>
                <w:szCs w:val="24"/>
                <w:u w:val="none"/>
                <w:shd w:val="clear" w:color="auto" w:fill="auto"/>
              </w:rPr>
              <w:t>在管理上控制营业时间，严格执行《娱乐场所管理条例》第三章第二十八条：“每日凌晨2时至上午8时，娱乐场所不得营业”的规定，将项目营业时间控制在1</w:t>
            </w:r>
            <w:r>
              <w:rPr>
                <w:rFonts w:hint="eastAsia" w:cs="Times New Roman"/>
                <w:color w:val="auto"/>
                <w:spacing w:val="6"/>
                <w:sz w:val="24"/>
                <w:szCs w:val="24"/>
                <w:u w:val="none"/>
                <w:shd w:val="clear" w:color="auto" w:fill="auto"/>
                <w:lang w:val="en-US" w:eastAsia="zh-CN"/>
              </w:rPr>
              <w:t>3</w:t>
            </w:r>
            <w:r>
              <w:rPr>
                <w:rFonts w:hint="eastAsia" w:cs="Times New Roman"/>
                <w:color w:val="auto"/>
                <w:spacing w:val="6"/>
                <w:sz w:val="24"/>
                <w:szCs w:val="24"/>
                <w:u w:val="none"/>
                <w:shd w:val="clear" w:color="auto" w:fill="auto"/>
              </w:rPr>
              <w:t>:00~02:00。</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sz w:val="24"/>
                <w:szCs w:val="24"/>
                <w:u w:val="none"/>
                <w:shd w:val="clear" w:color="auto" w:fill="auto"/>
              </w:rPr>
            </w:pPr>
            <w:r>
              <w:rPr>
                <w:rFonts w:hint="eastAsia" w:ascii="宋体" w:cs="Times New Roman"/>
                <w:color w:val="auto"/>
                <w:spacing w:val="6"/>
                <w:sz w:val="24"/>
                <w:szCs w:val="24"/>
                <w:u w:val="none"/>
                <w:shd w:val="clear" w:color="auto" w:fill="auto"/>
              </w:rPr>
              <w:t>②</w:t>
            </w:r>
            <w:r>
              <w:rPr>
                <w:rFonts w:hint="eastAsia" w:cs="Times New Roman"/>
                <w:color w:val="auto"/>
                <w:spacing w:val="6"/>
                <w:sz w:val="24"/>
                <w:szCs w:val="24"/>
                <w:u w:val="none"/>
                <w:shd w:val="clear" w:color="auto" w:fill="auto"/>
              </w:rPr>
              <w:t>禁止使用低音炮设备。</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sz w:val="24"/>
                <w:szCs w:val="24"/>
                <w:u w:val="none"/>
                <w:shd w:val="clear" w:color="auto" w:fill="auto"/>
              </w:rPr>
            </w:pPr>
            <w:r>
              <w:rPr>
                <w:rFonts w:hint="eastAsia" w:ascii="宋体" w:cs="Times New Roman"/>
                <w:color w:val="auto"/>
                <w:spacing w:val="6"/>
                <w:sz w:val="24"/>
                <w:szCs w:val="24"/>
                <w:u w:val="none"/>
                <w:shd w:val="clear" w:color="auto" w:fill="auto"/>
              </w:rPr>
              <w:t>③</w:t>
            </w:r>
            <w:r>
              <w:rPr>
                <w:rFonts w:hint="eastAsia" w:cs="Times New Roman"/>
                <w:color w:val="auto"/>
                <w:spacing w:val="6"/>
                <w:sz w:val="24"/>
                <w:szCs w:val="24"/>
                <w:u w:val="none"/>
                <w:shd w:val="clear" w:color="auto" w:fill="auto"/>
              </w:rPr>
              <w:t>业主在营业时应积极搞好与</w:t>
            </w:r>
            <w:r>
              <w:rPr>
                <w:rFonts w:hint="eastAsia" w:cs="Times New Roman"/>
                <w:color w:val="auto"/>
                <w:spacing w:val="6"/>
                <w:sz w:val="24"/>
                <w:szCs w:val="24"/>
                <w:u w:val="none"/>
                <w:shd w:val="clear" w:color="auto" w:fill="auto"/>
                <w:lang w:eastAsia="zh-CN"/>
              </w:rPr>
              <w:t>东侧相邻</w:t>
            </w:r>
            <w:r>
              <w:rPr>
                <w:rFonts w:hint="eastAsia" w:cs="Times New Roman"/>
                <w:color w:val="auto"/>
                <w:spacing w:val="6"/>
                <w:sz w:val="24"/>
                <w:szCs w:val="24"/>
                <w:u w:val="none"/>
                <w:shd w:val="clear" w:color="auto" w:fill="auto"/>
              </w:rPr>
              <w:t>其他经营业主的关系，避免发生环境纠纷事件。</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04" w:firstLineChars="200"/>
              <w:jc w:val="both"/>
              <w:textAlignment w:val="auto"/>
              <w:outlineLvl w:val="9"/>
              <w:rPr>
                <w:rFonts w:hint="eastAsia" w:cs="Times New Roman"/>
                <w:color w:val="auto"/>
                <w:spacing w:val="6"/>
                <w:sz w:val="24"/>
                <w:szCs w:val="24"/>
                <w:u w:val="none"/>
                <w:shd w:val="clear" w:color="auto" w:fill="auto"/>
              </w:rPr>
            </w:pPr>
            <w:r>
              <w:rPr>
                <w:rFonts w:hint="eastAsia" w:ascii="宋体" w:cs="Times New Roman"/>
                <w:color w:val="auto"/>
                <w:spacing w:val="6"/>
                <w:sz w:val="24"/>
                <w:szCs w:val="24"/>
                <w:u w:val="none"/>
                <w:shd w:val="clear" w:color="auto" w:fill="auto"/>
              </w:rPr>
              <w:t>④</w:t>
            </w:r>
            <w:r>
              <w:rPr>
                <w:rFonts w:hint="eastAsia" w:cs="Times New Roman"/>
                <w:color w:val="auto"/>
                <w:spacing w:val="6"/>
                <w:sz w:val="24"/>
                <w:szCs w:val="24"/>
                <w:u w:val="none"/>
                <w:shd w:val="clear" w:color="auto" w:fill="auto"/>
              </w:rPr>
              <w:t>建立健全相应的管理制度，加强环保教育，提高员工防噪、防振意识。</w:t>
            </w:r>
          </w:p>
          <w:p>
            <w:pPr>
              <w:pStyle w:val="25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color w:val="auto"/>
                <w:sz w:val="24"/>
                <w:szCs w:val="24"/>
                <w:u w:val="none"/>
                <w:shd w:val="clear" w:color="auto" w:fill="auto"/>
              </w:rPr>
            </w:pPr>
            <w:r>
              <w:rPr>
                <w:rFonts w:hint="eastAsia" w:ascii="宋体"/>
                <w:color w:val="auto"/>
                <w:sz w:val="24"/>
                <w:szCs w:val="24"/>
                <w:u w:val="none"/>
                <w:shd w:val="clear" w:color="auto" w:fill="auto"/>
              </w:rPr>
              <w:t>⑤</w:t>
            </w:r>
            <w:r>
              <w:rPr>
                <w:color w:val="auto"/>
                <w:sz w:val="24"/>
                <w:szCs w:val="24"/>
                <w:u w:val="none"/>
                <w:shd w:val="clear" w:color="auto" w:fill="auto"/>
              </w:rPr>
              <w:t>定期对接触噪声的</w:t>
            </w:r>
            <w:r>
              <w:rPr>
                <w:rFonts w:hint="eastAsia" w:asciiTheme="minorEastAsia" w:hAnsiTheme="minorEastAsia" w:eastAsiaTheme="minorEastAsia"/>
                <w:color w:val="auto"/>
                <w:kern w:val="0"/>
                <w:sz w:val="24"/>
              </w:rPr>
              <w:t>演播厅</w:t>
            </w:r>
            <w:r>
              <w:rPr>
                <w:rFonts w:hint="eastAsia" w:asciiTheme="minorEastAsia" w:hAnsiTheme="minorEastAsia" w:eastAsiaTheme="minorEastAsia"/>
                <w:color w:val="auto"/>
                <w:kern w:val="0"/>
                <w:sz w:val="24"/>
                <w:lang w:eastAsia="zh-CN"/>
              </w:rPr>
              <w:t>内</w:t>
            </w:r>
            <w:r>
              <w:rPr>
                <w:color w:val="auto"/>
                <w:sz w:val="24"/>
                <w:szCs w:val="24"/>
                <w:u w:val="none"/>
                <w:shd w:val="clear" w:color="auto" w:fill="auto"/>
              </w:rPr>
              <w:t>职员进行健康检查，特别是听力的检查，发现听力损伤应及时采取有效的防护措施。进行就业前体检，取得听力的基础资料，对患有明显听觉器官、心血管及神经系统器质性疾病者，应禁止其在强噪声环境下工作</w:t>
            </w:r>
            <w:r>
              <w:rPr>
                <w:rFonts w:hint="eastAsia"/>
                <w:color w:val="auto"/>
                <w:sz w:val="24"/>
                <w:szCs w:val="24"/>
                <w:u w:val="none"/>
                <w:shd w:val="clear" w:color="auto" w:fill="auto"/>
              </w:rPr>
              <w:t>。</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80" w:firstLineChars="200"/>
              <w:jc w:val="both"/>
              <w:textAlignment w:val="auto"/>
              <w:outlineLvl w:val="9"/>
              <w:rPr>
                <w:rFonts w:hint="eastAsia" w:cs="Times New Roman"/>
                <w:color w:val="auto"/>
                <w:spacing w:val="6"/>
                <w:sz w:val="24"/>
                <w:szCs w:val="24"/>
                <w:u w:val="none"/>
                <w:shd w:val="clear" w:color="auto" w:fill="auto"/>
              </w:rPr>
            </w:pPr>
            <w:r>
              <w:rPr>
                <w:rFonts w:hint="eastAsia"/>
                <w:color w:val="auto"/>
                <w:kern w:val="0"/>
                <w:sz w:val="24"/>
                <w:szCs w:val="24"/>
                <w:u w:val="none"/>
                <w:shd w:val="clear" w:color="auto" w:fill="auto"/>
                <w:lang w:eastAsia="zh-CN"/>
              </w:rPr>
              <w:t>通过采取上述措施后，酒店</w:t>
            </w:r>
            <w:r>
              <w:rPr>
                <w:rFonts w:hint="eastAsia" w:asciiTheme="minorEastAsia" w:hAnsiTheme="minorEastAsia" w:eastAsiaTheme="minorEastAsia"/>
                <w:color w:val="auto"/>
                <w:kern w:val="0"/>
                <w:sz w:val="24"/>
              </w:rPr>
              <w:t>演播厅</w:t>
            </w:r>
            <w:r>
              <w:rPr>
                <w:rFonts w:hint="eastAsia"/>
                <w:color w:val="auto"/>
                <w:kern w:val="0"/>
                <w:sz w:val="24"/>
                <w:szCs w:val="24"/>
                <w:u w:val="none"/>
                <w:shd w:val="clear" w:color="auto" w:fill="auto"/>
                <w:lang w:val="en-US" w:eastAsia="zh-CN"/>
              </w:rPr>
              <w:t>产生的社会噪声可得到有效控制，</w:t>
            </w:r>
            <w:r>
              <w:rPr>
                <w:rFonts w:hint="eastAsia"/>
                <w:color w:val="auto"/>
                <w:sz w:val="24"/>
                <w:szCs w:val="24"/>
                <w:u w:val="none"/>
                <w:shd w:val="clear" w:color="auto" w:fill="auto"/>
              </w:rPr>
              <w:t>项目营运期噪声对周边环境影响小</w:t>
            </w:r>
            <w:r>
              <w:rPr>
                <w:rFonts w:hint="eastAsia" w:cs="Times New Roman"/>
                <w:color w:val="auto"/>
                <w:spacing w:val="6"/>
                <w:sz w:val="24"/>
                <w:szCs w:val="24"/>
                <w:u w:val="none"/>
                <w:shd w:val="clear" w:color="auto" w:fill="auto"/>
              </w:rPr>
              <w:t>。</w:t>
            </w:r>
          </w:p>
          <w:p>
            <w:pPr>
              <w:keepNext w:val="0"/>
              <w:keepLines w:val="0"/>
              <w:pageBreakBefore w:val="0"/>
              <w:widowControl w:val="0"/>
              <w:kinsoku/>
              <w:wordWrap/>
              <w:overflowPunct/>
              <w:topLinePunct w:val="0"/>
              <w:autoSpaceDE/>
              <w:autoSpaceDN/>
              <w:bidi w:val="0"/>
              <w:snapToGrid w:val="0"/>
              <w:spacing w:line="360" w:lineRule="auto"/>
              <w:ind w:left="0" w:leftChars="0" w:right="0" w:rightChars="0" w:firstLine="480" w:firstLineChars="200"/>
              <w:jc w:val="both"/>
              <w:textAlignment w:val="auto"/>
              <w:outlineLvl w:val="9"/>
              <w:rPr>
                <w:rFonts w:hint="eastAsia" w:cs="Times New Roman"/>
                <w:color w:val="auto"/>
                <w:spacing w:val="6"/>
                <w:sz w:val="24"/>
                <w:szCs w:val="24"/>
                <w:u w:val="none"/>
                <w:shd w:val="clear" w:color="auto" w:fill="auto"/>
              </w:rPr>
            </w:pPr>
            <w:r>
              <w:rPr>
                <w:rFonts w:hint="eastAsia" w:ascii="宋体" w:hAnsi="宋体"/>
                <w:sz w:val="24"/>
                <w:lang w:eastAsia="zh-CN"/>
              </w:rPr>
              <w:t>环评单位建议关于</w:t>
            </w:r>
            <w:r>
              <w:rPr>
                <w:rFonts w:hint="eastAsia" w:ascii="宋体" w:hAnsi="宋体"/>
                <w:sz w:val="24"/>
              </w:rPr>
              <w:t>噪声防治方案及其施工应委托有资质单位进行</w:t>
            </w:r>
            <w:r>
              <w:rPr>
                <w:rFonts w:hint="eastAsia" w:ascii="宋体" w:hAnsi="宋体"/>
                <w:sz w:val="24"/>
                <w:lang w:eastAsia="zh-CN"/>
              </w:rPr>
              <w:t>。</w:t>
            </w:r>
          </w:p>
          <w:p>
            <w:pPr>
              <w:spacing w:line="360" w:lineRule="auto"/>
              <w:ind w:firstLine="470" w:firstLineChars="196"/>
              <w:rPr>
                <w:rFonts w:ascii="宋体" w:hAnsi="宋体"/>
                <w:sz w:val="24"/>
              </w:rPr>
            </w:pPr>
            <w:r>
              <w:rPr>
                <w:rFonts w:hint="eastAsia" w:ascii="宋体" w:hAnsi="宋体"/>
                <w:sz w:val="24"/>
              </w:rPr>
              <w:t>3、</w:t>
            </w:r>
            <w:r>
              <w:rPr>
                <w:rFonts w:ascii="宋体" w:hAnsi="宋体"/>
                <w:sz w:val="24"/>
              </w:rPr>
              <w:t>交通噪声影响</w:t>
            </w:r>
          </w:p>
          <w:p>
            <w:pPr>
              <w:spacing w:line="360" w:lineRule="auto"/>
              <w:ind w:firstLine="470" w:firstLineChars="196"/>
              <w:rPr>
                <w:rFonts w:ascii="宋体" w:hAnsi="宋体"/>
                <w:sz w:val="24"/>
              </w:rPr>
            </w:pPr>
            <w:r>
              <w:rPr>
                <w:rFonts w:ascii="宋体" w:hAnsi="宋体"/>
                <w:sz w:val="24"/>
              </w:rPr>
              <w:t>交通噪声主要为汽车进入停车场的汽车交通噪声。噪声级一般在60～65dB(A)之间，噪声为间断性噪声，不会产生明显的影响。评价要求采取一定措施使周围环境受到的噪声影响降低到最低程度：地下车库进口设置隔声罩，加强车辆进出管理，限速，禁止鸣笛等措施。</w:t>
            </w:r>
          </w:p>
          <w:p>
            <w:pPr>
              <w:pStyle w:val="248"/>
              <w:spacing w:after="63" w:line="440" w:lineRule="exact"/>
              <w:ind w:firstLine="482"/>
              <w:rPr>
                <w:bCs/>
                <w:color w:val="000000"/>
              </w:rPr>
            </w:pPr>
            <w:r>
              <w:rPr>
                <w:rFonts w:hint="eastAsia"/>
                <w:bCs/>
                <w:color w:val="000000"/>
              </w:rPr>
              <w:t>（</w:t>
            </w:r>
            <w:r>
              <w:rPr>
                <w:rFonts w:hint="eastAsia"/>
                <w:bCs/>
                <w:color w:val="000000"/>
                <w:lang w:eastAsia="zh-CN"/>
              </w:rPr>
              <w:t>五</w:t>
            </w:r>
            <w:r>
              <w:rPr>
                <w:rFonts w:hint="eastAsia"/>
                <w:bCs/>
                <w:color w:val="000000"/>
              </w:rPr>
              <w:t>）清洁生产</w:t>
            </w:r>
          </w:p>
          <w:p>
            <w:pPr>
              <w:spacing w:line="360" w:lineRule="auto"/>
              <w:ind w:firstLine="480" w:firstLineChars="200"/>
              <w:rPr>
                <w:rFonts w:ascii="宋体" w:hAnsi="宋体"/>
                <w:color w:val="000000" w:themeColor="text1"/>
                <w:sz w:val="24"/>
              </w:rPr>
            </w:pPr>
            <w:r>
              <w:rPr>
                <w:rFonts w:hint="eastAsia" w:ascii="宋体" w:hAnsi="宋体"/>
                <w:color w:val="000000"/>
                <w:sz w:val="24"/>
              </w:rPr>
              <w:t>清洁生产的目的在于通过不断采取改进设计、使用清洁能源和原料、采用先进的工艺技术与设备、改善管理、综合利用等措施，从源头削减污染，提高资源利用效率，减少或者避免生产、服务和产品使用过程中污染物的产生和排放，以减轻或消除对人类健康和环境的危害，实现生产过程资源、能源最优化和企业经济效益最大化。本项目清洁生产水平与</w:t>
            </w:r>
            <w:r>
              <w:rPr>
                <w:rFonts w:ascii="宋体" w:hAnsi="宋体"/>
                <w:color w:val="000000"/>
                <w:sz w:val="24"/>
              </w:rPr>
              <w:t>HJ514-2009</w:t>
            </w:r>
            <w:r>
              <w:rPr>
                <w:rFonts w:hint="eastAsia" w:ascii="宋体" w:hAnsi="宋体"/>
                <w:color w:val="000000"/>
                <w:sz w:val="24"/>
              </w:rPr>
              <w:t>《清洁生产标准宾馆酒店业》对照</w:t>
            </w:r>
            <w:r>
              <w:rPr>
                <w:rFonts w:hint="eastAsia" w:ascii="宋体" w:hAnsi="宋体"/>
                <w:color w:val="000000" w:themeColor="text1"/>
                <w:sz w:val="24"/>
              </w:rPr>
              <w:t>见表2</w:t>
            </w:r>
            <w:r>
              <w:rPr>
                <w:rFonts w:hint="eastAsia" w:ascii="宋体" w:hAnsi="宋体"/>
                <w:color w:val="000000" w:themeColor="text1"/>
                <w:sz w:val="24"/>
                <w:lang w:val="en-US" w:eastAsia="zh-CN"/>
              </w:rPr>
              <w:t>2</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表2</w:t>
            </w:r>
            <w:r>
              <w:rPr>
                <w:rFonts w:hint="eastAsia" w:ascii="宋体" w:hAnsi="宋体"/>
                <w:color w:val="000000" w:themeColor="text1"/>
                <w:sz w:val="24"/>
                <w:lang w:val="en-US" w:eastAsia="zh-CN"/>
              </w:rPr>
              <w:t>2</w:t>
            </w:r>
            <w:r>
              <w:rPr>
                <w:rFonts w:ascii="宋体" w:hAnsi="宋体"/>
                <w:color w:val="000000" w:themeColor="text1"/>
                <w:sz w:val="24"/>
              </w:rPr>
              <w:t xml:space="preserve">    </w:t>
            </w:r>
            <w:r>
              <w:rPr>
                <w:rFonts w:hint="eastAsia" w:ascii="宋体" w:hAnsi="宋体"/>
                <w:color w:val="000000" w:themeColor="text1"/>
                <w:sz w:val="24"/>
              </w:rPr>
              <w:t>本项目清洁生产水平与</w:t>
            </w:r>
            <w:r>
              <w:rPr>
                <w:rFonts w:ascii="宋体" w:hAnsi="宋体"/>
                <w:color w:val="000000" w:themeColor="text1"/>
                <w:sz w:val="24"/>
              </w:rPr>
              <w:t>HJ514-2009</w:t>
            </w:r>
            <w:r>
              <w:rPr>
                <w:rFonts w:hint="eastAsia" w:ascii="宋体" w:hAnsi="宋体"/>
                <w:color w:val="000000" w:themeColor="text1"/>
                <w:sz w:val="24"/>
              </w:rPr>
              <w:t>《清洁生产标准宾馆酒店业》照表</w:t>
            </w:r>
          </w:p>
          <w:tbl>
            <w:tblPr>
              <w:tblStyle w:val="42"/>
              <w:tblW w:w="9088"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9"/>
              <w:gridCol w:w="1793"/>
              <w:gridCol w:w="1310"/>
              <w:gridCol w:w="2303"/>
              <w:gridCol w:w="2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tcBorders>
                    <w:top w:val="single" w:color="auto" w:sz="4" w:space="0"/>
                    <w:left w:val="single" w:color="auto" w:sz="4" w:space="0"/>
                    <w:bottom w:val="single" w:color="auto" w:sz="4" w:space="0"/>
                    <w:right w:val="single" w:color="auto" w:sz="4" w:space="0"/>
                  </w:tcBorders>
                </w:tcPr>
                <w:p>
                  <w:pPr>
                    <w:snapToGrid w:val="0"/>
                    <w:ind w:firstLine="105" w:firstLineChars="50"/>
                    <w:rPr>
                      <w:rFonts w:ascii="宋体" w:hAnsi="宋体"/>
                      <w:color w:val="000000" w:themeColor="text1"/>
                      <w:szCs w:val="21"/>
                    </w:rPr>
                  </w:pPr>
                  <w:r>
                    <w:rPr>
                      <w:rFonts w:hint="eastAsia" w:ascii="宋体" w:hAnsi="宋体"/>
                      <w:color w:val="000000" w:themeColor="text1"/>
                      <w:szCs w:val="21"/>
                    </w:rPr>
                    <w:t>清洁生产</w:t>
                  </w:r>
                </w:p>
                <w:p>
                  <w:pPr>
                    <w:snapToGrid w:val="0"/>
                    <w:ind w:firstLine="105" w:firstLineChars="50"/>
                    <w:rPr>
                      <w:rFonts w:ascii="宋体" w:hAnsi="宋体"/>
                      <w:color w:val="000000" w:themeColor="text1"/>
                      <w:szCs w:val="21"/>
                    </w:rPr>
                  </w:pPr>
                  <w:r>
                    <w:rPr>
                      <w:rFonts w:hint="eastAsia" w:ascii="宋体" w:hAnsi="宋体"/>
                      <w:color w:val="000000" w:themeColor="text1"/>
                      <w:szCs w:val="21"/>
                    </w:rPr>
                    <w:t>指标等级</w:t>
                  </w:r>
                </w:p>
              </w:tc>
              <w:tc>
                <w:tcPr>
                  <w:tcW w:w="1812" w:type="dxa"/>
                  <w:gridSpan w:val="2"/>
                  <w:tcBorders>
                    <w:top w:val="single" w:color="auto" w:sz="4" w:space="0"/>
                    <w:left w:val="single" w:color="auto" w:sz="4" w:space="0"/>
                    <w:bottom w:val="single" w:color="auto" w:sz="4" w:space="0"/>
                    <w:right w:val="single" w:color="auto" w:sz="4" w:space="0"/>
                  </w:tcBorders>
                  <w:vAlign w:val="center"/>
                </w:tcPr>
                <w:p>
                  <w:pPr>
                    <w:snapToGrid w:val="0"/>
                    <w:ind w:firstLine="525" w:firstLineChars="250"/>
                    <w:jc w:val="center"/>
                    <w:rPr>
                      <w:rFonts w:ascii="宋体" w:hAnsi="宋体"/>
                      <w:color w:val="000000" w:themeColor="text1"/>
                      <w:szCs w:val="21"/>
                    </w:rPr>
                  </w:pPr>
                  <w:r>
                    <w:rPr>
                      <w:rFonts w:hint="eastAsia" w:ascii="宋体" w:hAnsi="宋体"/>
                      <w:color w:val="000000" w:themeColor="text1"/>
                      <w:szCs w:val="21"/>
                    </w:rPr>
                    <w:t>一级</w:t>
                  </w:r>
                </w:p>
              </w:tc>
              <w:tc>
                <w:tcPr>
                  <w:tcW w:w="1310" w:type="dxa"/>
                  <w:tcBorders>
                    <w:top w:val="single" w:color="auto" w:sz="4" w:space="0"/>
                    <w:left w:val="single" w:color="auto" w:sz="4" w:space="0"/>
                    <w:bottom w:val="single" w:color="auto" w:sz="4" w:space="0"/>
                    <w:right w:val="single" w:color="auto" w:sz="4" w:space="0"/>
                  </w:tcBorders>
                  <w:vAlign w:val="center"/>
                </w:tcPr>
                <w:p>
                  <w:pPr>
                    <w:snapToGrid w:val="0"/>
                    <w:ind w:firstLine="315" w:firstLineChars="150"/>
                    <w:jc w:val="center"/>
                    <w:rPr>
                      <w:rFonts w:ascii="宋体" w:hAnsi="宋体"/>
                      <w:color w:val="000000" w:themeColor="text1"/>
                      <w:szCs w:val="21"/>
                    </w:rPr>
                  </w:pPr>
                  <w:r>
                    <w:rPr>
                      <w:rFonts w:hint="eastAsia" w:ascii="宋体" w:hAnsi="宋体"/>
                      <w:color w:val="000000" w:themeColor="text1"/>
                      <w:szCs w:val="21"/>
                    </w:rPr>
                    <w:t>二级</w:t>
                  </w:r>
                </w:p>
              </w:tc>
              <w:tc>
                <w:tcPr>
                  <w:tcW w:w="2303" w:type="dxa"/>
                  <w:tcBorders>
                    <w:top w:val="single" w:color="auto" w:sz="4" w:space="0"/>
                    <w:left w:val="single" w:color="auto" w:sz="4" w:space="0"/>
                    <w:bottom w:val="single" w:color="auto" w:sz="4" w:space="0"/>
                    <w:right w:val="single" w:color="auto" w:sz="4" w:space="0"/>
                  </w:tcBorders>
                  <w:vAlign w:val="center"/>
                </w:tcPr>
                <w:p>
                  <w:pPr>
                    <w:snapToGrid w:val="0"/>
                    <w:ind w:firstLine="840" w:firstLineChars="400"/>
                    <w:jc w:val="center"/>
                    <w:rPr>
                      <w:rFonts w:ascii="宋体" w:hAnsi="宋体"/>
                      <w:color w:val="000000" w:themeColor="text1"/>
                      <w:szCs w:val="21"/>
                    </w:rPr>
                  </w:pPr>
                  <w:r>
                    <w:rPr>
                      <w:rFonts w:hint="eastAsia" w:ascii="宋体" w:hAnsi="宋体"/>
                      <w:color w:val="000000" w:themeColor="text1"/>
                      <w:szCs w:val="21"/>
                    </w:rPr>
                    <w:t>三级</w:t>
                  </w:r>
                </w:p>
              </w:tc>
              <w:tc>
                <w:tcPr>
                  <w:tcW w:w="2248" w:type="dxa"/>
                  <w:tcBorders>
                    <w:top w:val="single" w:color="auto" w:sz="4" w:space="0"/>
                    <w:left w:val="single" w:color="auto" w:sz="4" w:space="0"/>
                    <w:bottom w:val="single" w:color="auto" w:sz="4" w:space="0"/>
                    <w:right w:val="single" w:color="auto" w:sz="4" w:space="0"/>
                  </w:tcBorders>
                  <w:vAlign w:val="center"/>
                </w:tcPr>
                <w:p>
                  <w:pPr>
                    <w:snapToGrid w:val="0"/>
                    <w:ind w:firstLine="735" w:firstLineChars="350"/>
                    <w:jc w:val="center"/>
                    <w:rPr>
                      <w:rFonts w:ascii="宋体" w:hAnsi="宋体"/>
                      <w:color w:val="000000" w:themeColor="text1"/>
                      <w:szCs w:val="21"/>
                    </w:rPr>
                  </w:pPr>
                  <w:r>
                    <w:rPr>
                      <w:rFonts w:hint="eastAsia" w:ascii="宋体" w:hAnsi="宋体"/>
                      <w:color w:val="000000" w:themeColor="text1"/>
                      <w:szCs w:val="21"/>
                    </w:rPr>
                    <w:t>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9088" w:type="dxa"/>
                  <w:gridSpan w:val="6"/>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1、装备要求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t>⑴空气调节与采暖系统</w:t>
                  </w:r>
                </w:p>
              </w:tc>
              <w:tc>
                <w:tcPr>
                  <w:tcW w:w="3122" w:type="dxa"/>
                  <w:gridSpan w:val="3"/>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风机、水泵、电动机选用高效节能型；变工况风机、水泵采用变频调速控制装置。</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风机、水泵、电动机选</w:t>
                  </w:r>
                </w:p>
                <w:p>
                  <w:pPr>
                    <w:snapToGrid w:val="0"/>
                    <w:rPr>
                      <w:rFonts w:ascii="宋体" w:hAnsi="宋体"/>
                      <w:color w:val="000000"/>
                      <w:szCs w:val="21"/>
                    </w:rPr>
                  </w:pPr>
                  <w:r>
                    <w:rPr>
                      <w:rFonts w:hint="eastAsia" w:ascii="宋体" w:hAnsi="宋体"/>
                      <w:color w:val="000000"/>
                      <w:szCs w:val="21"/>
                    </w:rPr>
                    <w:t>用高效节能型</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本项目风机、水泵、电动机均选用高效节能型</w:t>
                  </w:r>
                </w:p>
                <w:p>
                  <w:pPr>
                    <w:snapToGrid w:val="0"/>
                    <w:ind w:firstLine="420" w:firstLineChars="200"/>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t>⑵供配电系统</w:t>
                  </w:r>
                </w:p>
                <w:p>
                  <w:pPr>
                    <w:snapToGrid w:val="0"/>
                    <w:ind w:firstLine="480"/>
                    <w:jc w:val="center"/>
                    <w:rPr>
                      <w:rFonts w:ascii="宋体" w:hAnsi="宋体"/>
                      <w:color w:val="000000"/>
                      <w:szCs w:val="21"/>
                    </w:rPr>
                  </w:pPr>
                </w:p>
              </w:tc>
              <w:tc>
                <w:tcPr>
                  <w:tcW w:w="5425" w:type="dxa"/>
                  <w:gridSpan w:val="4"/>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变压器应选用高效低耗型</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变压器应选用高效低耗型</w:t>
                  </w:r>
                </w:p>
                <w:p>
                  <w:pPr>
                    <w:snapToGrid w:val="0"/>
                    <w:ind w:firstLine="420" w:firstLineChars="200"/>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szCs w:val="21"/>
                    </w:rPr>
                  </w:pPr>
                </w:p>
              </w:tc>
              <w:tc>
                <w:tcPr>
                  <w:tcW w:w="3122" w:type="dxa"/>
                  <w:gridSpan w:val="3"/>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合理装置无功率补偿设备，功率因数控制在</w:t>
                  </w:r>
                  <w:r>
                    <w:rPr>
                      <w:rFonts w:ascii="宋体" w:hAnsi="宋体"/>
                      <w:color w:val="000000"/>
                      <w:szCs w:val="21"/>
                    </w:rPr>
                    <w:t>0.95</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合理装置无功率补偿设备，</w:t>
                  </w:r>
                </w:p>
                <w:p>
                  <w:pPr>
                    <w:snapToGrid w:val="0"/>
                    <w:rPr>
                      <w:rFonts w:ascii="宋体" w:hAnsi="宋体"/>
                      <w:color w:val="000000"/>
                      <w:szCs w:val="21"/>
                    </w:rPr>
                  </w:pPr>
                  <w:r>
                    <w:rPr>
                      <w:rFonts w:hint="eastAsia" w:ascii="宋体" w:hAnsi="宋体"/>
                      <w:color w:val="000000"/>
                      <w:szCs w:val="21"/>
                    </w:rPr>
                    <w:t>功率因数控制在</w:t>
                  </w:r>
                  <w:r>
                    <w:rPr>
                      <w:rFonts w:ascii="宋体" w:hAnsi="宋体"/>
                      <w:color w:val="000000"/>
                      <w:szCs w:val="21"/>
                    </w:rPr>
                    <w:t>0.9</w:t>
                  </w:r>
                  <w:r>
                    <w:rPr>
                      <w:rFonts w:hint="eastAsia" w:ascii="宋体" w:hAnsi="宋体"/>
                      <w:color w:val="000000"/>
                      <w:szCs w:val="21"/>
                    </w:rPr>
                    <w:t>以上</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合理装置无功率补偿设备，功率因数控制在</w:t>
                  </w:r>
                  <w:r>
                    <w:rPr>
                      <w:rFonts w:ascii="宋体" w:hAnsi="宋体"/>
                      <w:color w:val="000000"/>
                      <w:szCs w:val="21"/>
                    </w:rPr>
                    <w:t>0.9</w:t>
                  </w:r>
                  <w:r>
                    <w:rPr>
                      <w:rFonts w:hint="eastAsia" w:ascii="宋体" w:hAnsi="宋体"/>
                      <w:color w:val="000000"/>
                      <w:szCs w:val="21"/>
                    </w:rPr>
                    <w:t>以上</w:t>
                  </w:r>
                </w:p>
                <w:p>
                  <w:pPr>
                    <w:snapToGrid w:val="0"/>
                    <w:ind w:firstLine="420" w:firstLineChars="200"/>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t>⑶照明系统</w:t>
                  </w:r>
                </w:p>
              </w:tc>
              <w:tc>
                <w:tcPr>
                  <w:tcW w:w="3122" w:type="dxa"/>
                  <w:gridSpan w:val="3"/>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办公区不适用非节能灯（包括</w:t>
                  </w:r>
                  <w:r>
                    <w:rPr>
                      <w:rFonts w:ascii="宋体" w:hAnsi="宋体"/>
                      <w:color w:val="000000"/>
                      <w:szCs w:val="21"/>
                    </w:rPr>
                    <w:t>T8</w:t>
                  </w:r>
                  <w:r>
                    <w:rPr>
                      <w:rFonts w:hint="eastAsia" w:ascii="宋体" w:hAnsi="宋体"/>
                      <w:color w:val="000000"/>
                      <w:szCs w:val="21"/>
                    </w:rPr>
                    <w:t>、</w:t>
                  </w:r>
                  <w:r>
                    <w:rPr>
                      <w:rFonts w:ascii="宋体" w:hAnsi="宋体"/>
                      <w:color w:val="000000"/>
                      <w:szCs w:val="21"/>
                    </w:rPr>
                    <w:t>T12</w:t>
                  </w:r>
                  <w:r>
                    <w:rPr>
                      <w:rFonts w:hint="eastAsia" w:ascii="宋体" w:hAnsi="宋体"/>
                      <w:color w:val="000000"/>
                      <w:szCs w:val="21"/>
                    </w:rPr>
                    <w:t>直管型荧光灯和白炽灯）</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办公区不使用非节能灯（包括</w:t>
                  </w:r>
                  <w:r>
                    <w:rPr>
                      <w:rFonts w:ascii="宋体" w:hAnsi="宋体"/>
                      <w:color w:val="000000"/>
                      <w:szCs w:val="21"/>
                    </w:rPr>
                    <w:t>T8</w:t>
                  </w:r>
                  <w:r>
                    <w:rPr>
                      <w:rFonts w:hint="eastAsia" w:ascii="宋体" w:hAnsi="宋体"/>
                      <w:color w:val="000000"/>
                      <w:szCs w:val="21"/>
                    </w:rPr>
                    <w:t>、</w:t>
                  </w:r>
                  <w:r>
                    <w:rPr>
                      <w:rFonts w:ascii="宋体" w:hAnsi="宋体"/>
                      <w:color w:val="000000"/>
                      <w:szCs w:val="21"/>
                    </w:rPr>
                    <w:t>T12</w:t>
                  </w:r>
                  <w:r>
                    <w:rPr>
                      <w:rFonts w:hint="eastAsia" w:ascii="宋体" w:hAnsi="宋体"/>
                      <w:color w:val="000000"/>
                      <w:szCs w:val="21"/>
                    </w:rPr>
                    <w:t>直管型荧光灯和白炽灯）</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办公区使用节能灯（三级）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5425" w:type="dxa"/>
                  <w:gridSpan w:val="4"/>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非调光区节能灯使用率</w:t>
                  </w:r>
                  <w:r>
                    <w:rPr>
                      <w:rFonts w:ascii="宋体" w:hAnsi="宋体"/>
                      <w:color w:val="000000"/>
                      <w:szCs w:val="21"/>
                    </w:rPr>
                    <w:t>100%</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非调光区节能灯使用率达到</w:t>
                  </w:r>
                  <w:r>
                    <w:rPr>
                      <w:rFonts w:ascii="宋体" w:hAnsi="宋体"/>
                      <w:color w:val="000000"/>
                      <w:szCs w:val="21"/>
                    </w:rPr>
                    <w:t>100%</w:t>
                  </w: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5425" w:type="dxa"/>
                  <w:gridSpan w:val="4"/>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照明标准值符合</w:t>
                  </w:r>
                  <w:r>
                    <w:rPr>
                      <w:rFonts w:ascii="宋体" w:hAnsi="宋体"/>
                      <w:color w:val="000000"/>
                      <w:szCs w:val="21"/>
                    </w:rPr>
                    <w:t>GB50034</w:t>
                  </w:r>
                  <w:r>
                    <w:rPr>
                      <w:rFonts w:hint="eastAsia" w:ascii="宋体" w:hAnsi="宋体"/>
                      <w:color w:val="000000"/>
                      <w:szCs w:val="21"/>
                    </w:rPr>
                    <w:t>第</w:t>
                  </w:r>
                  <w:r>
                    <w:rPr>
                      <w:rFonts w:ascii="宋体" w:hAnsi="宋体"/>
                      <w:color w:val="000000"/>
                      <w:szCs w:val="21"/>
                    </w:rPr>
                    <w:t>5.2.5</w:t>
                  </w:r>
                  <w:r>
                    <w:rPr>
                      <w:rFonts w:hint="eastAsia" w:ascii="宋体" w:hAnsi="宋体"/>
                      <w:color w:val="000000"/>
                      <w:szCs w:val="21"/>
                    </w:rPr>
                    <w:t>条规定</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照明标准值符合第</w:t>
                  </w:r>
                  <w:r>
                    <w:rPr>
                      <w:rFonts w:ascii="宋体" w:hAnsi="宋体"/>
                      <w:color w:val="000000"/>
                      <w:szCs w:val="21"/>
                    </w:rPr>
                    <w:t>5.2.5</w:t>
                  </w:r>
                  <w:r>
                    <w:rPr>
                      <w:rFonts w:hint="eastAsia" w:ascii="宋体" w:hAnsi="宋体"/>
                      <w:color w:val="000000"/>
                      <w:szCs w:val="21"/>
                    </w:rPr>
                    <w:t>条规定（三级）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olor w:val="000000"/>
                      <w:szCs w:val="21"/>
                    </w:rPr>
                  </w:pPr>
                </w:p>
              </w:tc>
              <w:tc>
                <w:tcPr>
                  <w:tcW w:w="3122" w:type="dxa"/>
                  <w:gridSpan w:val="3"/>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各房间或场所的照明功率密度值不高于</w:t>
                  </w:r>
                  <w:r>
                    <w:rPr>
                      <w:rFonts w:ascii="宋体" w:hAnsi="宋体"/>
                      <w:color w:val="000000"/>
                      <w:szCs w:val="21"/>
                    </w:rPr>
                    <w:t>GB50034</w:t>
                  </w:r>
                  <w:r>
                    <w:rPr>
                      <w:rFonts w:hint="eastAsia" w:ascii="宋体" w:hAnsi="宋体"/>
                      <w:color w:val="000000"/>
                      <w:szCs w:val="21"/>
                    </w:rPr>
                    <w:t>规定的目标值</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各房间或场所的照明功率密度值不高于</w:t>
                  </w:r>
                  <w:r>
                    <w:rPr>
                      <w:rFonts w:ascii="宋体" w:hAnsi="宋体"/>
                      <w:color w:val="000000"/>
                      <w:szCs w:val="21"/>
                    </w:rPr>
                    <w:t>GB50034</w:t>
                  </w:r>
                  <w:r>
                    <w:rPr>
                      <w:rFonts w:hint="eastAsia" w:ascii="宋体" w:hAnsi="宋体"/>
                      <w:color w:val="000000"/>
                      <w:szCs w:val="21"/>
                    </w:rPr>
                    <w:t>规定的现行值</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各房间或场所的照明功率密度值不高于</w:t>
                  </w:r>
                  <w:r>
                    <w:rPr>
                      <w:rFonts w:ascii="宋体" w:hAnsi="宋体"/>
                      <w:color w:val="000000"/>
                      <w:szCs w:val="21"/>
                    </w:rPr>
                    <w:t>GB50034</w:t>
                  </w:r>
                  <w:r>
                    <w:rPr>
                      <w:rFonts w:hint="eastAsia" w:ascii="宋体" w:hAnsi="宋体"/>
                      <w:color w:val="000000"/>
                      <w:szCs w:val="21"/>
                    </w:rPr>
                    <w:t>规定的现行值</w:t>
                  </w:r>
                </w:p>
                <w:p>
                  <w:pPr>
                    <w:snapToGrid w:val="0"/>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fldChar w:fldCharType="begin"/>
                  </w:r>
                  <w:r>
                    <w:rPr>
                      <w:rFonts w:hint="eastAsia" w:ascii="宋体" w:hAnsi="宋体"/>
                      <w:color w:val="000000"/>
                      <w:szCs w:val="21"/>
                    </w:rPr>
                    <w:instrText xml:space="preserve"> = 4 \* GB2 </w:instrText>
                  </w:r>
                  <w:r>
                    <w:rPr>
                      <w:rFonts w:hint="eastAsia" w:ascii="宋体" w:hAnsi="宋体"/>
                      <w:color w:val="000000"/>
                      <w:szCs w:val="21"/>
                    </w:rPr>
                    <w:fldChar w:fldCharType="separate"/>
                  </w:r>
                  <w:r>
                    <w:rPr>
                      <w:rFonts w:hint="eastAsia" w:ascii="宋体" w:hAnsi="宋体"/>
                      <w:color w:val="000000"/>
                      <w:szCs w:val="21"/>
                    </w:rPr>
                    <w:t>⑷</w:t>
                  </w:r>
                  <w:r>
                    <w:rPr>
                      <w:rFonts w:hint="eastAsia" w:ascii="宋体" w:hAnsi="宋体"/>
                      <w:color w:val="000000"/>
                      <w:szCs w:val="21"/>
                    </w:rPr>
                    <w:fldChar w:fldCharType="end"/>
                  </w:r>
                  <w:r>
                    <w:rPr>
                      <w:rFonts w:hint="eastAsia" w:ascii="宋体" w:hAnsi="宋体"/>
                      <w:color w:val="000000"/>
                      <w:szCs w:val="21"/>
                    </w:rPr>
                    <w:t>给排水系统</w:t>
                  </w:r>
                </w:p>
              </w:tc>
              <w:tc>
                <w:tcPr>
                  <w:tcW w:w="5425" w:type="dxa"/>
                  <w:gridSpan w:val="4"/>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节水器具符合</w:t>
                  </w:r>
                  <w:r>
                    <w:rPr>
                      <w:rFonts w:ascii="宋体" w:hAnsi="宋体"/>
                      <w:color w:val="000000"/>
                      <w:szCs w:val="21"/>
                    </w:rPr>
                    <w:t>CJ164</w:t>
                  </w:r>
                  <w:r>
                    <w:rPr>
                      <w:rFonts w:hint="eastAsia" w:ascii="宋体" w:hAnsi="宋体"/>
                      <w:color w:val="000000"/>
                      <w:szCs w:val="21"/>
                    </w:rPr>
                    <w:t>，安装率达到</w:t>
                  </w:r>
                  <w:r>
                    <w:rPr>
                      <w:rFonts w:ascii="宋体" w:hAnsi="宋体"/>
                      <w:color w:val="000000"/>
                      <w:szCs w:val="21"/>
                    </w:rPr>
                    <w:t>100%</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节水器具符合</w:t>
                  </w:r>
                  <w:r>
                    <w:rPr>
                      <w:rFonts w:ascii="宋体" w:hAnsi="宋体"/>
                      <w:color w:val="000000"/>
                      <w:szCs w:val="21"/>
                    </w:rPr>
                    <w:t>CJ164</w:t>
                  </w:r>
                  <w:r>
                    <w:rPr>
                      <w:rFonts w:hint="eastAsia" w:ascii="宋体" w:hAnsi="宋体"/>
                      <w:color w:val="000000"/>
                      <w:szCs w:val="21"/>
                    </w:rPr>
                    <w:t>，安装率达到</w:t>
                  </w:r>
                  <w:r>
                    <w:rPr>
                      <w:rFonts w:ascii="宋体" w:hAnsi="宋体"/>
                      <w:color w:val="000000"/>
                      <w:szCs w:val="21"/>
                    </w:rPr>
                    <w:t>100%</w:t>
                  </w: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szCs w:val="21"/>
                    </w:rPr>
                  </w:pPr>
                </w:p>
              </w:tc>
              <w:tc>
                <w:tcPr>
                  <w:tcW w:w="5425" w:type="dxa"/>
                  <w:gridSpan w:val="4"/>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卫生器具的给水额定流量、最低工作压力符等符合</w:t>
                  </w:r>
                  <w:r>
                    <w:rPr>
                      <w:rFonts w:ascii="宋体" w:hAnsi="宋体"/>
                      <w:color w:val="000000"/>
                      <w:szCs w:val="21"/>
                    </w:rPr>
                    <w:t>GB50015</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卫生器具的给水额定流量、最低工作压力符等符合</w:t>
                  </w:r>
                  <w:r>
                    <w:rPr>
                      <w:rFonts w:ascii="宋体" w:hAnsi="宋体"/>
                      <w:color w:val="000000"/>
                      <w:szCs w:val="21"/>
                    </w:rPr>
                    <w:t>GB50015</w:t>
                  </w: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szCs w:val="21"/>
                    </w:rPr>
                  </w:pPr>
                </w:p>
              </w:tc>
              <w:tc>
                <w:tcPr>
                  <w:tcW w:w="3122" w:type="dxa"/>
                  <w:gridSpan w:val="3"/>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建筑面积</w:t>
                  </w:r>
                  <w:r>
                    <w:rPr>
                      <w:rFonts w:ascii="宋体" w:hAnsi="宋体"/>
                      <w:color w:val="000000"/>
                      <w:szCs w:val="21"/>
                    </w:rPr>
                    <w:t>2</w:t>
                  </w:r>
                  <w:r>
                    <w:rPr>
                      <w:rFonts w:hint="eastAsia" w:ascii="宋体" w:hAnsi="宋体"/>
                      <w:color w:val="000000"/>
                      <w:szCs w:val="21"/>
                    </w:rPr>
                    <w:t>万</w:t>
                  </w:r>
                  <w:r>
                    <w:rPr>
                      <w:rFonts w:ascii="宋体" w:hAnsi="宋体"/>
                      <w:color w:val="000000"/>
                      <w:szCs w:val="21"/>
                    </w:rPr>
                    <w:t>m</w:t>
                  </w:r>
                  <w:r>
                    <w:rPr>
                      <w:rFonts w:ascii="宋体" w:hAnsi="宋体"/>
                      <w:color w:val="000000"/>
                      <w:szCs w:val="21"/>
                      <w:vertAlign w:val="superscript"/>
                    </w:rPr>
                    <w:t>2</w:t>
                  </w:r>
                  <w:r>
                    <w:rPr>
                      <w:rFonts w:hint="eastAsia" w:ascii="宋体" w:hAnsi="宋体"/>
                      <w:color w:val="000000"/>
                      <w:szCs w:val="21"/>
                    </w:rPr>
                    <w:t>以上的宾馆饭店建设中水设施，建立雨水收集利用系统，并有效利用中水和雨水。</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建筑面积</w:t>
                  </w:r>
                  <w:r>
                    <w:rPr>
                      <w:rFonts w:ascii="宋体" w:hAnsi="宋体"/>
                      <w:color w:val="000000"/>
                      <w:szCs w:val="21"/>
                    </w:rPr>
                    <w:t>2</w:t>
                  </w:r>
                  <w:r>
                    <w:rPr>
                      <w:rFonts w:hint="eastAsia" w:ascii="宋体" w:hAnsi="宋体"/>
                      <w:color w:val="000000"/>
                      <w:szCs w:val="21"/>
                    </w:rPr>
                    <w:t>万</w:t>
                  </w:r>
                  <w:r>
                    <w:rPr>
                      <w:rFonts w:ascii="宋体" w:hAnsi="宋体"/>
                      <w:color w:val="000000"/>
                      <w:szCs w:val="21"/>
                    </w:rPr>
                    <w:t>m</w:t>
                  </w:r>
                  <w:r>
                    <w:rPr>
                      <w:rFonts w:ascii="宋体" w:hAnsi="宋体"/>
                      <w:color w:val="000000"/>
                      <w:szCs w:val="21"/>
                      <w:vertAlign w:val="superscript"/>
                    </w:rPr>
                    <w:t>2</w:t>
                  </w:r>
                  <w:r>
                    <w:rPr>
                      <w:rFonts w:hint="eastAsia" w:ascii="宋体" w:hAnsi="宋体"/>
                      <w:color w:val="000000"/>
                      <w:szCs w:val="21"/>
                    </w:rPr>
                    <w:t>以上的宾馆饭店建设中水设施，并有效利用雨水</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建筑面积</w:t>
                  </w:r>
                  <w:r>
                    <w:rPr>
                      <w:rFonts w:ascii="宋体" w:hAnsi="宋体"/>
                      <w:color w:val="000000"/>
                      <w:szCs w:val="21"/>
                    </w:rPr>
                    <w:t>2</w:t>
                  </w:r>
                  <w:r>
                    <w:rPr>
                      <w:rFonts w:hint="eastAsia" w:ascii="宋体" w:hAnsi="宋体"/>
                      <w:color w:val="000000"/>
                      <w:szCs w:val="21"/>
                    </w:rPr>
                    <w:t>万</w:t>
                  </w:r>
                  <w:r>
                    <w:rPr>
                      <w:rFonts w:ascii="宋体" w:hAnsi="宋体"/>
                      <w:color w:val="000000"/>
                      <w:szCs w:val="21"/>
                    </w:rPr>
                    <w:t>m</w:t>
                  </w:r>
                  <w:r>
                    <w:rPr>
                      <w:rFonts w:ascii="宋体" w:hAnsi="宋体"/>
                      <w:color w:val="000000"/>
                      <w:szCs w:val="21"/>
                      <w:vertAlign w:val="superscript"/>
                    </w:rPr>
                    <w:t>2</w:t>
                  </w:r>
                  <w:r>
                    <w:rPr>
                      <w:rFonts w:hint="eastAsia" w:ascii="宋体" w:hAnsi="宋体"/>
                      <w:color w:val="000000"/>
                      <w:szCs w:val="21"/>
                    </w:rPr>
                    <w:t>以上的宾馆饭店建设中水设施，并有效利用雨水</w:t>
                  </w:r>
                </w:p>
                <w:p>
                  <w:pPr>
                    <w:snapToGrid w:val="0"/>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fldChar w:fldCharType="begin"/>
                  </w:r>
                  <w:r>
                    <w:rPr>
                      <w:rFonts w:hint="eastAsia" w:ascii="宋体" w:hAnsi="宋体"/>
                      <w:color w:val="000000"/>
                      <w:szCs w:val="21"/>
                    </w:rPr>
                    <w:instrText xml:space="preserve"> = 5 \* GB2 </w:instrText>
                  </w:r>
                  <w:r>
                    <w:rPr>
                      <w:rFonts w:hint="eastAsia" w:ascii="宋体" w:hAnsi="宋体"/>
                      <w:color w:val="000000"/>
                      <w:szCs w:val="21"/>
                    </w:rPr>
                    <w:fldChar w:fldCharType="separate"/>
                  </w:r>
                  <w:r>
                    <w:rPr>
                      <w:rFonts w:hint="eastAsia" w:ascii="宋体" w:hAnsi="宋体"/>
                      <w:color w:val="000000"/>
                      <w:szCs w:val="21"/>
                    </w:rPr>
                    <w:t>⑸</w:t>
                  </w:r>
                  <w:r>
                    <w:rPr>
                      <w:rFonts w:hint="eastAsia" w:ascii="宋体" w:hAnsi="宋体"/>
                      <w:color w:val="000000"/>
                      <w:szCs w:val="21"/>
                    </w:rPr>
                    <w:fldChar w:fldCharType="end"/>
                  </w:r>
                  <w:r>
                    <w:rPr>
                      <w:rFonts w:hint="eastAsia" w:ascii="宋体" w:hAnsi="宋体"/>
                      <w:color w:val="000000"/>
                      <w:szCs w:val="21"/>
                    </w:rPr>
                    <w:t>消防系统</w:t>
                  </w:r>
                </w:p>
              </w:tc>
              <w:tc>
                <w:tcPr>
                  <w:tcW w:w="5425" w:type="dxa"/>
                  <w:gridSpan w:val="4"/>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消防器材必须使用清洁灭火剂，禁止使用哈龙</w:t>
                  </w:r>
                  <w:r>
                    <w:rPr>
                      <w:rFonts w:ascii="宋体" w:hAnsi="宋体"/>
                      <w:color w:val="000000"/>
                      <w:szCs w:val="21"/>
                    </w:rPr>
                    <w:t>-1211</w:t>
                  </w:r>
                  <w:r>
                    <w:rPr>
                      <w:rFonts w:hint="eastAsia" w:ascii="宋体" w:hAnsi="宋体"/>
                      <w:color w:val="000000"/>
                      <w:szCs w:val="21"/>
                    </w:rPr>
                    <w:t>或哈龙</w:t>
                  </w:r>
                  <w:r>
                    <w:rPr>
                      <w:rFonts w:ascii="宋体" w:hAnsi="宋体"/>
                      <w:color w:val="000000"/>
                      <w:szCs w:val="21"/>
                    </w:rPr>
                    <w:t>-1301</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消防器材使用清洁灭火剂（三级）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fldChar w:fldCharType="begin"/>
                  </w:r>
                  <w:r>
                    <w:rPr>
                      <w:rFonts w:hint="eastAsia" w:ascii="宋体" w:hAnsi="宋体"/>
                      <w:color w:val="000000"/>
                      <w:szCs w:val="21"/>
                    </w:rPr>
                    <w:instrText xml:space="preserve"> = 6 \* GB2 </w:instrText>
                  </w:r>
                  <w:r>
                    <w:rPr>
                      <w:rFonts w:hint="eastAsia" w:ascii="宋体" w:hAnsi="宋体"/>
                      <w:color w:val="000000"/>
                      <w:szCs w:val="21"/>
                    </w:rPr>
                    <w:fldChar w:fldCharType="separate"/>
                  </w:r>
                  <w:r>
                    <w:rPr>
                      <w:rFonts w:hint="eastAsia" w:ascii="宋体" w:hAnsi="宋体"/>
                      <w:color w:val="000000"/>
                      <w:szCs w:val="21"/>
                    </w:rPr>
                    <w:t>⑹</w:t>
                  </w:r>
                  <w:r>
                    <w:rPr>
                      <w:rFonts w:hint="eastAsia" w:ascii="宋体" w:hAnsi="宋体"/>
                      <w:color w:val="000000"/>
                      <w:szCs w:val="21"/>
                    </w:rPr>
                    <w:fldChar w:fldCharType="end"/>
                  </w:r>
                  <w:r>
                    <w:rPr>
                      <w:rFonts w:hint="eastAsia" w:ascii="宋体" w:hAnsi="宋体"/>
                      <w:color w:val="000000"/>
                      <w:szCs w:val="21"/>
                    </w:rPr>
                    <w:t>用电设备</w:t>
                  </w:r>
                </w:p>
              </w:tc>
              <w:tc>
                <w:tcPr>
                  <w:tcW w:w="3122" w:type="dxa"/>
                  <w:gridSpan w:val="3"/>
                  <w:tcBorders>
                    <w:top w:val="single" w:color="auto" w:sz="4" w:space="0"/>
                    <w:left w:val="single" w:color="auto" w:sz="4" w:space="0"/>
                    <w:bottom w:val="single" w:color="auto" w:sz="4" w:space="0"/>
                    <w:right w:val="single" w:color="auto" w:sz="4" w:space="0"/>
                  </w:tcBorders>
                </w:tcPr>
                <w:p>
                  <w:pPr>
                    <w:snapToGrid w:val="0"/>
                    <w:ind w:leftChars="-166" w:hanging="348" w:hangingChars="166"/>
                    <w:rPr>
                      <w:rFonts w:ascii="宋体" w:hAnsi="宋体"/>
                      <w:color w:val="000000"/>
                      <w:szCs w:val="21"/>
                    </w:rPr>
                  </w:pPr>
                  <w:r>
                    <w:rPr>
                      <w:rFonts w:hint="eastAsia" w:ascii="宋体" w:hAnsi="宋体"/>
                      <w:color w:val="000000"/>
                      <w:szCs w:val="21"/>
                    </w:rPr>
                    <w:t>具有能效标志的设备达到等级</w:t>
                  </w:r>
                  <w:r>
                    <w:rPr>
                      <w:rFonts w:ascii="宋体" w:hAnsi="宋体"/>
                      <w:color w:val="000000"/>
                      <w:szCs w:val="21"/>
                    </w:rPr>
                    <w:t>2</w:t>
                  </w:r>
                </w:p>
                <w:p>
                  <w:pPr>
                    <w:snapToGrid w:val="0"/>
                    <w:ind w:leftChars="-166" w:hanging="348" w:hangingChars="166"/>
                    <w:rPr>
                      <w:rFonts w:ascii="宋体" w:hAnsi="宋体"/>
                      <w:color w:val="000000"/>
                      <w:szCs w:val="21"/>
                    </w:rPr>
                  </w:pPr>
                  <w:r>
                    <w:rPr>
                      <w:rFonts w:hint="eastAsia" w:ascii="宋体" w:hAnsi="宋体"/>
                      <w:color w:val="000000"/>
                      <w:szCs w:val="21"/>
                    </w:rPr>
                    <w:t>级</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有能效表志的设备达到等级</w:t>
                  </w:r>
                  <w:r>
                    <w:rPr>
                      <w:rFonts w:ascii="宋体" w:hAnsi="宋体"/>
                      <w:color w:val="000000"/>
                      <w:szCs w:val="21"/>
                    </w:rPr>
                    <w:t>3</w:t>
                  </w:r>
                </w:p>
              </w:tc>
              <w:tc>
                <w:tcPr>
                  <w:tcW w:w="2248" w:type="dxa"/>
                  <w:tcBorders>
                    <w:top w:val="single" w:color="auto" w:sz="4" w:space="0"/>
                    <w:left w:val="single" w:color="auto" w:sz="4" w:space="0"/>
                    <w:bottom w:val="single" w:color="auto" w:sz="4" w:space="0"/>
                    <w:right w:val="single" w:color="auto" w:sz="4" w:space="0"/>
                  </w:tcBorders>
                </w:tcPr>
                <w:p>
                  <w:pPr>
                    <w:snapToGrid w:val="0"/>
                    <w:ind w:firstLine="210" w:firstLineChars="100"/>
                    <w:rPr>
                      <w:rFonts w:ascii="宋体" w:hAnsi="宋体"/>
                      <w:color w:val="000000"/>
                      <w:szCs w:val="21"/>
                    </w:rPr>
                  </w:pPr>
                  <w:r>
                    <w:rPr>
                      <w:rFonts w:hint="eastAsia" w:ascii="宋体" w:hAnsi="宋体"/>
                      <w:color w:val="000000"/>
                      <w:szCs w:val="21"/>
                    </w:rPr>
                    <w:t>有能效表志的设备达到等级</w:t>
                  </w:r>
                  <w:r>
                    <w:rPr>
                      <w:rFonts w:ascii="宋体" w:hAnsi="宋体"/>
                      <w:color w:val="000000"/>
                      <w:szCs w:val="21"/>
                    </w:rPr>
                    <w:t>3</w:t>
                  </w: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141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fldChar w:fldCharType="begin"/>
                  </w:r>
                  <w:r>
                    <w:rPr>
                      <w:rFonts w:hint="eastAsia" w:ascii="宋体" w:hAnsi="宋体"/>
                      <w:color w:val="000000"/>
                      <w:szCs w:val="21"/>
                    </w:rPr>
                    <w:instrText xml:space="preserve"> = 6 \* GB2 </w:instrText>
                  </w:r>
                  <w:r>
                    <w:rPr>
                      <w:rFonts w:hint="eastAsia" w:ascii="宋体" w:hAnsi="宋体"/>
                      <w:color w:val="000000"/>
                      <w:szCs w:val="21"/>
                    </w:rPr>
                    <w:fldChar w:fldCharType="separate"/>
                  </w:r>
                  <w:r>
                    <w:rPr>
                      <w:rFonts w:hint="eastAsia" w:ascii="宋体" w:hAnsi="宋体"/>
                      <w:color w:val="000000"/>
                      <w:szCs w:val="21"/>
                    </w:rPr>
                    <w:t>⑹</w:t>
                  </w:r>
                  <w:r>
                    <w:rPr>
                      <w:rFonts w:hint="eastAsia" w:ascii="宋体" w:hAnsi="宋体"/>
                      <w:color w:val="000000"/>
                      <w:szCs w:val="21"/>
                    </w:rPr>
                    <w:fldChar w:fldCharType="end"/>
                  </w:r>
                  <w:r>
                    <w:rPr>
                      <w:rFonts w:hint="eastAsia" w:ascii="宋体" w:hAnsi="宋体"/>
                      <w:color w:val="000000"/>
                      <w:szCs w:val="21"/>
                    </w:rPr>
                    <w:t>干洗设备</w:t>
                  </w:r>
                </w:p>
              </w:tc>
              <w:tc>
                <w:tcPr>
                  <w:tcW w:w="5425" w:type="dxa"/>
                  <w:gridSpan w:val="4"/>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使用具有净化回收干洗溶剂功能的全封闭式干洗机</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使用有净化回收干洗溶剂功能的全封闭式干洗机（三级）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9088" w:type="dxa"/>
                  <w:gridSpan w:val="6"/>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2、资源能源利用率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rPr>
              <w:tc>
                <w:tcPr>
                  <w:tcW w:w="1415"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⑴单位建筑面积综合能耗（折合标煤计算）</w:t>
                  </w:r>
                  <w:r>
                    <w:rPr>
                      <w:rFonts w:ascii="宋体" w:hAnsi="宋体"/>
                      <w:color w:val="000000"/>
                      <w:szCs w:val="21"/>
                    </w:rPr>
                    <w:t>/(kg/m</w:t>
                  </w:r>
                  <w:r>
                    <w:rPr>
                      <w:rFonts w:ascii="宋体" w:hAnsi="宋体"/>
                      <w:color w:val="000000"/>
                      <w:szCs w:val="21"/>
                      <w:vertAlign w:val="superscript"/>
                    </w:rPr>
                    <w:t>2</w:t>
                  </w:r>
                  <w:r>
                    <w:rPr>
                      <w:rFonts w:ascii="宋体" w:hAnsi="宋体"/>
                      <w:color w:val="000000"/>
                      <w:szCs w:val="21"/>
                    </w:rPr>
                    <w:t>.a)</w:t>
                  </w:r>
                  <w:r>
                    <w:rPr>
                      <w:rFonts w:hint="eastAsia" w:ascii="宋体" w:hAnsi="宋体"/>
                      <w:color w:val="000000"/>
                      <w:szCs w:val="21"/>
                    </w:rPr>
                    <w:t>四星级</w:t>
                  </w:r>
                </w:p>
              </w:tc>
              <w:tc>
                <w:tcPr>
                  <w:tcW w:w="1812" w:type="dxa"/>
                  <w:gridSpan w:val="2"/>
                  <w:tcBorders>
                    <w:top w:val="single" w:color="auto" w:sz="4" w:space="0"/>
                    <w:left w:val="single" w:color="auto" w:sz="4" w:space="0"/>
                    <w:bottom w:val="single" w:color="auto" w:sz="4" w:space="0"/>
                    <w:right w:val="single" w:color="auto" w:sz="4" w:space="0"/>
                  </w:tcBorders>
                  <w:vAlign w:val="center"/>
                </w:tcPr>
                <w:p>
                  <w:pPr>
                    <w:snapToGrid w:val="0"/>
                    <w:ind w:firstLine="480"/>
                    <w:rPr>
                      <w:rFonts w:ascii="宋体" w:hAnsi="宋体"/>
                      <w:color w:val="000000"/>
                      <w:szCs w:val="21"/>
                    </w:rPr>
                  </w:pPr>
                  <w:r>
                    <w:rPr>
                      <w:rFonts w:ascii="宋体" w:hAnsi="宋体"/>
                      <w:color w:val="000000"/>
                      <w:szCs w:val="21"/>
                    </w:rPr>
                    <w:t>≤39</w:t>
                  </w:r>
                </w:p>
              </w:tc>
              <w:tc>
                <w:tcPr>
                  <w:tcW w:w="1310" w:type="dxa"/>
                  <w:tcBorders>
                    <w:top w:val="single" w:color="auto" w:sz="4" w:space="0"/>
                    <w:left w:val="single" w:color="auto" w:sz="4" w:space="0"/>
                    <w:bottom w:val="single" w:color="auto" w:sz="4" w:space="0"/>
                    <w:right w:val="single" w:color="auto" w:sz="4" w:space="0"/>
                  </w:tcBorders>
                  <w:vAlign w:val="center"/>
                </w:tcPr>
                <w:p>
                  <w:pPr>
                    <w:snapToGrid w:val="0"/>
                    <w:ind w:firstLine="315" w:firstLineChars="150"/>
                    <w:rPr>
                      <w:rFonts w:ascii="宋体" w:hAnsi="宋体"/>
                      <w:color w:val="000000"/>
                      <w:szCs w:val="21"/>
                    </w:rPr>
                  </w:pPr>
                  <w:r>
                    <w:rPr>
                      <w:rFonts w:ascii="宋体" w:hAnsi="宋体"/>
                      <w:color w:val="000000"/>
                      <w:szCs w:val="21"/>
                    </w:rPr>
                    <w:t>≤41</w:t>
                  </w:r>
                </w:p>
              </w:tc>
              <w:tc>
                <w:tcPr>
                  <w:tcW w:w="2303" w:type="dxa"/>
                  <w:tcBorders>
                    <w:top w:val="single" w:color="auto" w:sz="4" w:space="0"/>
                    <w:left w:val="single" w:color="auto" w:sz="4" w:space="0"/>
                    <w:bottom w:val="single" w:color="auto" w:sz="4" w:space="0"/>
                    <w:right w:val="single" w:color="auto" w:sz="4" w:space="0"/>
                  </w:tcBorders>
                  <w:vAlign w:val="center"/>
                </w:tcPr>
                <w:p>
                  <w:pPr>
                    <w:snapToGrid w:val="0"/>
                    <w:ind w:firstLine="793" w:firstLineChars="378"/>
                    <w:rPr>
                      <w:rFonts w:ascii="宋体" w:hAnsi="宋体"/>
                      <w:color w:val="000000"/>
                      <w:szCs w:val="21"/>
                    </w:rPr>
                  </w:pPr>
                  <w:r>
                    <w:rPr>
                      <w:rFonts w:ascii="宋体" w:hAnsi="宋体"/>
                      <w:color w:val="000000"/>
                      <w:szCs w:val="21"/>
                    </w:rPr>
                    <w:t>≤43</w:t>
                  </w:r>
                </w:p>
              </w:tc>
              <w:tc>
                <w:tcPr>
                  <w:tcW w:w="2248"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olor w:val="000000"/>
                      <w:szCs w:val="21"/>
                    </w:rPr>
                  </w:pPr>
                  <w:r>
                    <w:rPr>
                      <w:rFonts w:hint="eastAsia" w:ascii="宋体" w:hAnsi="宋体"/>
                      <w:color w:val="000000"/>
                      <w:szCs w:val="21"/>
                    </w:rPr>
                    <w:t xml:space="preserve">       </w:t>
                  </w:r>
                  <w:r>
                    <w:rPr>
                      <w:rFonts w:ascii="宋体" w:hAnsi="宋体"/>
                      <w:color w:val="000000"/>
                      <w:szCs w:val="21"/>
                    </w:rPr>
                    <w:t>≤17</w:t>
                  </w:r>
                </w:p>
                <w:p>
                  <w:pPr>
                    <w:snapToGrid w:val="0"/>
                    <w:ind w:firstLine="630" w:firstLineChars="300"/>
                    <w:rPr>
                      <w:rFonts w:ascii="宋体" w:hAnsi="宋体"/>
                      <w:color w:val="000000"/>
                      <w:szCs w:val="21"/>
                    </w:rPr>
                  </w:pPr>
                  <w:r>
                    <w:rPr>
                      <w:rFonts w:hint="eastAsia" w:ascii="宋体" w:hAnsi="宋体"/>
                      <w:color w:val="000000"/>
                      <w:szCs w:val="21"/>
                    </w:rPr>
                    <w:t>（一级）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1415"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⑵单位床位取水量</w:t>
                  </w:r>
                  <w:r>
                    <w:rPr>
                      <w:rFonts w:ascii="宋体" w:hAnsi="宋体"/>
                      <w:color w:val="000000"/>
                      <w:szCs w:val="21"/>
                    </w:rPr>
                    <w:t>/L/</w:t>
                  </w:r>
                  <w:r>
                    <w:rPr>
                      <w:rFonts w:hint="eastAsia" w:ascii="宋体" w:hAnsi="宋体"/>
                      <w:color w:val="000000"/>
                      <w:szCs w:val="21"/>
                    </w:rPr>
                    <w:t>床</w:t>
                  </w:r>
                  <w:r>
                    <w:rPr>
                      <w:rFonts w:ascii="宋体" w:hAnsi="宋体"/>
                      <w:color w:val="000000"/>
                      <w:szCs w:val="21"/>
                    </w:rPr>
                    <w:t>.d)</w:t>
                  </w:r>
                </w:p>
              </w:tc>
              <w:tc>
                <w:tcPr>
                  <w:tcW w:w="1812" w:type="dxa"/>
                  <w:gridSpan w:val="2"/>
                  <w:tcBorders>
                    <w:top w:val="single" w:color="auto" w:sz="4" w:space="0"/>
                    <w:left w:val="single" w:color="auto" w:sz="4" w:space="0"/>
                    <w:bottom w:val="single" w:color="auto" w:sz="4" w:space="0"/>
                    <w:right w:val="single" w:color="auto" w:sz="4" w:space="0"/>
                  </w:tcBorders>
                  <w:vAlign w:val="center"/>
                </w:tcPr>
                <w:p>
                  <w:pPr>
                    <w:snapToGrid w:val="0"/>
                    <w:ind w:firstLine="480"/>
                    <w:rPr>
                      <w:rFonts w:ascii="宋体" w:hAnsi="宋体"/>
                      <w:color w:val="000000"/>
                      <w:szCs w:val="21"/>
                    </w:rPr>
                  </w:pPr>
                  <w:r>
                    <w:rPr>
                      <w:rFonts w:ascii="宋体" w:hAnsi="宋体"/>
                      <w:color w:val="000000"/>
                      <w:szCs w:val="21"/>
                    </w:rPr>
                    <w:t>≤510</w:t>
                  </w:r>
                </w:p>
              </w:tc>
              <w:tc>
                <w:tcPr>
                  <w:tcW w:w="1310" w:type="dxa"/>
                  <w:tcBorders>
                    <w:top w:val="single" w:color="auto" w:sz="4" w:space="0"/>
                    <w:left w:val="single" w:color="auto" w:sz="4" w:space="0"/>
                    <w:bottom w:val="single" w:color="auto" w:sz="4" w:space="0"/>
                    <w:right w:val="single" w:color="auto" w:sz="4" w:space="0"/>
                  </w:tcBorders>
                  <w:vAlign w:val="center"/>
                </w:tcPr>
                <w:p>
                  <w:pPr>
                    <w:snapToGrid w:val="0"/>
                    <w:ind w:firstLine="315" w:firstLineChars="150"/>
                    <w:rPr>
                      <w:rFonts w:ascii="宋体" w:hAnsi="宋体"/>
                      <w:color w:val="000000"/>
                      <w:szCs w:val="21"/>
                    </w:rPr>
                  </w:pPr>
                  <w:r>
                    <w:rPr>
                      <w:rFonts w:ascii="宋体" w:hAnsi="宋体"/>
                      <w:color w:val="000000"/>
                      <w:szCs w:val="21"/>
                    </w:rPr>
                    <w:t>≤550</w:t>
                  </w:r>
                </w:p>
              </w:tc>
              <w:tc>
                <w:tcPr>
                  <w:tcW w:w="2303" w:type="dxa"/>
                  <w:tcBorders>
                    <w:top w:val="single" w:color="auto" w:sz="4" w:space="0"/>
                    <w:left w:val="single" w:color="auto" w:sz="4" w:space="0"/>
                    <w:bottom w:val="single" w:color="auto" w:sz="4" w:space="0"/>
                    <w:right w:val="single" w:color="auto" w:sz="4" w:space="0"/>
                  </w:tcBorders>
                  <w:vAlign w:val="center"/>
                </w:tcPr>
                <w:p>
                  <w:pPr>
                    <w:snapToGrid w:val="0"/>
                    <w:ind w:firstLine="793" w:firstLineChars="378"/>
                    <w:rPr>
                      <w:rFonts w:ascii="宋体" w:hAnsi="宋体"/>
                      <w:color w:val="000000"/>
                      <w:szCs w:val="21"/>
                    </w:rPr>
                  </w:pPr>
                  <w:r>
                    <w:rPr>
                      <w:rFonts w:ascii="宋体" w:hAnsi="宋体"/>
                      <w:color w:val="000000"/>
                      <w:szCs w:val="21"/>
                    </w:rPr>
                    <w:t>≤580</w:t>
                  </w:r>
                </w:p>
              </w:tc>
              <w:tc>
                <w:tcPr>
                  <w:tcW w:w="2248"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olor w:val="000000"/>
                      <w:szCs w:val="21"/>
                    </w:rPr>
                  </w:pPr>
                  <w:r>
                    <w:rPr>
                      <w:rFonts w:hint="eastAsia" w:ascii="宋体" w:hAnsi="宋体"/>
                      <w:color w:val="000000"/>
                      <w:szCs w:val="21"/>
                    </w:rPr>
                    <w:t xml:space="preserve">       </w:t>
                  </w:r>
                  <w:r>
                    <w:rPr>
                      <w:rFonts w:ascii="宋体" w:hAnsi="宋体"/>
                      <w:color w:val="000000"/>
                      <w:szCs w:val="21"/>
                    </w:rPr>
                    <w:t>≤</w:t>
                  </w:r>
                  <w:r>
                    <w:rPr>
                      <w:rFonts w:hint="eastAsia" w:ascii="宋体" w:hAnsi="宋体"/>
                      <w:color w:val="000000"/>
                      <w:szCs w:val="21"/>
                    </w:rPr>
                    <w:t>580</w:t>
                  </w:r>
                </w:p>
                <w:p>
                  <w:pPr>
                    <w:snapToGrid w:val="0"/>
                    <w:ind w:firstLine="630" w:firstLineChars="300"/>
                    <w:rPr>
                      <w:rFonts w:ascii="宋体" w:hAnsi="宋体"/>
                      <w:color w:val="000000"/>
                      <w:szCs w:val="21"/>
                    </w:rPr>
                  </w:pPr>
                  <w:r>
                    <w:rPr>
                      <w:rFonts w:hint="eastAsia" w:ascii="宋体" w:hAnsi="宋体"/>
                      <w:color w:val="000000"/>
                      <w:szCs w:val="21"/>
                    </w:rPr>
                    <w:t xml:space="preserve">（三级）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⑶间接冷却水循环利用率</w:t>
                  </w:r>
                </w:p>
              </w:tc>
              <w:tc>
                <w:tcPr>
                  <w:tcW w:w="5425" w:type="dxa"/>
                  <w:gridSpan w:val="4"/>
                  <w:tcBorders>
                    <w:top w:val="single" w:color="auto" w:sz="4" w:space="0"/>
                    <w:left w:val="single" w:color="auto" w:sz="4" w:space="0"/>
                    <w:bottom w:val="single" w:color="auto" w:sz="4" w:space="0"/>
                    <w:right w:val="single" w:color="auto" w:sz="4" w:space="0"/>
                  </w:tcBorders>
                  <w:vAlign w:val="center"/>
                </w:tcPr>
                <w:p>
                  <w:pPr>
                    <w:snapToGrid w:val="0"/>
                    <w:ind w:firstLine="480"/>
                    <w:jc w:val="center"/>
                    <w:rPr>
                      <w:rFonts w:ascii="宋体" w:hAnsi="宋体"/>
                      <w:color w:val="000000"/>
                      <w:szCs w:val="21"/>
                    </w:rPr>
                  </w:pPr>
                  <w:r>
                    <w:rPr>
                      <w:rFonts w:ascii="宋体" w:hAnsi="宋体"/>
                      <w:color w:val="000000"/>
                      <w:szCs w:val="21"/>
                    </w:rPr>
                    <w:t>≥98</w:t>
                  </w:r>
                </w:p>
              </w:tc>
              <w:tc>
                <w:tcPr>
                  <w:tcW w:w="2248"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olor w:val="000000"/>
                      <w:szCs w:val="21"/>
                    </w:rPr>
                  </w:pPr>
                  <w:r>
                    <w:rPr>
                      <w:rFonts w:hint="eastAsia" w:ascii="宋体" w:hAnsi="宋体"/>
                      <w:color w:val="000000"/>
                      <w:szCs w:val="21"/>
                    </w:rPr>
                    <w:t xml:space="preserve">       </w:t>
                  </w:r>
                  <w:r>
                    <w:rPr>
                      <w:rFonts w:ascii="宋体" w:hAnsi="宋体"/>
                      <w:color w:val="000000"/>
                      <w:szCs w:val="21"/>
                    </w:rPr>
                    <w:t>≥98</w:t>
                  </w:r>
                </w:p>
                <w:p>
                  <w:pPr>
                    <w:snapToGrid w:val="0"/>
                    <w:ind w:firstLine="630" w:firstLineChars="300"/>
                    <w:rPr>
                      <w:rFonts w:ascii="宋体" w:hAnsi="宋体"/>
                      <w:color w:val="000000"/>
                      <w:szCs w:val="21"/>
                    </w:rPr>
                  </w:pPr>
                  <w:r>
                    <w:rPr>
                      <w:rFonts w:hint="eastAsia" w:ascii="宋体" w:hAnsi="宋体"/>
                      <w:color w:val="000000"/>
                      <w:szCs w:val="21"/>
                    </w:rPr>
                    <w:t>（一级）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9088"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t>3、污染物产生指标（末端处理前）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⑴单位床位废水产生量量</w:t>
                  </w:r>
                  <w:r>
                    <w:rPr>
                      <w:rFonts w:ascii="宋体" w:hAnsi="宋体"/>
                      <w:color w:val="000000"/>
                      <w:szCs w:val="21"/>
                    </w:rPr>
                    <w:t>/L/</w:t>
                  </w:r>
                  <w:r>
                    <w:rPr>
                      <w:rFonts w:hint="eastAsia" w:ascii="宋体" w:hAnsi="宋体"/>
                      <w:color w:val="000000"/>
                      <w:szCs w:val="21"/>
                    </w:rPr>
                    <w:t>床</w:t>
                  </w:r>
                  <w:r>
                    <w:rPr>
                      <w:rFonts w:ascii="宋体" w:hAnsi="宋体"/>
                      <w:color w:val="000000"/>
                      <w:szCs w:val="21"/>
                    </w:rPr>
                    <w:t>.d)</w:t>
                  </w:r>
                </w:p>
              </w:tc>
              <w:tc>
                <w:tcPr>
                  <w:tcW w:w="1812" w:type="dxa"/>
                  <w:gridSpan w:val="2"/>
                  <w:tcBorders>
                    <w:top w:val="single" w:color="auto" w:sz="4" w:space="0"/>
                    <w:left w:val="single" w:color="auto" w:sz="4" w:space="0"/>
                    <w:bottom w:val="single" w:color="auto" w:sz="4" w:space="0"/>
                    <w:right w:val="single" w:color="auto" w:sz="4" w:space="0"/>
                  </w:tcBorders>
                  <w:vAlign w:val="center"/>
                </w:tcPr>
                <w:p>
                  <w:pPr>
                    <w:snapToGrid w:val="0"/>
                    <w:ind w:firstLine="480"/>
                    <w:rPr>
                      <w:rFonts w:ascii="宋体" w:hAnsi="宋体"/>
                      <w:color w:val="000000"/>
                      <w:szCs w:val="21"/>
                    </w:rPr>
                  </w:pPr>
                  <w:r>
                    <w:rPr>
                      <w:rFonts w:ascii="宋体" w:hAnsi="宋体"/>
                      <w:color w:val="000000"/>
                      <w:szCs w:val="21"/>
                    </w:rPr>
                    <w:t>≤510</w:t>
                  </w:r>
                </w:p>
              </w:tc>
              <w:tc>
                <w:tcPr>
                  <w:tcW w:w="1310" w:type="dxa"/>
                  <w:tcBorders>
                    <w:top w:val="single" w:color="auto" w:sz="4" w:space="0"/>
                    <w:left w:val="single" w:color="auto" w:sz="4" w:space="0"/>
                    <w:bottom w:val="single" w:color="auto" w:sz="4" w:space="0"/>
                    <w:right w:val="single" w:color="auto" w:sz="4" w:space="0"/>
                  </w:tcBorders>
                  <w:vAlign w:val="center"/>
                </w:tcPr>
                <w:p>
                  <w:pPr>
                    <w:snapToGrid w:val="0"/>
                    <w:ind w:firstLine="315" w:firstLineChars="150"/>
                    <w:rPr>
                      <w:rFonts w:ascii="宋体" w:hAnsi="宋体"/>
                      <w:color w:val="000000"/>
                      <w:szCs w:val="21"/>
                    </w:rPr>
                  </w:pPr>
                  <w:r>
                    <w:rPr>
                      <w:rFonts w:ascii="宋体" w:hAnsi="宋体"/>
                      <w:color w:val="000000"/>
                      <w:szCs w:val="21"/>
                    </w:rPr>
                    <w:t>≤550</w:t>
                  </w:r>
                </w:p>
              </w:tc>
              <w:tc>
                <w:tcPr>
                  <w:tcW w:w="2303" w:type="dxa"/>
                  <w:tcBorders>
                    <w:top w:val="single" w:color="auto" w:sz="4" w:space="0"/>
                    <w:left w:val="single" w:color="auto" w:sz="4" w:space="0"/>
                    <w:bottom w:val="single" w:color="auto" w:sz="4" w:space="0"/>
                    <w:right w:val="single" w:color="auto" w:sz="4" w:space="0"/>
                  </w:tcBorders>
                  <w:vAlign w:val="center"/>
                </w:tcPr>
                <w:p>
                  <w:pPr>
                    <w:snapToGrid w:val="0"/>
                    <w:ind w:firstLine="480"/>
                    <w:rPr>
                      <w:rFonts w:ascii="宋体" w:hAnsi="宋体"/>
                      <w:color w:val="000000"/>
                      <w:szCs w:val="21"/>
                    </w:rPr>
                  </w:pPr>
                  <w:r>
                    <w:rPr>
                      <w:rFonts w:ascii="宋体" w:hAnsi="宋体"/>
                      <w:color w:val="000000"/>
                      <w:szCs w:val="21"/>
                    </w:rPr>
                    <w:t>≤580</w:t>
                  </w:r>
                </w:p>
              </w:tc>
              <w:tc>
                <w:tcPr>
                  <w:tcW w:w="2248"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olor w:val="000000"/>
                      <w:szCs w:val="21"/>
                    </w:rPr>
                  </w:pPr>
                  <w:r>
                    <w:rPr>
                      <w:rFonts w:hint="eastAsia" w:ascii="宋体" w:hAnsi="宋体"/>
                      <w:color w:val="000000"/>
                      <w:szCs w:val="21"/>
                    </w:rPr>
                    <w:t xml:space="preserve">       </w:t>
                  </w:r>
                  <w:r>
                    <w:rPr>
                      <w:rFonts w:ascii="宋体" w:hAnsi="宋体"/>
                      <w:color w:val="000000"/>
                      <w:szCs w:val="21"/>
                    </w:rPr>
                    <w:t>≤</w:t>
                  </w:r>
                  <w:r>
                    <w:rPr>
                      <w:rFonts w:hint="eastAsia" w:ascii="宋体" w:hAnsi="宋体"/>
                      <w:color w:val="000000"/>
                      <w:szCs w:val="21"/>
                    </w:rPr>
                    <w:t>464</w:t>
                  </w:r>
                </w:p>
                <w:p>
                  <w:pPr>
                    <w:snapToGrid w:val="0"/>
                    <w:ind w:left="315" w:leftChars="150"/>
                    <w:rPr>
                      <w:rFonts w:ascii="宋体" w:hAnsi="宋体"/>
                      <w:color w:val="000000"/>
                      <w:szCs w:val="21"/>
                    </w:rPr>
                  </w:pPr>
                  <w:r>
                    <w:rPr>
                      <w:rFonts w:hint="eastAsia" w:ascii="宋体" w:hAnsi="宋体"/>
                      <w:color w:val="000000"/>
                      <w:szCs w:val="21"/>
                    </w:rPr>
                    <w:t xml:space="preserve">    (一级)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15"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⑵单位床位</w:t>
                  </w:r>
                  <w:r>
                    <w:rPr>
                      <w:rFonts w:ascii="宋体" w:hAnsi="宋体"/>
                      <w:color w:val="000000"/>
                      <w:szCs w:val="21"/>
                    </w:rPr>
                    <w:t>COD</w:t>
                  </w:r>
                  <w:r>
                    <w:rPr>
                      <w:rFonts w:hint="eastAsia" w:ascii="宋体" w:hAnsi="宋体"/>
                      <w:color w:val="000000"/>
                      <w:szCs w:val="21"/>
                    </w:rPr>
                    <w:t>产生量</w:t>
                  </w:r>
                  <w:r>
                    <w:rPr>
                      <w:rFonts w:ascii="宋体" w:hAnsi="宋体"/>
                      <w:color w:val="000000"/>
                      <w:szCs w:val="21"/>
                    </w:rPr>
                    <w:t>/(kg/</w:t>
                  </w:r>
                  <w:r>
                    <w:rPr>
                      <w:rFonts w:hint="eastAsia" w:ascii="宋体" w:hAnsi="宋体"/>
                      <w:color w:val="000000"/>
                      <w:szCs w:val="21"/>
                    </w:rPr>
                    <w:t>床</w:t>
                  </w:r>
                  <w:r>
                    <w:rPr>
                      <w:rFonts w:ascii="宋体" w:hAnsi="宋体"/>
                      <w:color w:val="000000"/>
                      <w:szCs w:val="21"/>
                    </w:rPr>
                    <w:t>.d)</w:t>
                  </w:r>
                </w:p>
              </w:tc>
              <w:tc>
                <w:tcPr>
                  <w:tcW w:w="1812" w:type="dxa"/>
                  <w:gridSpan w:val="2"/>
                  <w:tcBorders>
                    <w:top w:val="single" w:color="auto" w:sz="4" w:space="0"/>
                    <w:left w:val="single" w:color="auto" w:sz="4" w:space="0"/>
                    <w:bottom w:val="single" w:color="auto" w:sz="4" w:space="0"/>
                    <w:right w:val="single" w:color="auto" w:sz="4" w:space="0"/>
                  </w:tcBorders>
                  <w:vAlign w:val="center"/>
                </w:tcPr>
                <w:p>
                  <w:pPr>
                    <w:snapToGrid w:val="0"/>
                    <w:ind w:firstLine="480"/>
                    <w:rPr>
                      <w:rFonts w:ascii="宋体" w:hAnsi="宋体"/>
                      <w:color w:val="000000"/>
                      <w:szCs w:val="21"/>
                    </w:rPr>
                  </w:pPr>
                  <w:r>
                    <w:rPr>
                      <w:rFonts w:ascii="宋体" w:hAnsi="宋体"/>
                      <w:color w:val="000000"/>
                      <w:szCs w:val="21"/>
                    </w:rPr>
                    <w:t>≤145</w:t>
                  </w:r>
                </w:p>
              </w:tc>
              <w:tc>
                <w:tcPr>
                  <w:tcW w:w="1310" w:type="dxa"/>
                  <w:tcBorders>
                    <w:top w:val="single" w:color="auto" w:sz="4" w:space="0"/>
                    <w:left w:val="single" w:color="auto" w:sz="4" w:space="0"/>
                    <w:bottom w:val="single" w:color="auto" w:sz="4" w:space="0"/>
                    <w:right w:val="single" w:color="auto" w:sz="4" w:space="0"/>
                  </w:tcBorders>
                  <w:vAlign w:val="center"/>
                </w:tcPr>
                <w:p>
                  <w:pPr>
                    <w:snapToGrid w:val="0"/>
                    <w:ind w:firstLine="315" w:firstLineChars="150"/>
                    <w:rPr>
                      <w:rFonts w:ascii="宋体" w:hAnsi="宋体"/>
                      <w:color w:val="000000"/>
                      <w:szCs w:val="21"/>
                    </w:rPr>
                  </w:pPr>
                  <w:r>
                    <w:rPr>
                      <w:rFonts w:ascii="宋体" w:hAnsi="宋体"/>
                      <w:color w:val="000000"/>
                      <w:szCs w:val="21"/>
                    </w:rPr>
                    <w:t>≤160</w:t>
                  </w:r>
                </w:p>
              </w:tc>
              <w:tc>
                <w:tcPr>
                  <w:tcW w:w="2303" w:type="dxa"/>
                  <w:tcBorders>
                    <w:top w:val="single" w:color="auto" w:sz="4" w:space="0"/>
                    <w:left w:val="single" w:color="auto" w:sz="4" w:space="0"/>
                    <w:bottom w:val="single" w:color="auto" w:sz="4" w:space="0"/>
                    <w:right w:val="single" w:color="auto" w:sz="4" w:space="0"/>
                  </w:tcBorders>
                  <w:vAlign w:val="center"/>
                </w:tcPr>
                <w:p>
                  <w:pPr>
                    <w:snapToGrid w:val="0"/>
                    <w:ind w:firstLine="480"/>
                    <w:rPr>
                      <w:rFonts w:ascii="宋体" w:hAnsi="宋体"/>
                      <w:color w:val="000000"/>
                      <w:szCs w:val="21"/>
                    </w:rPr>
                  </w:pPr>
                  <w:r>
                    <w:rPr>
                      <w:rFonts w:ascii="宋体" w:hAnsi="宋体"/>
                      <w:color w:val="000000"/>
                      <w:szCs w:val="21"/>
                    </w:rPr>
                    <w:t>≤165</w:t>
                  </w:r>
                </w:p>
              </w:tc>
              <w:tc>
                <w:tcPr>
                  <w:tcW w:w="2248" w:type="dxa"/>
                  <w:tcBorders>
                    <w:top w:val="single" w:color="auto" w:sz="4" w:space="0"/>
                    <w:left w:val="single" w:color="auto" w:sz="4" w:space="0"/>
                    <w:bottom w:val="single" w:color="auto" w:sz="4" w:space="0"/>
                    <w:right w:val="single" w:color="auto" w:sz="4" w:space="0"/>
                  </w:tcBorders>
                  <w:vAlign w:val="center"/>
                </w:tcPr>
                <w:p>
                  <w:pPr>
                    <w:snapToGrid w:val="0"/>
                    <w:ind w:firstLine="630" w:firstLineChars="300"/>
                    <w:rPr>
                      <w:rFonts w:ascii="宋体" w:hAnsi="宋体"/>
                      <w:color w:val="000000"/>
                      <w:szCs w:val="21"/>
                    </w:rPr>
                  </w:pPr>
                  <w:r>
                    <w:rPr>
                      <w:rFonts w:ascii="宋体" w:hAnsi="宋体"/>
                      <w:color w:val="000000"/>
                      <w:szCs w:val="21"/>
                    </w:rPr>
                    <w:t>≤16</w:t>
                  </w:r>
                  <w:r>
                    <w:rPr>
                      <w:rFonts w:hint="eastAsia" w:ascii="宋体" w:hAnsi="宋体"/>
                      <w:color w:val="000000"/>
                      <w:szCs w:val="21"/>
                    </w:rPr>
                    <w:t>5</w:t>
                  </w:r>
                </w:p>
                <w:p>
                  <w:pPr>
                    <w:snapToGrid w:val="0"/>
                    <w:ind w:right="945"/>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9088" w:type="dxa"/>
                  <w:gridSpan w:val="6"/>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4、环境管理要求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34" w:type="dxa"/>
                  <w:gridSpan w:val="2"/>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⑴环境法律法规标准</w:t>
                  </w:r>
                </w:p>
              </w:tc>
              <w:tc>
                <w:tcPr>
                  <w:tcW w:w="5406" w:type="dxa"/>
                  <w:gridSpan w:val="3"/>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符合国家和地方有关环境法律、法规、废水、锅炉废气、餐饮油烟、地下车库废气、噪声、震动等污染物达到国家和地方的排放标准、总量控制及排污许可证的相关要求。</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符合国家和地方有关环境法律、标准要求</w:t>
                  </w:r>
                </w:p>
                <w:p>
                  <w:pPr>
                    <w:snapToGrid w:val="0"/>
                    <w:ind w:firstLine="210" w:firstLineChars="100"/>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1" w:hRule="atLeast"/>
              </w:trPr>
              <w:tc>
                <w:tcPr>
                  <w:tcW w:w="143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t>⑵环境审核</w:t>
                  </w:r>
                </w:p>
              </w:tc>
              <w:tc>
                <w:tcPr>
                  <w:tcW w:w="179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按照清洁生产审核暂行办法完成清洁生产审核，完善的清洁生产管理机构，并持续开展清洁生产按照</w:t>
                  </w:r>
                  <w:r>
                    <w:rPr>
                      <w:rFonts w:ascii="宋体" w:hAnsi="宋体"/>
                      <w:color w:val="000000"/>
                      <w:szCs w:val="21"/>
                    </w:rPr>
                    <w:t>GB/T24011</w:t>
                  </w:r>
                  <w:r>
                    <w:rPr>
                      <w:rFonts w:hint="eastAsia" w:ascii="宋体" w:hAnsi="宋体"/>
                      <w:color w:val="000000"/>
                      <w:szCs w:val="21"/>
                    </w:rPr>
                    <w:t>建立并有效运行环境管理体系</w:t>
                  </w:r>
                </w:p>
              </w:tc>
              <w:tc>
                <w:tcPr>
                  <w:tcW w:w="1310"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对运营过程中环境因素进行控制，有严格的操作规程，建立相关方管理制度</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对运营过程中环境因素进行控制，有操作规程，建立相关方管理制度</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对运营过程中环境因素进行控制，有严格的操作规程，建立相关方管理制度（二级）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34" w:type="dxa"/>
                  <w:gridSpan w:val="2"/>
                  <w:tcBorders>
                    <w:top w:val="single" w:color="auto" w:sz="4" w:space="0"/>
                    <w:left w:val="single" w:color="auto" w:sz="4" w:space="0"/>
                    <w:bottom w:val="single" w:color="auto" w:sz="4" w:space="0"/>
                    <w:right w:val="single" w:color="auto" w:sz="4" w:space="0"/>
                  </w:tcBorders>
                  <w:vAlign w:val="center"/>
                </w:tcPr>
                <w:p>
                  <w:pPr>
                    <w:snapToGrid w:val="0"/>
                    <w:ind w:firstLine="480"/>
                    <w:jc w:val="center"/>
                    <w:rPr>
                      <w:rFonts w:ascii="宋体" w:hAnsi="宋体"/>
                      <w:color w:val="000000"/>
                      <w:szCs w:val="21"/>
                    </w:rPr>
                  </w:pPr>
                </w:p>
              </w:tc>
              <w:tc>
                <w:tcPr>
                  <w:tcW w:w="3103" w:type="dxa"/>
                  <w:gridSpan w:val="2"/>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各房间或场所的照明功率密度值不高于</w:t>
                  </w:r>
                  <w:r>
                    <w:rPr>
                      <w:rFonts w:ascii="宋体" w:hAnsi="宋体"/>
                      <w:color w:val="000000"/>
                      <w:szCs w:val="21"/>
                    </w:rPr>
                    <w:t>GB50034</w:t>
                  </w:r>
                  <w:r>
                    <w:rPr>
                      <w:rFonts w:hint="eastAsia" w:ascii="宋体" w:hAnsi="宋体"/>
                      <w:color w:val="000000"/>
                      <w:szCs w:val="21"/>
                    </w:rPr>
                    <w:t>规定的目标值</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各房间或场所的照明功率密度值不高于</w:t>
                  </w:r>
                  <w:r>
                    <w:rPr>
                      <w:rFonts w:ascii="宋体" w:hAnsi="宋体"/>
                      <w:color w:val="000000"/>
                      <w:szCs w:val="21"/>
                    </w:rPr>
                    <w:t>GB50034</w:t>
                  </w:r>
                  <w:r>
                    <w:rPr>
                      <w:rFonts w:hint="eastAsia" w:ascii="宋体" w:hAnsi="宋体"/>
                      <w:color w:val="000000"/>
                      <w:szCs w:val="21"/>
                    </w:rPr>
                    <w:t>规定的现行值</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各房间或场所的照明功率密度值不高于</w:t>
                  </w:r>
                  <w:r>
                    <w:rPr>
                      <w:rFonts w:ascii="宋体" w:hAnsi="宋体"/>
                      <w:color w:val="000000"/>
                      <w:szCs w:val="21"/>
                    </w:rPr>
                    <w:t>GB50034</w:t>
                  </w:r>
                  <w:r>
                    <w:rPr>
                      <w:rFonts w:hint="eastAsia" w:ascii="宋体" w:hAnsi="宋体"/>
                      <w:color w:val="000000"/>
                      <w:szCs w:val="21"/>
                    </w:rPr>
                    <w:t>规定的现行值</w:t>
                  </w:r>
                </w:p>
                <w:p>
                  <w:pPr>
                    <w:snapToGrid w:val="0"/>
                    <w:rPr>
                      <w:rFonts w:ascii="宋体" w:hAnsi="宋体"/>
                      <w:color w:val="000000"/>
                      <w:szCs w:val="21"/>
                    </w:rPr>
                  </w:pPr>
                  <w:r>
                    <w:rPr>
                      <w:rFonts w:hint="eastAsia" w:ascii="宋体" w:hAnsi="宋体"/>
                      <w:color w:val="000000"/>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2" w:hRule="atLeast"/>
              </w:trPr>
              <w:tc>
                <w:tcPr>
                  <w:tcW w:w="143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t>⑶组织机构</w:t>
                  </w:r>
                </w:p>
              </w:tc>
              <w:tc>
                <w:tcPr>
                  <w:tcW w:w="3103" w:type="dxa"/>
                  <w:gridSpan w:val="2"/>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设置环境、能源管理岗位、实</w:t>
                  </w:r>
                </w:p>
                <w:p>
                  <w:pPr>
                    <w:snapToGrid w:val="0"/>
                    <w:rPr>
                      <w:rFonts w:ascii="宋体" w:hAnsi="宋体"/>
                      <w:color w:val="000000"/>
                      <w:szCs w:val="21"/>
                    </w:rPr>
                  </w:pPr>
                  <w:r>
                    <w:rPr>
                      <w:rFonts w:hint="eastAsia" w:ascii="宋体" w:hAnsi="宋体"/>
                      <w:color w:val="000000"/>
                      <w:szCs w:val="21"/>
                    </w:rPr>
                    <w:t>行环境、能源管理岗位责任制</w:t>
                  </w:r>
                </w:p>
                <w:p>
                  <w:pPr>
                    <w:snapToGrid w:val="0"/>
                    <w:rPr>
                      <w:rFonts w:ascii="宋体" w:hAnsi="宋体"/>
                      <w:color w:val="000000"/>
                      <w:szCs w:val="21"/>
                    </w:rPr>
                  </w:pPr>
                  <w:r>
                    <w:rPr>
                      <w:rFonts w:hint="eastAsia" w:ascii="宋体" w:hAnsi="宋体"/>
                      <w:color w:val="000000"/>
                      <w:szCs w:val="21"/>
                    </w:rPr>
                    <w:t>。重点用能系统、设备的操作</w:t>
                  </w:r>
                </w:p>
                <w:p>
                  <w:pPr>
                    <w:snapToGrid w:val="0"/>
                    <w:rPr>
                      <w:rFonts w:ascii="宋体" w:hAnsi="宋体"/>
                      <w:color w:val="000000"/>
                      <w:szCs w:val="21"/>
                    </w:rPr>
                  </w:pPr>
                  <w:r>
                    <w:rPr>
                      <w:rFonts w:hint="eastAsia" w:ascii="宋体" w:hAnsi="宋体"/>
                      <w:color w:val="000000"/>
                      <w:szCs w:val="21"/>
                    </w:rPr>
                    <w:t>岗位应配备专业技术人员。</w:t>
                  </w:r>
                </w:p>
              </w:tc>
              <w:tc>
                <w:tcPr>
                  <w:tcW w:w="2303"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设置环境、能源管理岗位、实行环境、能源管理岗位责任制</w:t>
                  </w:r>
                </w:p>
                <w:p>
                  <w:pPr>
                    <w:widowControl/>
                    <w:rPr>
                      <w:rFonts w:ascii="宋体" w:hAnsi="宋体"/>
                      <w:color w:val="000000"/>
                      <w:szCs w:val="21"/>
                    </w:rPr>
                  </w:pPr>
                </w:p>
                <w:p>
                  <w:pPr>
                    <w:snapToGrid w:val="0"/>
                    <w:rPr>
                      <w:rFonts w:ascii="宋体" w:hAnsi="宋体"/>
                      <w:color w:val="000000"/>
                      <w:szCs w:val="21"/>
                    </w:rPr>
                  </w:pP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设置环境、能源管理岗位、实行环境、能源管</w:t>
                  </w:r>
                </w:p>
                <w:p>
                  <w:pPr>
                    <w:snapToGrid w:val="0"/>
                    <w:rPr>
                      <w:rFonts w:ascii="宋体" w:hAnsi="宋体"/>
                      <w:color w:val="000000"/>
                      <w:szCs w:val="21"/>
                    </w:rPr>
                  </w:pPr>
                  <w:r>
                    <w:rPr>
                      <w:rFonts w:hint="eastAsia" w:ascii="宋体" w:hAnsi="宋体"/>
                      <w:color w:val="000000"/>
                      <w:szCs w:val="21"/>
                    </w:rPr>
                    <w:t>理岗位责任制（三级）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3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fldChar w:fldCharType="begin"/>
                  </w:r>
                  <w:r>
                    <w:rPr>
                      <w:rFonts w:hint="eastAsia" w:ascii="宋体" w:hAnsi="宋体"/>
                      <w:color w:val="000000"/>
                      <w:szCs w:val="21"/>
                    </w:rPr>
                    <w:instrText xml:space="preserve"> = 4 \* GB2 </w:instrText>
                  </w:r>
                  <w:r>
                    <w:rPr>
                      <w:rFonts w:hint="eastAsia" w:ascii="宋体" w:hAnsi="宋体"/>
                      <w:color w:val="000000"/>
                      <w:szCs w:val="21"/>
                    </w:rPr>
                    <w:fldChar w:fldCharType="separate"/>
                  </w:r>
                  <w:r>
                    <w:rPr>
                      <w:rFonts w:hint="eastAsia" w:ascii="宋体" w:hAnsi="宋体"/>
                      <w:color w:val="000000"/>
                      <w:szCs w:val="21"/>
                    </w:rPr>
                    <w:t>⑷</w:t>
                  </w:r>
                  <w:r>
                    <w:rPr>
                      <w:rFonts w:hint="eastAsia" w:ascii="宋体" w:hAnsi="宋体"/>
                      <w:color w:val="000000"/>
                      <w:szCs w:val="21"/>
                    </w:rPr>
                    <w:fldChar w:fldCharType="end"/>
                  </w:r>
                  <w:r>
                    <w:rPr>
                      <w:rFonts w:hint="eastAsia" w:ascii="宋体" w:hAnsi="宋体"/>
                      <w:color w:val="000000"/>
                      <w:szCs w:val="21"/>
                    </w:rPr>
                    <w:t>管理制度</w:t>
                  </w:r>
                </w:p>
              </w:tc>
              <w:tc>
                <w:tcPr>
                  <w:tcW w:w="5406" w:type="dxa"/>
                  <w:gridSpan w:val="3"/>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有明确环境目标和行动措施；有健全的公共安全、食品安全、节能降耗、环保的规章制度；有定期检查目标实现情况和规章制度执行情况的记录</w:t>
                  </w:r>
                </w:p>
              </w:tc>
              <w:tc>
                <w:tcPr>
                  <w:tcW w:w="2248" w:type="dxa"/>
                  <w:tcBorders>
                    <w:top w:val="single" w:color="auto" w:sz="4" w:space="0"/>
                    <w:left w:val="single" w:color="auto" w:sz="4" w:space="0"/>
                    <w:bottom w:val="single" w:color="auto" w:sz="4" w:space="0"/>
                    <w:right w:val="single" w:color="auto" w:sz="4" w:space="0"/>
                  </w:tcBorders>
                </w:tcPr>
                <w:p>
                  <w:pPr>
                    <w:snapToGrid w:val="0"/>
                    <w:rPr>
                      <w:rFonts w:ascii="宋体" w:hAnsi="宋体"/>
                      <w:color w:val="000000"/>
                      <w:szCs w:val="21"/>
                    </w:rPr>
                  </w:pPr>
                  <w:r>
                    <w:rPr>
                      <w:rFonts w:hint="eastAsia" w:ascii="宋体" w:hAnsi="宋体"/>
                      <w:color w:val="000000"/>
                      <w:szCs w:val="21"/>
                    </w:rPr>
                    <w:t>有明确环境目标、行动措施、制度、定期检查记录（三级）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143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fldChar w:fldCharType="begin"/>
                  </w:r>
                  <w:r>
                    <w:rPr>
                      <w:rFonts w:hint="eastAsia" w:ascii="宋体" w:hAnsi="宋体"/>
                      <w:color w:val="000000"/>
                      <w:szCs w:val="21"/>
                    </w:rPr>
                    <w:instrText xml:space="preserve"> = 5 \* GB2 </w:instrText>
                  </w:r>
                  <w:r>
                    <w:rPr>
                      <w:rFonts w:hint="eastAsia" w:ascii="宋体" w:hAnsi="宋体"/>
                      <w:color w:val="000000"/>
                      <w:szCs w:val="21"/>
                    </w:rPr>
                    <w:fldChar w:fldCharType="separate"/>
                  </w:r>
                  <w:r>
                    <w:rPr>
                      <w:rFonts w:hint="eastAsia" w:ascii="宋体" w:hAnsi="宋体"/>
                      <w:color w:val="000000"/>
                      <w:szCs w:val="21"/>
                    </w:rPr>
                    <w:t>⑸</w:t>
                  </w:r>
                  <w:r>
                    <w:rPr>
                      <w:rFonts w:hint="eastAsia" w:ascii="宋体" w:hAnsi="宋体"/>
                      <w:color w:val="000000"/>
                      <w:szCs w:val="21"/>
                    </w:rPr>
                    <w:fldChar w:fldCharType="end"/>
                  </w:r>
                  <w:r>
                    <w:rPr>
                      <w:rFonts w:hint="eastAsia" w:ascii="宋体" w:hAnsi="宋体"/>
                      <w:color w:val="000000"/>
                      <w:szCs w:val="21"/>
                    </w:rPr>
                    <w:t>宣传管理</w:t>
                  </w:r>
                </w:p>
              </w:tc>
              <w:tc>
                <w:tcPr>
                  <w:tcW w:w="5406"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hint="eastAsia" w:ascii="宋体" w:hAnsi="宋体"/>
                      <w:color w:val="000000"/>
                      <w:szCs w:val="21"/>
                    </w:rPr>
                    <w:t>客人活动区域告示、宣传牌等形势鼓励并引导顾客进行绿色消费</w:t>
                  </w:r>
                </w:p>
              </w:tc>
              <w:tc>
                <w:tcPr>
                  <w:tcW w:w="2248"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olor w:val="000000"/>
                      <w:szCs w:val="21"/>
                    </w:rPr>
                  </w:pPr>
                  <w:r>
                    <w:rPr>
                      <w:rFonts w:hint="eastAsia" w:ascii="宋体" w:hAnsi="宋体"/>
                      <w:color w:val="000000"/>
                      <w:szCs w:val="21"/>
                    </w:rPr>
                    <w:t>客人活动区域有告示、宣传牌引导客人绿色消费（三级）</w:t>
                  </w:r>
                </w:p>
              </w:tc>
            </w:tr>
          </w:tbl>
          <w:p>
            <w:pPr>
              <w:spacing w:line="440" w:lineRule="exact"/>
              <w:ind w:firstLine="482"/>
              <w:rPr>
                <w:rFonts w:ascii="宋体" w:hAnsi="宋体"/>
                <w:color w:val="000000"/>
                <w:sz w:val="24"/>
              </w:rPr>
            </w:pPr>
            <w:r>
              <w:rPr>
                <w:rFonts w:hint="eastAsia" w:ascii="宋体" w:hAnsi="宋体"/>
                <w:color w:val="000000"/>
                <w:sz w:val="24"/>
              </w:rPr>
              <w:t>综上所述，本项目采用先进工艺，清洁生产水平为国内清洁生产基本水平，评价要求建设单位应加大环境管理力度，完善环境管理各项制度以达到国内清洁生产先进水平。</w:t>
            </w:r>
          </w:p>
          <w:p>
            <w:pPr>
              <w:spacing w:line="440" w:lineRule="exact"/>
              <w:ind w:firstLine="352" w:firstLineChars="147"/>
              <w:rPr>
                <w:rFonts w:ascii="宋体" w:hAnsi="宋体"/>
                <w:bCs/>
                <w:color w:val="000000"/>
                <w:sz w:val="24"/>
              </w:rPr>
            </w:pPr>
            <w:r>
              <w:rPr>
                <w:rFonts w:hint="eastAsia" w:ascii="宋体" w:hAnsi="宋体"/>
                <w:bCs/>
                <w:color w:val="000000"/>
                <w:sz w:val="24"/>
              </w:rPr>
              <w:t>（</w:t>
            </w:r>
            <w:r>
              <w:rPr>
                <w:rFonts w:hint="eastAsia" w:ascii="宋体" w:hAnsi="宋体"/>
                <w:bCs/>
                <w:color w:val="000000"/>
                <w:sz w:val="24"/>
                <w:lang w:eastAsia="zh-CN"/>
              </w:rPr>
              <w:t>六</w:t>
            </w:r>
            <w:r>
              <w:rPr>
                <w:rFonts w:hint="eastAsia" w:ascii="宋体" w:hAnsi="宋体"/>
                <w:bCs/>
                <w:color w:val="000000"/>
                <w:sz w:val="24"/>
              </w:rPr>
              <w:t>）施工期环境监管</w:t>
            </w:r>
          </w:p>
          <w:p>
            <w:pPr>
              <w:spacing w:line="360" w:lineRule="auto"/>
              <w:ind w:firstLine="480" w:firstLineChars="200"/>
              <w:rPr>
                <w:rFonts w:ascii="宋体" w:hAnsi="宋体"/>
                <w:color w:val="000000" w:themeColor="text1"/>
                <w:sz w:val="24"/>
              </w:rPr>
            </w:pPr>
            <w:r>
              <w:rPr>
                <w:rFonts w:hint="eastAsia" w:ascii="宋体" w:hAnsi="宋体"/>
                <w:color w:val="000000"/>
                <w:sz w:val="24"/>
              </w:rPr>
              <w:t>评价提出的施工期环境监管清单见表</w:t>
            </w:r>
            <w:r>
              <w:rPr>
                <w:rFonts w:hint="eastAsia" w:ascii="宋体" w:hAnsi="宋体"/>
                <w:color w:val="000000" w:themeColor="text1"/>
                <w:sz w:val="24"/>
              </w:rPr>
              <w:t>2</w:t>
            </w:r>
            <w:r>
              <w:rPr>
                <w:rFonts w:hint="eastAsia" w:ascii="宋体" w:hAnsi="宋体"/>
                <w:color w:val="000000" w:themeColor="text1"/>
                <w:sz w:val="24"/>
                <w:lang w:val="en-US" w:eastAsia="zh-CN"/>
              </w:rPr>
              <w:t>3</w:t>
            </w:r>
            <w:r>
              <w:rPr>
                <w:rFonts w:hint="eastAsia" w:ascii="宋体" w:hAnsi="宋体"/>
                <w:color w:val="000000" w:themeColor="text1"/>
                <w:sz w:val="24"/>
              </w:rPr>
              <w:t>。</w:t>
            </w:r>
          </w:p>
          <w:p>
            <w:pPr>
              <w:adjustRightInd w:val="0"/>
              <w:snapToGrid w:val="0"/>
              <w:ind w:firstLine="1999" w:firstLineChars="833"/>
              <w:rPr>
                <w:rFonts w:ascii="宋体" w:hAnsi="宋体"/>
                <w:color w:val="000000"/>
                <w:sz w:val="24"/>
              </w:rPr>
            </w:pPr>
            <w:r>
              <w:rPr>
                <w:rFonts w:hint="eastAsia" w:ascii="宋体" w:hAnsi="宋体"/>
                <w:color w:val="000000" w:themeColor="text1"/>
                <w:sz w:val="24"/>
              </w:rPr>
              <w:t>表2</w:t>
            </w:r>
            <w:r>
              <w:rPr>
                <w:rFonts w:hint="eastAsia" w:ascii="宋体" w:hAnsi="宋体"/>
                <w:color w:val="000000" w:themeColor="text1"/>
                <w:sz w:val="24"/>
                <w:lang w:val="en-US" w:eastAsia="zh-CN"/>
              </w:rPr>
              <w:t>3</w:t>
            </w:r>
            <w:r>
              <w:rPr>
                <w:rFonts w:ascii="宋体" w:hAnsi="宋体"/>
                <w:color w:val="000000" w:themeColor="text1"/>
                <w:sz w:val="24"/>
              </w:rPr>
              <w:t xml:space="preserve">          </w:t>
            </w:r>
            <w:r>
              <w:rPr>
                <w:rFonts w:hint="eastAsia" w:ascii="宋体" w:hAnsi="宋体"/>
                <w:color w:val="000000" w:themeColor="text1"/>
                <w:sz w:val="24"/>
              </w:rPr>
              <w:t>施工期环境</w:t>
            </w:r>
            <w:r>
              <w:rPr>
                <w:rFonts w:hint="eastAsia" w:ascii="宋体" w:hAnsi="宋体"/>
                <w:color w:val="000000"/>
                <w:sz w:val="24"/>
              </w:rPr>
              <w:t>监管表</w:t>
            </w:r>
          </w:p>
          <w:tbl>
            <w:tblPr>
              <w:tblStyle w:val="42"/>
              <w:tblW w:w="9231"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519"/>
              <w:gridCol w:w="3385"/>
              <w:gridCol w:w="3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tblHeader/>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序号</w:t>
                  </w:r>
                </w:p>
              </w:tc>
              <w:tc>
                <w:tcPr>
                  <w:tcW w:w="15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项目</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内容</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1</w:t>
                  </w:r>
                </w:p>
              </w:tc>
              <w:tc>
                <w:tcPr>
                  <w:tcW w:w="15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场地平整</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施工场地周边设</w:t>
                  </w:r>
                  <w:r>
                    <w:rPr>
                      <w:rFonts w:ascii="宋体" w:hAnsi="宋体"/>
                      <w:color w:val="000000"/>
                      <w:szCs w:val="21"/>
                    </w:rPr>
                    <w:t>1.8m</w:t>
                  </w:r>
                  <w:r>
                    <w:rPr>
                      <w:rFonts w:hint="eastAsia" w:ascii="宋体" w:hAnsi="宋体"/>
                      <w:color w:val="000000"/>
                      <w:szCs w:val="21"/>
                    </w:rPr>
                    <w:t>高硬质围墙或围挡</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风速</w:t>
                  </w:r>
                  <w:r>
                    <w:rPr>
                      <w:rFonts w:ascii="宋体" w:hAnsi="宋体"/>
                      <w:color w:val="000000"/>
                      <w:szCs w:val="21"/>
                    </w:rPr>
                    <w:t>≥4.0m/s</w:t>
                  </w:r>
                  <w:r>
                    <w:rPr>
                      <w:rFonts w:hint="eastAsia" w:ascii="宋体" w:hAnsi="宋体"/>
                      <w:color w:val="000000"/>
                      <w:szCs w:val="21"/>
                    </w:rPr>
                    <w:t>时应停止土方等扬尘类施工，并采取必要的防尘措施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2</w:t>
                  </w:r>
                </w:p>
              </w:tc>
              <w:tc>
                <w:tcPr>
                  <w:tcW w:w="15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基础开挖</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①</w:t>
                  </w:r>
                  <w:r>
                    <w:rPr>
                      <w:rFonts w:ascii="宋体" w:hAnsi="宋体"/>
                      <w:color w:val="000000"/>
                      <w:szCs w:val="21"/>
                    </w:rPr>
                    <w:t xml:space="preserve"> </w:t>
                  </w:r>
                  <w:r>
                    <w:rPr>
                      <w:rFonts w:hint="eastAsia" w:ascii="宋体" w:hAnsi="宋体"/>
                      <w:color w:val="000000"/>
                      <w:szCs w:val="21"/>
                    </w:rPr>
                    <w:t>开挖产生土方尽量用于场地填方；</w:t>
                  </w:r>
                </w:p>
                <w:p>
                  <w:pPr>
                    <w:spacing w:line="240" w:lineRule="exact"/>
                    <w:rPr>
                      <w:rFonts w:ascii="宋体" w:hAnsi="宋体"/>
                      <w:color w:val="000000"/>
                      <w:szCs w:val="21"/>
                    </w:rPr>
                  </w:pPr>
                  <w:r>
                    <w:rPr>
                      <w:rFonts w:hint="eastAsia" w:ascii="宋体" w:hAnsi="宋体"/>
                      <w:color w:val="000000"/>
                      <w:szCs w:val="21"/>
                    </w:rPr>
                    <w:t>②</w:t>
                  </w:r>
                  <w:r>
                    <w:rPr>
                      <w:rFonts w:ascii="宋体" w:hAnsi="宋体"/>
                      <w:color w:val="000000"/>
                      <w:szCs w:val="21"/>
                    </w:rPr>
                    <w:t xml:space="preserve"> </w:t>
                  </w:r>
                  <w:r>
                    <w:rPr>
                      <w:rFonts w:hint="eastAsia" w:ascii="宋体" w:hAnsi="宋体"/>
                      <w:color w:val="000000"/>
                      <w:szCs w:val="21"/>
                    </w:rPr>
                    <w:t>干燥天气施工定时洒水降尘</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①</w:t>
                  </w:r>
                  <w:r>
                    <w:rPr>
                      <w:rFonts w:ascii="宋体" w:hAnsi="宋体"/>
                      <w:color w:val="000000"/>
                      <w:szCs w:val="21"/>
                    </w:rPr>
                    <w:t xml:space="preserve"> </w:t>
                  </w:r>
                  <w:r>
                    <w:rPr>
                      <w:rFonts w:hint="eastAsia" w:ascii="宋体" w:hAnsi="宋体"/>
                      <w:color w:val="000000"/>
                      <w:szCs w:val="21"/>
                    </w:rPr>
                    <w:t>砂土在项目区内合理处置、遮盖；</w:t>
                  </w:r>
                </w:p>
                <w:p>
                  <w:pPr>
                    <w:spacing w:line="240" w:lineRule="exact"/>
                    <w:rPr>
                      <w:rFonts w:ascii="宋体" w:hAnsi="宋体"/>
                      <w:color w:val="000000"/>
                      <w:szCs w:val="21"/>
                    </w:rPr>
                  </w:pPr>
                  <w:r>
                    <w:rPr>
                      <w:rFonts w:hint="eastAsia" w:ascii="宋体" w:hAnsi="宋体"/>
                      <w:color w:val="000000"/>
                      <w:szCs w:val="21"/>
                    </w:rPr>
                    <w:t>②</w:t>
                  </w:r>
                  <w:r>
                    <w:rPr>
                      <w:rFonts w:ascii="宋体" w:hAnsi="宋体"/>
                      <w:color w:val="000000"/>
                      <w:szCs w:val="21"/>
                    </w:rPr>
                    <w:t xml:space="preserve"> </w:t>
                  </w:r>
                  <w:r>
                    <w:rPr>
                      <w:rFonts w:hint="eastAsia" w:ascii="宋体" w:hAnsi="宋体"/>
                      <w:color w:val="000000"/>
                      <w:szCs w:val="21"/>
                    </w:rPr>
                    <w:t>强化环境管理，减少施工扬尘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3</w:t>
                  </w:r>
                </w:p>
              </w:tc>
              <w:tc>
                <w:tcPr>
                  <w:tcW w:w="15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施工扬尘点</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建筑材料石灰、水泥、砂土石堆放场（库）及现场作业点等</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扬尘点应选在常住人群下风向，应设在场地内远离周围环境敏感点一侧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4</w:t>
                  </w:r>
                </w:p>
              </w:tc>
              <w:tc>
                <w:tcPr>
                  <w:tcW w:w="1519" w:type="dxa"/>
                  <w:tcBorders>
                    <w:top w:val="single" w:color="auto" w:sz="4" w:space="0"/>
                    <w:left w:val="single" w:color="auto" w:sz="4" w:space="0"/>
                    <w:bottom w:val="single" w:color="auto" w:sz="4" w:space="0"/>
                    <w:right w:val="single" w:color="auto" w:sz="4" w:space="0"/>
                  </w:tcBorders>
                  <w:vAlign w:val="center"/>
                </w:tcPr>
                <w:p>
                  <w:pPr>
                    <w:pStyle w:val="253"/>
                    <w:adjustRightInd/>
                    <w:spacing w:line="240" w:lineRule="exact"/>
                    <w:ind w:firstLine="210" w:firstLineChars="100"/>
                    <w:rPr>
                      <w:rFonts w:ascii="宋体" w:hAnsi="宋体"/>
                      <w:color w:val="000000"/>
                      <w:kern w:val="2"/>
                      <w:szCs w:val="21"/>
                    </w:rPr>
                  </w:pPr>
                  <w:r>
                    <w:rPr>
                      <w:rFonts w:hint="eastAsia" w:ascii="宋体" w:hAnsi="宋体"/>
                      <w:color w:val="000000"/>
                      <w:kern w:val="2"/>
                      <w:szCs w:val="21"/>
                    </w:rPr>
                    <w:t>建筑砂石</w:t>
                  </w:r>
                </w:p>
                <w:p>
                  <w:pPr>
                    <w:pStyle w:val="253"/>
                    <w:adjustRightInd/>
                    <w:spacing w:line="240" w:lineRule="exact"/>
                    <w:ind w:firstLine="210" w:firstLineChars="100"/>
                    <w:rPr>
                      <w:rFonts w:ascii="宋体" w:hAnsi="宋体"/>
                      <w:color w:val="000000"/>
                      <w:kern w:val="2"/>
                      <w:szCs w:val="21"/>
                    </w:rPr>
                  </w:pPr>
                  <w:r>
                    <w:rPr>
                      <w:rFonts w:hint="eastAsia" w:ascii="宋体" w:hAnsi="宋体"/>
                      <w:color w:val="000000"/>
                      <w:kern w:val="2"/>
                      <w:szCs w:val="21"/>
                    </w:rPr>
                    <w:t>材料运输</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①</w:t>
                  </w:r>
                  <w:r>
                    <w:rPr>
                      <w:rFonts w:ascii="宋体" w:hAnsi="宋体"/>
                      <w:color w:val="000000"/>
                      <w:szCs w:val="21"/>
                    </w:rPr>
                    <w:t xml:space="preserve"> </w:t>
                  </w:r>
                  <w:r>
                    <w:rPr>
                      <w:rFonts w:hint="eastAsia" w:ascii="宋体" w:hAnsi="宋体"/>
                      <w:color w:val="000000"/>
                      <w:szCs w:val="21"/>
                    </w:rPr>
                    <w:t>水泥、石灰等运输、装卸；</w:t>
                  </w:r>
                </w:p>
                <w:p>
                  <w:pPr>
                    <w:spacing w:line="240" w:lineRule="exact"/>
                    <w:rPr>
                      <w:rFonts w:ascii="宋体" w:hAnsi="宋体"/>
                      <w:color w:val="000000"/>
                      <w:szCs w:val="21"/>
                    </w:rPr>
                  </w:pPr>
                  <w:r>
                    <w:rPr>
                      <w:rFonts w:hint="eastAsia" w:ascii="宋体" w:hAnsi="宋体"/>
                      <w:color w:val="000000"/>
                      <w:szCs w:val="21"/>
                    </w:rPr>
                    <w:t>②</w:t>
                  </w:r>
                  <w:r>
                    <w:rPr>
                      <w:rFonts w:ascii="宋体" w:hAnsi="宋体"/>
                      <w:color w:val="000000"/>
                      <w:szCs w:val="21"/>
                    </w:rPr>
                    <w:t xml:space="preserve"> </w:t>
                  </w:r>
                  <w:r>
                    <w:rPr>
                      <w:rFonts w:hint="eastAsia" w:ascii="宋体" w:hAnsi="宋体"/>
                      <w:color w:val="000000"/>
                      <w:szCs w:val="21"/>
                    </w:rPr>
                    <w:t>运输建筑砂石车辆加盖篷布</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①</w:t>
                  </w:r>
                  <w:r>
                    <w:rPr>
                      <w:rFonts w:ascii="宋体" w:hAnsi="宋体"/>
                      <w:color w:val="000000"/>
                      <w:szCs w:val="21"/>
                    </w:rPr>
                    <w:t xml:space="preserve"> </w:t>
                  </w:r>
                  <w:r>
                    <w:rPr>
                      <w:rFonts w:hint="eastAsia" w:ascii="宋体" w:hAnsi="宋体"/>
                      <w:color w:val="000000"/>
                      <w:szCs w:val="21"/>
                    </w:rPr>
                    <w:t>使用商品混凝土，罐装运输；</w:t>
                  </w:r>
                </w:p>
                <w:p>
                  <w:pPr>
                    <w:spacing w:line="240" w:lineRule="exact"/>
                    <w:rPr>
                      <w:rFonts w:ascii="宋体" w:hAnsi="宋体"/>
                      <w:color w:val="000000"/>
                      <w:szCs w:val="21"/>
                    </w:rPr>
                  </w:pPr>
                  <w:r>
                    <w:rPr>
                      <w:rFonts w:hint="eastAsia" w:ascii="宋体" w:hAnsi="宋体"/>
                      <w:color w:val="000000"/>
                      <w:szCs w:val="21"/>
                    </w:rPr>
                    <w:t>②</w:t>
                  </w:r>
                  <w:r>
                    <w:rPr>
                      <w:rFonts w:ascii="宋体" w:hAnsi="宋体"/>
                      <w:color w:val="000000"/>
                      <w:szCs w:val="21"/>
                    </w:rPr>
                    <w:t xml:space="preserve"> </w:t>
                  </w:r>
                  <w:r>
                    <w:rPr>
                      <w:rFonts w:hint="eastAsia" w:ascii="宋体" w:hAnsi="宋体"/>
                      <w:color w:val="000000"/>
                      <w:szCs w:val="21"/>
                    </w:rPr>
                    <w:t>无篷布车辆不得运输砂石料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5</w:t>
                  </w:r>
                </w:p>
              </w:tc>
              <w:tc>
                <w:tcPr>
                  <w:tcW w:w="1519" w:type="dxa"/>
                  <w:tcBorders>
                    <w:top w:val="single" w:color="auto" w:sz="4" w:space="0"/>
                    <w:left w:val="single" w:color="auto" w:sz="4" w:space="0"/>
                    <w:bottom w:val="single" w:color="auto" w:sz="4" w:space="0"/>
                    <w:right w:val="single" w:color="auto" w:sz="4" w:space="0"/>
                  </w:tcBorders>
                  <w:vAlign w:val="center"/>
                </w:tcPr>
                <w:p>
                  <w:pPr>
                    <w:pStyle w:val="253"/>
                    <w:adjustRightInd/>
                    <w:spacing w:line="240" w:lineRule="exact"/>
                    <w:rPr>
                      <w:rFonts w:ascii="宋体" w:hAnsi="宋体"/>
                      <w:color w:val="000000"/>
                      <w:kern w:val="2"/>
                      <w:szCs w:val="21"/>
                    </w:rPr>
                  </w:pPr>
                  <w:r>
                    <w:rPr>
                      <w:rFonts w:hint="eastAsia" w:ascii="宋体" w:hAnsi="宋体"/>
                      <w:color w:val="000000"/>
                      <w:kern w:val="2"/>
                      <w:szCs w:val="21"/>
                    </w:rPr>
                    <w:t>建筑物料堆放</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沙、渣土、灰土等易产生扬尘的物料，必须采取覆盖等防尘措施</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扬尘物料不得露天堆放；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6</w:t>
                  </w:r>
                </w:p>
              </w:tc>
              <w:tc>
                <w:tcPr>
                  <w:tcW w:w="15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施工噪声监理</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合理安排工期，严禁夜间及午休时间进行高噪声设备施工</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①</w:t>
                  </w:r>
                  <w:r>
                    <w:rPr>
                      <w:rFonts w:ascii="宋体" w:hAnsi="宋体"/>
                      <w:color w:val="000000"/>
                      <w:szCs w:val="21"/>
                    </w:rPr>
                    <w:t xml:space="preserve"> </w:t>
                  </w:r>
                  <w:r>
                    <w:rPr>
                      <w:rFonts w:hint="eastAsia" w:ascii="宋体" w:hAnsi="宋体"/>
                      <w:color w:val="000000"/>
                      <w:szCs w:val="21"/>
                    </w:rPr>
                    <w:t>施工场界满足标准限值要求；</w:t>
                  </w:r>
                </w:p>
                <w:p>
                  <w:pPr>
                    <w:spacing w:line="240" w:lineRule="exact"/>
                    <w:rPr>
                      <w:rFonts w:ascii="宋体" w:hAnsi="宋体"/>
                      <w:color w:val="000000"/>
                      <w:szCs w:val="21"/>
                    </w:rPr>
                  </w:pPr>
                  <w:r>
                    <w:rPr>
                      <w:rFonts w:hint="eastAsia" w:ascii="宋体" w:hAnsi="宋体"/>
                      <w:color w:val="000000"/>
                      <w:szCs w:val="21"/>
                    </w:rPr>
                    <w:t>②</w:t>
                  </w:r>
                  <w:r>
                    <w:rPr>
                      <w:rFonts w:ascii="宋体" w:hAnsi="宋体"/>
                      <w:color w:val="000000"/>
                      <w:szCs w:val="21"/>
                    </w:rPr>
                    <w:t xml:space="preserve"> </w:t>
                  </w:r>
                  <w:r>
                    <w:rPr>
                      <w:rFonts w:hint="eastAsia" w:ascii="宋体" w:hAnsi="宋体"/>
                      <w:color w:val="000000"/>
                      <w:szCs w:val="21"/>
                    </w:rPr>
                    <w:t>尽量减轻对周围居民及单位的声环境影响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7</w:t>
                  </w:r>
                </w:p>
              </w:tc>
              <w:tc>
                <w:tcPr>
                  <w:tcW w:w="1519" w:type="dxa"/>
                  <w:tcBorders>
                    <w:top w:val="single" w:color="auto" w:sz="4" w:space="0"/>
                    <w:left w:val="single" w:color="auto" w:sz="4" w:space="0"/>
                    <w:bottom w:val="single" w:color="auto" w:sz="4" w:space="0"/>
                    <w:right w:val="single" w:color="auto" w:sz="4" w:space="0"/>
                  </w:tcBorders>
                  <w:vAlign w:val="center"/>
                </w:tcPr>
                <w:p>
                  <w:pPr>
                    <w:pStyle w:val="253"/>
                    <w:adjustRightInd/>
                    <w:spacing w:line="240" w:lineRule="exact"/>
                    <w:ind w:firstLine="210" w:firstLineChars="100"/>
                    <w:rPr>
                      <w:rFonts w:ascii="宋体" w:hAnsi="宋体"/>
                      <w:color w:val="000000"/>
                      <w:kern w:val="2"/>
                      <w:szCs w:val="21"/>
                    </w:rPr>
                  </w:pPr>
                  <w:r>
                    <w:rPr>
                      <w:rFonts w:hint="eastAsia" w:ascii="宋体" w:hAnsi="宋体"/>
                      <w:color w:val="000000"/>
                      <w:kern w:val="2"/>
                      <w:szCs w:val="21"/>
                    </w:rPr>
                    <w:t>场地道路</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硬化道路地面，防止扬尘</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①</w:t>
                  </w:r>
                  <w:r>
                    <w:rPr>
                      <w:rFonts w:ascii="宋体" w:hAnsi="宋体"/>
                      <w:color w:val="000000"/>
                      <w:szCs w:val="21"/>
                    </w:rPr>
                    <w:t xml:space="preserve"> </w:t>
                  </w:r>
                  <w:r>
                    <w:rPr>
                      <w:rFonts w:hint="eastAsia" w:ascii="宋体" w:hAnsi="宋体"/>
                      <w:color w:val="000000"/>
                      <w:szCs w:val="21"/>
                    </w:rPr>
                    <w:t>含泥沙浆等废水经沉淀池处理后回用，不得随意排放；</w:t>
                  </w:r>
                </w:p>
                <w:p>
                  <w:pPr>
                    <w:spacing w:line="240" w:lineRule="exact"/>
                    <w:rPr>
                      <w:rFonts w:ascii="宋体" w:hAnsi="宋体"/>
                      <w:color w:val="000000"/>
                      <w:szCs w:val="21"/>
                    </w:rPr>
                  </w:pPr>
                  <w:r>
                    <w:rPr>
                      <w:rFonts w:hint="eastAsia" w:ascii="宋体" w:hAnsi="宋体"/>
                      <w:color w:val="000000"/>
                      <w:szCs w:val="21"/>
                    </w:rPr>
                    <w:t>②</w:t>
                  </w:r>
                  <w:r>
                    <w:rPr>
                      <w:rFonts w:ascii="宋体" w:hAnsi="宋体"/>
                      <w:color w:val="000000"/>
                      <w:szCs w:val="21"/>
                    </w:rPr>
                    <w:t xml:space="preserve"> </w:t>
                  </w:r>
                  <w:r>
                    <w:rPr>
                      <w:rFonts w:hint="eastAsia" w:ascii="宋体" w:hAnsi="宋体"/>
                      <w:color w:val="000000"/>
                      <w:szCs w:val="21"/>
                    </w:rPr>
                    <w:t>定时洒水抑尘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 w:hRule="atLeast"/>
              </w:trPr>
              <w:tc>
                <w:tcPr>
                  <w:tcW w:w="6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ascii="宋体" w:hAnsi="宋体"/>
                      <w:color w:val="000000"/>
                      <w:szCs w:val="21"/>
                    </w:rPr>
                    <w:t>8</w:t>
                  </w:r>
                </w:p>
              </w:tc>
              <w:tc>
                <w:tcPr>
                  <w:tcW w:w="1519" w:type="dxa"/>
                  <w:tcBorders>
                    <w:top w:val="single" w:color="auto" w:sz="4" w:space="0"/>
                    <w:left w:val="single" w:color="auto" w:sz="4" w:space="0"/>
                    <w:bottom w:val="single" w:color="auto" w:sz="4" w:space="0"/>
                    <w:right w:val="single" w:color="auto" w:sz="4" w:space="0"/>
                  </w:tcBorders>
                  <w:vAlign w:val="center"/>
                </w:tcPr>
                <w:p>
                  <w:pPr>
                    <w:pStyle w:val="253"/>
                    <w:adjustRightInd/>
                    <w:spacing w:line="240" w:lineRule="exact"/>
                    <w:ind w:firstLine="210" w:firstLineChars="100"/>
                    <w:rPr>
                      <w:rFonts w:ascii="宋体" w:hAnsi="宋体"/>
                      <w:color w:val="000000"/>
                      <w:kern w:val="2"/>
                      <w:szCs w:val="21"/>
                    </w:rPr>
                  </w:pPr>
                  <w:r>
                    <w:rPr>
                      <w:rFonts w:hint="eastAsia" w:ascii="宋体" w:hAnsi="宋体"/>
                      <w:color w:val="000000"/>
                      <w:kern w:val="2"/>
                      <w:szCs w:val="21"/>
                    </w:rPr>
                    <w:t>环境绿化</w:t>
                  </w:r>
                </w:p>
              </w:tc>
              <w:tc>
                <w:tcPr>
                  <w:tcW w:w="338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施工结束时应及时开展环境绿化</w:t>
                  </w:r>
                </w:p>
              </w:tc>
              <w:tc>
                <w:tcPr>
                  <w:tcW w:w="366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olor w:val="000000"/>
                      <w:szCs w:val="21"/>
                    </w:rPr>
                  </w:pPr>
                  <w:r>
                    <w:rPr>
                      <w:rFonts w:hint="eastAsia" w:ascii="宋体" w:hAnsi="宋体"/>
                      <w:color w:val="000000"/>
                      <w:szCs w:val="21"/>
                    </w:rPr>
                    <w:t>充分利用场地进行环境绿化，绿化率大于</w:t>
                  </w:r>
                  <w:r>
                    <w:rPr>
                      <w:rFonts w:ascii="宋体" w:hAnsi="宋体"/>
                      <w:color w:val="000000"/>
                      <w:szCs w:val="21"/>
                    </w:rPr>
                    <w:t>30%</w:t>
                  </w:r>
                </w:p>
              </w:tc>
            </w:tr>
          </w:tbl>
          <w:p>
            <w:pPr>
              <w:spacing w:beforeLines="50" w:line="360" w:lineRule="auto"/>
              <w:ind w:firstLine="470" w:firstLineChars="196"/>
              <w:jc w:val="left"/>
              <w:rPr>
                <w:rFonts w:ascii="宋体" w:hAnsi="宋体"/>
                <w:b/>
                <w:color w:val="000000"/>
                <w:sz w:val="24"/>
              </w:rPr>
            </w:pPr>
            <w:r>
              <w:rPr>
                <w:rFonts w:hint="eastAsia" w:ascii="宋体" w:hAnsi="宋体"/>
                <w:bCs/>
                <w:color w:val="000000"/>
                <w:sz w:val="24"/>
              </w:rPr>
              <w:t>（</w:t>
            </w:r>
            <w:r>
              <w:rPr>
                <w:rFonts w:hint="eastAsia" w:ascii="宋体" w:hAnsi="宋体"/>
                <w:bCs/>
                <w:color w:val="000000"/>
                <w:sz w:val="24"/>
                <w:lang w:eastAsia="zh-CN"/>
              </w:rPr>
              <w:t>七</w:t>
            </w:r>
            <w:r>
              <w:rPr>
                <w:rFonts w:hint="eastAsia" w:ascii="宋体" w:hAnsi="宋体"/>
                <w:bCs/>
                <w:color w:val="000000"/>
                <w:sz w:val="24"/>
              </w:rPr>
              <w:t>）环境管理体系</w:t>
            </w:r>
          </w:p>
          <w:p>
            <w:pPr>
              <w:spacing w:line="440" w:lineRule="exact"/>
              <w:ind w:firstLine="480" w:firstLineChars="200"/>
              <w:rPr>
                <w:rFonts w:ascii="宋体" w:hAnsi="宋体"/>
                <w:color w:val="000000"/>
                <w:sz w:val="24"/>
              </w:rPr>
            </w:pPr>
            <w:r>
              <w:rPr>
                <w:rFonts w:hint="eastAsia" w:ascii="宋体" w:hAnsi="宋体"/>
                <w:color w:val="000000"/>
                <w:sz w:val="24"/>
              </w:rPr>
              <w:t>评价要求项目设专职的环保管理人员对场内的各项环保设施的情况进行管理检查，主要环境管理内容应包括：</w:t>
            </w:r>
          </w:p>
          <w:p>
            <w:pPr>
              <w:spacing w:line="440" w:lineRule="exact"/>
              <w:ind w:firstLine="470" w:firstLineChars="196"/>
              <w:rPr>
                <w:rFonts w:ascii="宋体" w:hAnsi="宋体"/>
                <w:color w:val="000000"/>
                <w:sz w:val="24"/>
              </w:rPr>
            </w:pPr>
            <w:r>
              <w:rPr>
                <w:rFonts w:hint="eastAsia" w:ascii="宋体" w:hAnsi="宋体"/>
                <w:color w:val="000000"/>
                <w:sz w:val="24"/>
              </w:rPr>
              <w:t>1、根据国家和地方的相关环保政策和法规，制定企业的环保方针目标。</w:t>
            </w:r>
          </w:p>
          <w:p>
            <w:pPr>
              <w:spacing w:line="440" w:lineRule="exact"/>
              <w:ind w:firstLine="470" w:firstLineChars="196"/>
              <w:rPr>
                <w:rFonts w:ascii="宋体" w:hAnsi="宋体"/>
                <w:color w:val="000000"/>
                <w:sz w:val="24"/>
              </w:rPr>
            </w:pPr>
            <w:r>
              <w:rPr>
                <w:rFonts w:hint="eastAsia" w:ascii="宋体" w:hAnsi="宋体"/>
                <w:color w:val="000000"/>
                <w:sz w:val="24"/>
              </w:rPr>
              <w:t>2、编制企业环境保护计划，并建立相应的管理监督制度。</w:t>
            </w:r>
          </w:p>
          <w:p>
            <w:pPr>
              <w:spacing w:line="440" w:lineRule="exact"/>
              <w:ind w:firstLine="470" w:firstLineChars="196"/>
              <w:rPr>
                <w:rFonts w:ascii="宋体" w:hAnsi="宋体"/>
                <w:color w:val="000000"/>
                <w:sz w:val="24"/>
              </w:rPr>
            </w:pPr>
            <w:r>
              <w:rPr>
                <w:rFonts w:hint="eastAsia" w:ascii="宋体" w:hAnsi="宋体"/>
                <w:color w:val="000000"/>
                <w:sz w:val="24"/>
              </w:rPr>
              <w:t>3、进行环保教育宣传，并对有环境影响隐患的岗位人员进行技术培训，并制定紧急情况应急措施，预防或减少可能的环境影响。</w:t>
            </w:r>
          </w:p>
          <w:p>
            <w:pPr>
              <w:tabs>
                <w:tab w:val="left" w:pos="1980"/>
              </w:tabs>
              <w:spacing w:line="440" w:lineRule="exact"/>
              <w:ind w:firstLine="470" w:firstLineChars="196"/>
              <w:rPr>
                <w:rFonts w:ascii="宋体" w:hAnsi="宋体"/>
                <w:color w:val="000000"/>
                <w:sz w:val="24"/>
              </w:rPr>
            </w:pPr>
            <w:r>
              <w:rPr>
                <w:rFonts w:hint="eastAsia" w:ascii="宋体" w:hAnsi="宋体"/>
                <w:color w:val="000000"/>
                <w:sz w:val="24"/>
              </w:rPr>
              <w:t>4、维护环保设施的正常运行和安全生产，对各环保设施进行定期检查和维修，确保污染物达标排放，同时要推广和应用先进的环保技术和经验，降低污染物的排放量。</w:t>
            </w:r>
            <w:r>
              <w:rPr>
                <w:rFonts w:ascii="宋体" w:hAnsi="宋体"/>
                <w:color w:val="000000"/>
                <w:sz w:val="24"/>
              </w:rPr>
              <w:t xml:space="preserve"> </w:t>
            </w:r>
          </w:p>
          <w:p>
            <w:pPr>
              <w:tabs>
                <w:tab w:val="left" w:pos="1980"/>
              </w:tabs>
              <w:spacing w:line="440" w:lineRule="exact"/>
              <w:ind w:firstLine="470" w:firstLineChars="196"/>
              <w:rPr>
                <w:rFonts w:ascii="宋体" w:hAnsi="宋体"/>
                <w:color w:val="000000"/>
                <w:sz w:val="24"/>
              </w:rPr>
            </w:pPr>
            <w:r>
              <w:rPr>
                <w:rFonts w:hint="eastAsia" w:ascii="宋体" w:hAnsi="宋体"/>
                <w:color w:val="000000"/>
                <w:sz w:val="24"/>
              </w:rPr>
              <w:t>5、配合环保主管部门的审计，总结场区的环境保护工作情况，并不断改进，使项目对环境的影响降到最低程度。</w:t>
            </w:r>
          </w:p>
          <w:p>
            <w:pPr>
              <w:tabs>
                <w:tab w:val="left" w:pos="1980"/>
              </w:tabs>
              <w:spacing w:line="440" w:lineRule="exact"/>
              <w:ind w:firstLine="470" w:firstLineChars="196"/>
              <w:rPr>
                <w:rFonts w:ascii="宋体" w:hAnsi="宋体"/>
                <w:bCs/>
                <w:color w:val="000000"/>
                <w:sz w:val="24"/>
              </w:rPr>
            </w:pPr>
            <w:r>
              <w:rPr>
                <w:rFonts w:hint="eastAsia" w:ascii="宋体" w:hAnsi="宋体"/>
                <w:bCs/>
                <w:color w:val="000000"/>
                <w:sz w:val="24"/>
              </w:rPr>
              <w:t>（</w:t>
            </w:r>
            <w:r>
              <w:rPr>
                <w:rFonts w:hint="eastAsia" w:ascii="宋体" w:hAnsi="宋体"/>
                <w:bCs/>
                <w:color w:val="000000"/>
                <w:sz w:val="24"/>
                <w:lang w:eastAsia="zh-CN"/>
              </w:rPr>
              <w:t>八</w:t>
            </w:r>
            <w:r>
              <w:rPr>
                <w:rFonts w:hint="eastAsia" w:ascii="宋体" w:hAnsi="宋体"/>
                <w:bCs/>
                <w:color w:val="000000"/>
                <w:sz w:val="24"/>
              </w:rPr>
              <w:t>）产业政策符合性分析</w:t>
            </w:r>
          </w:p>
          <w:p>
            <w:pPr>
              <w:tabs>
                <w:tab w:val="left" w:pos="1980"/>
              </w:tabs>
              <w:spacing w:line="440" w:lineRule="exact"/>
              <w:ind w:firstLine="470" w:firstLineChars="196"/>
              <w:rPr>
                <w:rFonts w:ascii="宋体" w:hAnsi="宋体"/>
                <w:color w:val="000000"/>
                <w:sz w:val="24"/>
              </w:rPr>
            </w:pPr>
            <w:r>
              <w:rPr>
                <w:rFonts w:ascii="宋体" w:hAnsi="宋体"/>
                <w:color w:val="000000"/>
                <w:sz w:val="24"/>
              </w:rPr>
              <w:t>本项目建设不属于《产业结构调指导目录（2005年本）》中限制类或淘汰类项目，也不属于2006年12月12日国家发展和改革委员会、国土资发(2006)296 号关于发布实施《限制用地项目目录（2006 年本）》和《禁止用地项目目录（2006 年本）》中不得用地的项目。因此，本项目建设符合国家有关产业政策。</w:t>
            </w:r>
          </w:p>
          <w:p>
            <w:pPr>
              <w:tabs>
                <w:tab w:val="left" w:pos="1980"/>
              </w:tabs>
              <w:spacing w:line="440" w:lineRule="exact"/>
              <w:ind w:firstLine="470" w:firstLineChars="196"/>
              <w:rPr>
                <w:rFonts w:ascii="宋体" w:hAnsi="宋体"/>
                <w:bCs/>
                <w:color w:val="000000"/>
                <w:sz w:val="24"/>
              </w:rPr>
            </w:pPr>
            <w:r>
              <w:rPr>
                <w:rFonts w:hint="eastAsia" w:ascii="宋体" w:hAnsi="宋体"/>
                <w:bCs/>
                <w:color w:val="000000"/>
                <w:sz w:val="24"/>
              </w:rPr>
              <w:t>（</w:t>
            </w:r>
            <w:r>
              <w:rPr>
                <w:rFonts w:hint="eastAsia" w:ascii="宋体" w:hAnsi="宋体"/>
                <w:bCs/>
                <w:color w:val="000000"/>
                <w:sz w:val="24"/>
                <w:lang w:eastAsia="zh-CN"/>
              </w:rPr>
              <w:t>九</w:t>
            </w:r>
            <w:r>
              <w:rPr>
                <w:rFonts w:hint="eastAsia" w:ascii="宋体" w:hAnsi="宋体"/>
                <w:bCs/>
                <w:color w:val="000000"/>
                <w:sz w:val="24"/>
              </w:rPr>
              <w:t>）选址可行性分析</w:t>
            </w:r>
          </w:p>
          <w:p>
            <w:pPr>
              <w:tabs>
                <w:tab w:val="left" w:pos="1980"/>
              </w:tabs>
              <w:spacing w:line="440" w:lineRule="exact"/>
              <w:ind w:firstLine="470" w:firstLineChars="196"/>
              <w:rPr>
                <w:rFonts w:ascii="宋体" w:hAnsi="宋体"/>
                <w:color w:val="000000"/>
                <w:sz w:val="24"/>
              </w:rPr>
            </w:pPr>
            <w:r>
              <w:rPr>
                <w:rFonts w:ascii="宋体" w:hAnsi="宋体"/>
                <w:color w:val="000000"/>
                <w:sz w:val="24"/>
              </w:rPr>
              <w:t>本项目</w:t>
            </w:r>
            <w:r>
              <w:rPr>
                <w:rFonts w:hint="eastAsia" w:ascii="宋体" w:hAnsi="宋体"/>
                <w:color w:val="000000"/>
                <w:sz w:val="24"/>
              </w:rPr>
              <w:t>位于洪江市黔城镇玉壶路、禾花路、沿江路交汇处</w:t>
            </w:r>
            <w:r>
              <w:rPr>
                <w:rFonts w:ascii="宋体" w:hAnsi="宋体"/>
                <w:color w:val="000000"/>
                <w:sz w:val="24"/>
              </w:rPr>
              <w:t>，</w:t>
            </w:r>
            <w:r>
              <w:rPr>
                <w:rFonts w:hint="eastAsia" w:ascii="宋体" w:hAnsi="宋体"/>
                <w:color w:val="000000"/>
                <w:sz w:val="24"/>
              </w:rPr>
              <w:t>为规划中的建设用地，洪江市国土、住建等部门出具了用地及规划许可意见。拟建地周边除东南方向300米处有市人民医院属医疗环境敏感区外，其余均为空闲待建地块，</w:t>
            </w:r>
            <w:r>
              <w:rPr>
                <w:rFonts w:ascii="宋体" w:hAnsi="宋体"/>
                <w:color w:val="000000"/>
                <w:sz w:val="24"/>
              </w:rPr>
              <w:t>供水、供电有保障，内外部建设条件良好。</w:t>
            </w:r>
            <w:r>
              <w:rPr>
                <w:rFonts w:hint="eastAsia" w:ascii="宋体" w:hAnsi="宋体"/>
                <w:color w:val="000000"/>
                <w:sz w:val="24"/>
              </w:rPr>
              <w:t>总之，选址可行。</w:t>
            </w:r>
          </w:p>
          <w:p>
            <w:pPr>
              <w:tabs>
                <w:tab w:val="left" w:pos="1980"/>
              </w:tabs>
              <w:spacing w:line="440" w:lineRule="exact"/>
              <w:ind w:firstLine="470" w:firstLineChars="196"/>
              <w:rPr>
                <w:rFonts w:ascii="宋体" w:hAnsi="宋体"/>
                <w:bCs/>
                <w:color w:val="000000"/>
                <w:sz w:val="24"/>
              </w:rPr>
            </w:pPr>
            <w:r>
              <w:rPr>
                <w:rFonts w:hint="eastAsia" w:ascii="宋体" w:hAnsi="宋体"/>
                <w:bCs/>
                <w:color w:val="000000"/>
                <w:sz w:val="24"/>
              </w:rPr>
              <w:t>（十）</w:t>
            </w:r>
            <w:r>
              <w:rPr>
                <w:rFonts w:ascii="宋体" w:hAnsi="宋体"/>
                <w:bCs/>
                <w:color w:val="000000"/>
                <w:sz w:val="24"/>
              </w:rPr>
              <w:t>环保投资估算</w:t>
            </w:r>
          </w:p>
          <w:p>
            <w:pPr>
              <w:tabs>
                <w:tab w:val="left" w:pos="1980"/>
              </w:tabs>
              <w:spacing w:line="440" w:lineRule="exact"/>
              <w:ind w:firstLine="470" w:firstLineChars="196"/>
              <w:rPr>
                <w:rFonts w:ascii="宋体" w:hAnsi="宋体"/>
                <w:color w:val="000000" w:themeColor="text1"/>
                <w:sz w:val="24"/>
              </w:rPr>
            </w:pPr>
            <w:r>
              <w:rPr>
                <w:rFonts w:ascii="宋体" w:hAnsi="宋体"/>
                <w:color w:val="000000"/>
                <w:sz w:val="24"/>
              </w:rPr>
              <w:t>项目总投资</w:t>
            </w:r>
            <w:r>
              <w:rPr>
                <w:rFonts w:hint="eastAsia" w:ascii="宋体" w:hAnsi="宋体"/>
                <w:color w:val="000000"/>
                <w:sz w:val="24"/>
              </w:rPr>
              <w:t>38199.71</w:t>
            </w:r>
            <w:r>
              <w:rPr>
                <w:rFonts w:ascii="宋体" w:hAnsi="宋体"/>
                <w:color w:val="000000"/>
                <w:sz w:val="24"/>
              </w:rPr>
              <w:t>万元，其中环保投资</w:t>
            </w:r>
            <w:r>
              <w:rPr>
                <w:rFonts w:hint="eastAsia" w:ascii="宋体" w:hAnsi="宋体"/>
                <w:color w:val="000000"/>
                <w:sz w:val="24"/>
              </w:rPr>
              <w:t>429.0</w:t>
            </w:r>
            <w:r>
              <w:rPr>
                <w:rFonts w:ascii="宋体" w:hAnsi="宋体"/>
                <w:color w:val="000000"/>
                <w:sz w:val="24"/>
              </w:rPr>
              <w:t>万元，占总投资的</w:t>
            </w:r>
            <w:r>
              <w:rPr>
                <w:rFonts w:hint="eastAsia" w:ascii="宋体" w:hAnsi="宋体"/>
                <w:color w:val="000000"/>
                <w:sz w:val="24"/>
              </w:rPr>
              <w:t>1.12</w:t>
            </w:r>
            <w:r>
              <w:rPr>
                <w:rFonts w:ascii="宋体" w:hAnsi="宋体"/>
                <w:color w:val="000000"/>
                <w:sz w:val="24"/>
              </w:rPr>
              <w:t>%，其环保投资明细见下</w:t>
            </w:r>
            <w:r>
              <w:rPr>
                <w:rFonts w:ascii="宋体" w:hAnsi="宋体"/>
                <w:color w:val="000000" w:themeColor="text1"/>
                <w:sz w:val="24"/>
              </w:rPr>
              <w:t>表</w:t>
            </w:r>
            <w:r>
              <w:rPr>
                <w:rFonts w:hint="eastAsia" w:ascii="宋体" w:hAnsi="宋体"/>
                <w:color w:val="000000" w:themeColor="text1"/>
                <w:sz w:val="24"/>
              </w:rPr>
              <w:t>2</w:t>
            </w:r>
            <w:r>
              <w:rPr>
                <w:rFonts w:hint="eastAsia" w:ascii="宋体" w:hAnsi="宋体"/>
                <w:color w:val="000000" w:themeColor="text1"/>
                <w:sz w:val="24"/>
                <w:lang w:val="en-US" w:eastAsia="zh-CN"/>
              </w:rPr>
              <w:t>4</w:t>
            </w:r>
            <w:r>
              <w:rPr>
                <w:rFonts w:hint="eastAsia" w:ascii="宋体" w:hAnsi="宋体"/>
                <w:color w:val="000000" w:themeColor="text1"/>
                <w:sz w:val="24"/>
              </w:rPr>
              <w:t>。</w:t>
            </w:r>
          </w:p>
          <w:p>
            <w:pPr>
              <w:spacing w:line="360" w:lineRule="auto"/>
              <w:jc w:val="center"/>
              <w:rPr>
                <w:rStyle w:val="94"/>
                <w:rFonts w:hAnsi="宋体"/>
                <w:sz w:val="24"/>
                <w:shd w:val="clear" w:color="auto" w:fill="auto"/>
              </w:rPr>
            </w:pPr>
            <w:r>
              <w:rPr>
                <w:rFonts w:hint="eastAsia" w:ascii="宋体" w:hAnsi="宋体"/>
                <w:color w:val="000000" w:themeColor="text1"/>
                <w:sz w:val="24"/>
              </w:rPr>
              <w:t>表2</w:t>
            </w:r>
            <w:r>
              <w:rPr>
                <w:rFonts w:hint="eastAsia" w:ascii="宋体" w:hAnsi="宋体"/>
                <w:color w:val="000000" w:themeColor="text1"/>
                <w:sz w:val="24"/>
                <w:lang w:val="en-US" w:eastAsia="zh-CN"/>
              </w:rPr>
              <w:t>4</w:t>
            </w:r>
            <w:r>
              <w:rPr>
                <w:rFonts w:hint="eastAsia" w:ascii="宋体" w:hAnsi="宋体"/>
                <w:color w:val="000000" w:themeColor="text1"/>
                <w:sz w:val="24"/>
              </w:rPr>
              <w:t xml:space="preserve">       </w:t>
            </w:r>
            <w:r>
              <w:rPr>
                <w:rFonts w:ascii="宋体" w:hAnsi="宋体"/>
                <w:sz w:val="24"/>
              </w:rPr>
              <w:t>环保投资明细表</w:t>
            </w:r>
          </w:p>
          <w:tbl>
            <w:tblPr>
              <w:tblStyle w:val="42"/>
              <w:tblW w:w="9226" w:type="dxa"/>
              <w:jc w:val="center"/>
              <w:tblInd w:w="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75"/>
              <w:gridCol w:w="1686"/>
              <w:gridCol w:w="4053"/>
              <w:gridCol w:w="21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3061" w:type="dxa"/>
                  <w:gridSpan w:val="2"/>
                </w:tcPr>
                <w:p>
                  <w:pPr>
                    <w:tabs>
                      <w:tab w:val="left" w:pos="3555"/>
                    </w:tabs>
                    <w:jc w:val="center"/>
                    <w:rPr>
                      <w:rFonts w:ascii="宋体" w:hAnsi="宋体"/>
                      <w:bCs/>
                      <w:szCs w:val="21"/>
                    </w:rPr>
                  </w:pPr>
                  <w:r>
                    <w:rPr>
                      <w:rFonts w:ascii="宋体" w:hAnsi="宋体"/>
                      <w:bCs/>
                      <w:szCs w:val="21"/>
                    </w:rPr>
                    <w:t>治理项目</w:t>
                  </w:r>
                </w:p>
              </w:tc>
              <w:tc>
                <w:tcPr>
                  <w:tcW w:w="4053" w:type="dxa"/>
                  <w:vAlign w:val="center"/>
                </w:tcPr>
                <w:p>
                  <w:pPr>
                    <w:tabs>
                      <w:tab w:val="left" w:pos="3555"/>
                    </w:tabs>
                    <w:jc w:val="center"/>
                    <w:rPr>
                      <w:rFonts w:ascii="宋体" w:hAnsi="宋体"/>
                      <w:bCs/>
                      <w:szCs w:val="21"/>
                    </w:rPr>
                  </w:pPr>
                  <w:r>
                    <w:rPr>
                      <w:rFonts w:hint="eastAsia" w:ascii="宋体" w:hAnsi="宋体"/>
                      <w:bCs/>
                      <w:szCs w:val="21"/>
                    </w:rPr>
                    <w:t>措施</w:t>
                  </w:r>
                </w:p>
              </w:tc>
              <w:tc>
                <w:tcPr>
                  <w:tcW w:w="2112" w:type="dxa"/>
                  <w:vAlign w:val="center"/>
                </w:tcPr>
                <w:p>
                  <w:pPr>
                    <w:tabs>
                      <w:tab w:val="left" w:pos="3555"/>
                    </w:tabs>
                    <w:jc w:val="center"/>
                    <w:rPr>
                      <w:rFonts w:ascii="宋体" w:hAnsi="宋体"/>
                      <w:bCs/>
                      <w:szCs w:val="21"/>
                    </w:rPr>
                  </w:pPr>
                  <w:r>
                    <w:rPr>
                      <w:rFonts w:ascii="宋体" w:hAnsi="宋体"/>
                      <w:bCs/>
                      <w:szCs w:val="21"/>
                    </w:rPr>
                    <w:t>估算价值（万元）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restart"/>
                  <w:vAlign w:val="center"/>
                </w:tcPr>
                <w:p>
                  <w:pPr>
                    <w:tabs>
                      <w:tab w:val="left" w:pos="3555"/>
                    </w:tabs>
                    <w:jc w:val="center"/>
                    <w:rPr>
                      <w:rFonts w:ascii="宋体" w:hAnsi="宋体"/>
                      <w:bCs/>
                      <w:szCs w:val="21"/>
                    </w:rPr>
                  </w:pPr>
                  <w:r>
                    <w:rPr>
                      <w:rFonts w:hint="eastAsia" w:ascii="宋体" w:hAnsi="宋体"/>
                      <w:bCs/>
                      <w:szCs w:val="21"/>
                    </w:rPr>
                    <w:t>施工期</w:t>
                  </w:r>
                </w:p>
              </w:tc>
              <w:tc>
                <w:tcPr>
                  <w:tcW w:w="1686" w:type="dxa"/>
                  <w:vAlign w:val="center"/>
                </w:tcPr>
                <w:p>
                  <w:pPr>
                    <w:tabs>
                      <w:tab w:val="left" w:pos="3555"/>
                    </w:tabs>
                    <w:jc w:val="center"/>
                    <w:rPr>
                      <w:rFonts w:ascii="宋体" w:hAnsi="宋体"/>
                      <w:bCs/>
                      <w:szCs w:val="21"/>
                    </w:rPr>
                  </w:pPr>
                  <w:r>
                    <w:rPr>
                      <w:rFonts w:ascii="宋体" w:hAnsi="宋体"/>
                      <w:bCs/>
                      <w:szCs w:val="21"/>
                    </w:rPr>
                    <w:t>建设期扬尘</w:t>
                  </w:r>
                </w:p>
              </w:tc>
              <w:tc>
                <w:tcPr>
                  <w:tcW w:w="4053" w:type="dxa"/>
                  <w:vAlign w:val="center"/>
                </w:tcPr>
                <w:p>
                  <w:pPr>
                    <w:tabs>
                      <w:tab w:val="left" w:pos="3555"/>
                    </w:tabs>
                    <w:jc w:val="center"/>
                    <w:rPr>
                      <w:rFonts w:ascii="宋体" w:hAnsi="宋体"/>
                      <w:bCs/>
                      <w:szCs w:val="21"/>
                    </w:rPr>
                  </w:pPr>
                  <w:r>
                    <w:rPr>
                      <w:rFonts w:ascii="宋体" w:hAnsi="宋体"/>
                      <w:szCs w:val="21"/>
                    </w:rPr>
                    <w:t>施工围栏、地面硬化及洒水等设施</w:t>
                  </w:r>
                </w:p>
              </w:tc>
              <w:tc>
                <w:tcPr>
                  <w:tcW w:w="2112" w:type="dxa"/>
                  <w:vAlign w:val="center"/>
                </w:tcPr>
                <w:p>
                  <w:pPr>
                    <w:tabs>
                      <w:tab w:val="left" w:pos="3555"/>
                    </w:tabs>
                    <w:jc w:val="center"/>
                    <w:rPr>
                      <w:rFonts w:ascii="宋体" w:hAnsi="宋体"/>
                      <w:bCs/>
                      <w:szCs w:val="21"/>
                    </w:rPr>
                  </w:pPr>
                  <w:r>
                    <w:rPr>
                      <w:rFonts w:hint="eastAsia" w:ascii="宋体" w:hAnsi="宋体"/>
                      <w:bCs/>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4" w:hRule="atLeast"/>
                <w:jc w:val="center"/>
              </w:trPr>
              <w:tc>
                <w:tcPr>
                  <w:tcW w:w="1375" w:type="dxa"/>
                  <w:vMerge w:val="continue"/>
                  <w:vAlign w:val="center"/>
                </w:tcPr>
                <w:p>
                  <w:pPr>
                    <w:tabs>
                      <w:tab w:val="left" w:pos="3555"/>
                    </w:tabs>
                    <w:jc w:val="center"/>
                    <w:rPr>
                      <w:rFonts w:ascii="宋体" w:hAnsi="宋体"/>
                      <w:bCs/>
                      <w:szCs w:val="21"/>
                    </w:rPr>
                  </w:pPr>
                </w:p>
              </w:tc>
              <w:tc>
                <w:tcPr>
                  <w:tcW w:w="1686" w:type="dxa"/>
                  <w:vAlign w:val="center"/>
                </w:tcPr>
                <w:p>
                  <w:pPr>
                    <w:tabs>
                      <w:tab w:val="left" w:pos="3555"/>
                    </w:tabs>
                    <w:jc w:val="center"/>
                    <w:rPr>
                      <w:rFonts w:ascii="宋体" w:hAnsi="宋体"/>
                      <w:bCs/>
                      <w:szCs w:val="21"/>
                    </w:rPr>
                  </w:pPr>
                  <w:r>
                    <w:rPr>
                      <w:rFonts w:ascii="宋体" w:hAnsi="宋体"/>
                      <w:bCs/>
                      <w:szCs w:val="21"/>
                    </w:rPr>
                    <w:t>建设期废水</w:t>
                  </w:r>
                </w:p>
              </w:tc>
              <w:tc>
                <w:tcPr>
                  <w:tcW w:w="4053" w:type="dxa"/>
                  <w:vAlign w:val="center"/>
                </w:tcPr>
                <w:p>
                  <w:pPr>
                    <w:tabs>
                      <w:tab w:val="left" w:pos="3555"/>
                    </w:tabs>
                    <w:jc w:val="center"/>
                    <w:rPr>
                      <w:rFonts w:ascii="宋体" w:hAnsi="宋体"/>
                      <w:bCs/>
                      <w:szCs w:val="21"/>
                    </w:rPr>
                  </w:pPr>
                  <w:r>
                    <w:rPr>
                      <w:rFonts w:ascii="宋体" w:hAnsi="宋体"/>
                      <w:szCs w:val="21"/>
                    </w:rPr>
                    <w:t>临时沉砂池</w:t>
                  </w:r>
                  <w:r>
                    <w:rPr>
                      <w:rFonts w:hint="eastAsia" w:ascii="宋体" w:hAnsi="宋体"/>
                      <w:szCs w:val="21"/>
                    </w:rPr>
                    <w:t>等</w:t>
                  </w:r>
                </w:p>
              </w:tc>
              <w:tc>
                <w:tcPr>
                  <w:tcW w:w="2112" w:type="dxa"/>
                  <w:vAlign w:val="center"/>
                </w:tcPr>
                <w:p>
                  <w:pPr>
                    <w:tabs>
                      <w:tab w:val="left" w:pos="3555"/>
                    </w:tabs>
                    <w:jc w:val="center"/>
                    <w:rPr>
                      <w:rFonts w:ascii="宋体" w:hAnsi="宋体"/>
                      <w:bCs/>
                      <w:szCs w:val="21"/>
                    </w:rPr>
                  </w:pPr>
                  <w:r>
                    <w:rPr>
                      <w:rFonts w:hint="eastAsia" w:ascii="宋体" w:hAnsi="宋体"/>
                      <w:bCs/>
                      <w:szCs w:val="21"/>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restart"/>
                  <w:vAlign w:val="center"/>
                </w:tcPr>
                <w:p>
                  <w:pPr>
                    <w:tabs>
                      <w:tab w:val="left" w:pos="3555"/>
                    </w:tabs>
                    <w:jc w:val="center"/>
                    <w:rPr>
                      <w:rFonts w:ascii="宋体" w:hAnsi="宋体"/>
                      <w:bCs/>
                      <w:szCs w:val="21"/>
                    </w:rPr>
                  </w:pPr>
                  <w:r>
                    <w:rPr>
                      <w:rFonts w:hint="eastAsia" w:ascii="宋体" w:hAnsi="宋体"/>
                      <w:bCs/>
                      <w:szCs w:val="21"/>
                    </w:rPr>
                    <w:t>营运期</w:t>
                  </w:r>
                </w:p>
              </w:tc>
              <w:tc>
                <w:tcPr>
                  <w:tcW w:w="1686" w:type="dxa"/>
                  <w:vMerge w:val="restart"/>
                  <w:vAlign w:val="center"/>
                </w:tcPr>
                <w:p>
                  <w:pPr>
                    <w:tabs>
                      <w:tab w:val="left" w:pos="3555"/>
                    </w:tabs>
                    <w:jc w:val="center"/>
                    <w:rPr>
                      <w:rFonts w:ascii="宋体" w:hAnsi="宋体"/>
                      <w:bCs/>
                      <w:szCs w:val="21"/>
                    </w:rPr>
                  </w:pPr>
                  <w:r>
                    <w:rPr>
                      <w:rFonts w:ascii="宋体" w:hAnsi="宋体"/>
                      <w:bCs/>
                      <w:szCs w:val="21"/>
                    </w:rPr>
                    <w:t>废水</w:t>
                  </w:r>
                </w:p>
              </w:tc>
              <w:tc>
                <w:tcPr>
                  <w:tcW w:w="4053" w:type="dxa"/>
                  <w:vAlign w:val="center"/>
                </w:tcPr>
                <w:p>
                  <w:pPr>
                    <w:tabs>
                      <w:tab w:val="left" w:pos="3555"/>
                    </w:tabs>
                    <w:jc w:val="center"/>
                    <w:rPr>
                      <w:rFonts w:ascii="宋体" w:hAnsi="宋体"/>
                      <w:bCs/>
                      <w:szCs w:val="21"/>
                    </w:rPr>
                  </w:pPr>
                  <w:r>
                    <w:rPr>
                      <w:rFonts w:hint="eastAsia" w:ascii="宋体" w:hAnsi="宋体"/>
                      <w:bCs/>
                      <w:szCs w:val="21"/>
                    </w:rPr>
                    <w:t>隔油池</w:t>
                  </w:r>
                </w:p>
              </w:tc>
              <w:tc>
                <w:tcPr>
                  <w:tcW w:w="2112" w:type="dxa"/>
                  <w:vAlign w:val="center"/>
                </w:tcPr>
                <w:p>
                  <w:pPr>
                    <w:tabs>
                      <w:tab w:val="left" w:pos="3555"/>
                    </w:tabs>
                    <w:jc w:val="center"/>
                    <w:rPr>
                      <w:rFonts w:ascii="宋体" w:hAnsi="宋体"/>
                      <w:bCs/>
                      <w:szCs w:val="21"/>
                    </w:rPr>
                  </w:pPr>
                  <w:r>
                    <w:rPr>
                      <w:rFonts w:hint="eastAsia" w:ascii="宋体" w:hAnsi="宋体"/>
                      <w:bCs/>
                      <w:szCs w:val="21"/>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vAlign w:val="center"/>
                </w:tcPr>
                <w:p>
                  <w:pPr>
                    <w:tabs>
                      <w:tab w:val="left" w:pos="3555"/>
                    </w:tabs>
                    <w:jc w:val="center"/>
                    <w:rPr>
                      <w:rFonts w:ascii="宋体" w:hAnsi="宋体"/>
                      <w:bCs/>
                      <w:szCs w:val="21"/>
                    </w:rPr>
                  </w:pPr>
                </w:p>
              </w:tc>
              <w:tc>
                <w:tcPr>
                  <w:tcW w:w="1686" w:type="dxa"/>
                  <w:vMerge w:val="continue"/>
                  <w:vAlign w:val="center"/>
                </w:tcPr>
                <w:p>
                  <w:pPr>
                    <w:tabs>
                      <w:tab w:val="left" w:pos="3555"/>
                    </w:tabs>
                    <w:jc w:val="center"/>
                    <w:rPr>
                      <w:rFonts w:ascii="宋体" w:hAnsi="宋体"/>
                      <w:bCs/>
                      <w:szCs w:val="21"/>
                    </w:rPr>
                  </w:pPr>
                </w:p>
              </w:tc>
              <w:tc>
                <w:tcPr>
                  <w:tcW w:w="4053" w:type="dxa"/>
                  <w:vAlign w:val="center"/>
                </w:tcPr>
                <w:p>
                  <w:pPr>
                    <w:tabs>
                      <w:tab w:val="left" w:pos="3555"/>
                    </w:tabs>
                    <w:jc w:val="center"/>
                    <w:rPr>
                      <w:rFonts w:ascii="宋体" w:hAnsi="宋体"/>
                      <w:bCs/>
                      <w:szCs w:val="21"/>
                    </w:rPr>
                  </w:pPr>
                  <w:r>
                    <w:rPr>
                      <w:rFonts w:ascii="宋体" w:hAnsi="宋体"/>
                      <w:bCs/>
                      <w:szCs w:val="21"/>
                    </w:rPr>
                    <w:t>化粪池</w:t>
                  </w:r>
                </w:p>
              </w:tc>
              <w:tc>
                <w:tcPr>
                  <w:tcW w:w="2112" w:type="dxa"/>
                  <w:vAlign w:val="center"/>
                </w:tcPr>
                <w:p>
                  <w:pPr>
                    <w:tabs>
                      <w:tab w:val="left" w:pos="3555"/>
                    </w:tabs>
                    <w:jc w:val="center"/>
                    <w:rPr>
                      <w:rFonts w:ascii="宋体" w:hAnsi="宋体"/>
                      <w:bCs/>
                      <w:szCs w:val="21"/>
                    </w:rPr>
                  </w:pPr>
                  <w:r>
                    <w:rPr>
                      <w:rFonts w:hint="eastAsia" w:ascii="宋体" w:hAnsi="宋体"/>
                      <w:bCs/>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lang w:val="zh-CN"/>
                    </w:rPr>
                  </w:pPr>
                </w:p>
              </w:tc>
              <w:tc>
                <w:tcPr>
                  <w:tcW w:w="1686" w:type="dxa"/>
                  <w:vMerge w:val="restart"/>
                  <w:vAlign w:val="center"/>
                </w:tcPr>
                <w:p>
                  <w:pPr>
                    <w:tabs>
                      <w:tab w:val="left" w:pos="3555"/>
                    </w:tabs>
                    <w:jc w:val="center"/>
                    <w:rPr>
                      <w:rFonts w:ascii="宋体" w:hAnsi="宋体"/>
                      <w:bCs/>
                      <w:szCs w:val="21"/>
                    </w:rPr>
                  </w:pPr>
                  <w:r>
                    <w:rPr>
                      <w:rFonts w:ascii="宋体" w:hAnsi="宋体"/>
                      <w:lang w:val="zh-CN"/>
                    </w:rPr>
                    <w:t>废气</w:t>
                  </w:r>
                </w:p>
              </w:tc>
              <w:tc>
                <w:tcPr>
                  <w:tcW w:w="4053" w:type="dxa"/>
                  <w:vAlign w:val="center"/>
                </w:tcPr>
                <w:p>
                  <w:pPr>
                    <w:tabs>
                      <w:tab w:val="left" w:pos="3555"/>
                    </w:tabs>
                    <w:jc w:val="center"/>
                    <w:rPr>
                      <w:rFonts w:ascii="宋体" w:hAnsi="宋体"/>
                      <w:bCs/>
                      <w:szCs w:val="21"/>
                    </w:rPr>
                  </w:pPr>
                  <w:r>
                    <w:rPr>
                      <w:rFonts w:hint="eastAsia" w:ascii="宋体" w:hAnsi="宋体"/>
                      <w:bCs/>
                      <w:szCs w:val="21"/>
                    </w:rPr>
                    <w:t>油烟净化器+专用烟道</w:t>
                  </w:r>
                </w:p>
              </w:tc>
              <w:tc>
                <w:tcPr>
                  <w:tcW w:w="2112" w:type="dxa"/>
                  <w:vAlign w:val="center"/>
                </w:tcPr>
                <w:p>
                  <w:pPr>
                    <w:tabs>
                      <w:tab w:val="left" w:pos="3555"/>
                    </w:tabs>
                    <w:jc w:val="center"/>
                    <w:rPr>
                      <w:rFonts w:ascii="宋体" w:hAnsi="宋体"/>
                      <w:bCs/>
                      <w:szCs w:val="21"/>
                    </w:rPr>
                  </w:pPr>
                  <w:r>
                    <w:rPr>
                      <w:rFonts w:hint="eastAsia" w:ascii="宋体" w:hAnsi="宋体"/>
                      <w:bCs/>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lang w:val="zh-CN"/>
                    </w:rPr>
                  </w:pPr>
                </w:p>
              </w:tc>
              <w:tc>
                <w:tcPr>
                  <w:tcW w:w="1686" w:type="dxa"/>
                  <w:vMerge w:val="continue"/>
                  <w:vAlign w:val="center"/>
                </w:tcPr>
                <w:p>
                  <w:pPr>
                    <w:tabs>
                      <w:tab w:val="left" w:pos="3555"/>
                    </w:tabs>
                    <w:jc w:val="center"/>
                    <w:rPr>
                      <w:rFonts w:ascii="宋体" w:hAnsi="宋体"/>
                      <w:lang w:val="zh-CN"/>
                    </w:rPr>
                  </w:pPr>
                </w:p>
              </w:tc>
              <w:tc>
                <w:tcPr>
                  <w:tcW w:w="4053" w:type="dxa"/>
                  <w:vAlign w:val="center"/>
                </w:tcPr>
                <w:p>
                  <w:pPr>
                    <w:tabs>
                      <w:tab w:val="left" w:pos="3555"/>
                    </w:tabs>
                    <w:rPr>
                      <w:rFonts w:ascii="宋体" w:hAnsi="宋体"/>
                      <w:color w:val="000000"/>
                      <w:lang w:val="zh-CN"/>
                    </w:rPr>
                  </w:pPr>
                  <w:r>
                    <w:rPr>
                      <w:rFonts w:hint="eastAsia" w:ascii="宋体" w:hAnsi="宋体"/>
                      <w:color w:val="000000"/>
                      <w:lang w:val="zh-CN"/>
                    </w:rPr>
                    <w:t>柴油发电机、燃气废气专用烟道、汽车尾气通风换气装置</w:t>
                  </w:r>
                </w:p>
              </w:tc>
              <w:tc>
                <w:tcPr>
                  <w:tcW w:w="2112" w:type="dxa"/>
                  <w:vAlign w:val="center"/>
                </w:tcPr>
                <w:p>
                  <w:pPr>
                    <w:tabs>
                      <w:tab w:val="left" w:pos="3555"/>
                    </w:tabs>
                    <w:jc w:val="center"/>
                    <w:rPr>
                      <w:rFonts w:ascii="宋体" w:hAnsi="宋体"/>
                      <w:bCs/>
                      <w:color w:val="000000"/>
                      <w:szCs w:val="21"/>
                    </w:rPr>
                  </w:pPr>
                  <w:r>
                    <w:rPr>
                      <w:rFonts w:hint="eastAsia" w:ascii="宋体" w:hAnsi="宋体"/>
                      <w:bCs/>
                      <w:color w:val="000000"/>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lang w:val="zh-CN"/>
                    </w:rPr>
                  </w:pPr>
                </w:p>
              </w:tc>
              <w:tc>
                <w:tcPr>
                  <w:tcW w:w="1686" w:type="dxa"/>
                  <w:vMerge w:val="continue"/>
                  <w:vAlign w:val="center"/>
                </w:tcPr>
                <w:p>
                  <w:pPr>
                    <w:tabs>
                      <w:tab w:val="left" w:pos="3555"/>
                    </w:tabs>
                    <w:jc w:val="center"/>
                    <w:rPr>
                      <w:rFonts w:ascii="宋体" w:hAnsi="宋体"/>
                      <w:lang w:val="zh-CN"/>
                    </w:rPr>
                  </w:pPr>
                </w:p>
              </w:tc>
              <w:tc>
                <w:tcPr>
                  <w:tcW w:w="4053" w:type="dxa"/>
                  <w:vAlign w:val="center"/>
                </w:tcPr>
                <w:p>
                  <w:pPr>
                    <w:tabs>
                      <w:tab w:val="left" w:pos="3555"/>
                    </w:tabs>
                    <w:rPr>
                      <w:rFonts w:ascii="宋体" w:hAnsi="宋体"/>
                      <w:color w:val="000000"/>
                      <w:lang w:val="zh-CN"/>
                    </w:rPr>
                  </w:pPr>
                  <w:r>
                    <w:rPr>
                      <w:rFonts w:hint="eastAsia" w:ascii="宋体" w:hAnsi="宋体"/>
                      <w:bCs/>
                      <w:color w:val="000000" w:themeColor="text1"/>
                      <w:szCs w:val="21"/>
                    </w:rPr>
                    <w:t>不低于8米的专用烟道</w:t>
                  </w:r>
                </w:p>
              </w:tc>
              <w:tc>
                <w:tcPr>
                  <w:tcW w:w="2112" w:type="dxa"/>
                  <w:vAlign w:val="center"/>
                </w:tcPr>
                <w:p>
                  <w:pPr>
                    <w:tabs>
                      <w:tab w:val="left" w:pos="3555"/>
                    </w:tabs>
                    <w:jc w:val="center"/>
                    <w:rPr>
                      <w:rFonts w:ascii="宋体" w:hAnsi="宋体"/>
                      <w:bCs/>
                      <w:color w:val="000000"/>
                      <w:szCs w:val="21"/>
                    </w:rPr>
                  </w:pPr>
                  <w:r>
                    <w:rPr>
                      <w:rFonts w:hint="eastAsia" w:ascii="宋体" w:hAnsi="宋体"/>
                      <w:bCs/>
                      <w:color w:val="000000"/>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bCs/>
                      <w:szCs w:val="21"/>
                    </w:rPr>
                  </w:pPr>
                </w:p>
              </w:tc>
              <w:tc>
                <w:tcPr>
                  <w:tcW w:w="1686" w:type="dxa"/>
                  <w:vAlign w:val="center"/>
                </w:tcPr>
                <w:p>
                  <w:pPr>
                    <w:tabs>
                      <w:tab w:val="left" w:pos="3555"/>
                    </w:tabs>
                    <w:jc w:val="center"/>
                    <w:rPr>
                      <w:rFonts w:ascii="宋体" w:hAnsi="宋体"/>
                      <w:bCs/>
                      <w:szCs w:val="21"/>
                    </w:rPr>
                  </w:pPr>
                  <w:r>
                    <w:rPr>
                      <w:rFonts w:ascii="宋体" w:hAnsi="宋体"/>
                      <w:bCs/>
                      <w:szCs w:val="21"/>
                    </w:rPr>
                    <w:t>噪声</w:t>
                  </w:r>
                </w:p>
              </w:tc>
              <w:tc>
                <w:tcPr>
                  <w:tcW w:w="4053" w:type="dxa"/>
                  <w:vAlign w:val="center"/>
                </w:tcPr>
                <w:p>
                  <w:pPr>
                    <w:tabs>
                      <w:tab w:val="left" w:pos="3555"/>
                    </w:tabs>
                    <w:jc w:val="center"/>
                    <w:rPr>
                      <w:rFonts w:ascii="宋体" w:hAnsi="宋体"/>
                      <w:bCs/>
                      <w:szCs w:val="21"/>
                    </w:rPr>
                  </w:pPr>
                  <w:r>
                    <w:rPr>
                      <w:rFonts w:ascii="宋体" w:hAnsi="宋体"/>
                      <w:bCs/>
                      <w:szCs w:val="21"/>
                    </w:rPr>
                    <w:t>橡胶减震垫、</w:t>
                  </w:r>
                  <w:r>
                    <w:rPr>
                      <w:rFonts w:hint="eastAsia" w:ascii="宋体" w:hAnsi="宋体"/>
                      <w:bCs/>
                      <w:szCs w:val="21"/>
                    </w:rPr>
                    <w:t>消声器、</w:t>
                  </w:r>
                  <w:r>
                    <w:rPr>
                      <w:rFonts w:ascii="宋体" w:hAnsi="宋体"/>
                      <w:bCs/>
                      <w:szCs w:val="21"/>
                    </w:rPr>
                    <w:t>隔声门窗等</w:t>
                  </w:r>
                </w:p>
              </w:tc>
              <w:tc>
                <w:tcPr>
                  <w:tcW w:w="2112" w:type="dxa"/>
                  <w:vAlign w:val="center"/>
                </w:tcPr>
                <w:p>
                  <w:pPr>
                    <w:tabs>
                      <w:tab w:val="left" w:pos="3555"/>
                    </w:tabs>
                    <w:jc w:val="center"/>
                    <w:rPr>
                      <w:rFonts w:ascii="宋体" w:hAnsi="宋体"/>
                      <w:bCs/>
                      <w:szCs w:val="21"/>
                    </w:rPr>
                  </w:pPr>
                  <w:r>
                    <w:rPr>
                      <w:rFonts w:hint="eastAsia" w:ascii="宋体" w:hAnsi="宋体"/>
                      <w:bCs/>
                      <w:szCs w:val="21"/>
                    </w:rPr>
                    <w:t>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lang w:val="zh-CN"/>
                    </w:rPr>
                  </w:pPr>
                </w:p>
              </w:tc>
              <w:tc>
                <w:tcPr>
                  <w:tcW w:w="1686" w:type="dxa"/>
                  <w:vMerge w:val="restart"/>
                  <w:vAlign w:val="center"/>
                </w:tcPr>
                <w:p>
                  <w:pPr>
                    <w:tabs>
                      <w:tab w:val="left" w:pos="3555"/>
                    </w:tabs>
                    <w:jc w:val="center"/>
                    <w:rPr>
                      <w:rFonts w:ascii="宋体" w:hAnsi="宋体"/>
                      <w:bCs/>
                      <w:szCs w:val="21"/>
                    </w:rPr>
                  </w:pPr>
                  <w:r>
                    <w:rPr>
                      <w:rFonts w:ascii="宋体" w:hAnsi="宋体"/>
                      <w:lang w:val="zh-CN"/>
                    </w:rPr>
                    <w:t>固废</w:t>
                  </w:r>
                </w:p>
              </w:tc>
              <w:tc>
                <w:tcPr>
                  <w:tcW w:w="4053" w:type="dxa"/>
                  <w:vAlign w:val="center"/>
                </w:tcPr>
                <w:p>
                  <w:pPr>
                    <w:tabs>
                      <w:tab w:val="left" w:pos="3555"/>
                    </w:tabs>
                    <w:jc w:val="center"/>
                    <w:rPr>
                      <w:rFonts w:ascii="宋体" w:hAnsi="宋体"/>
                      <w:bCs/>
                      <w:szCs w:val="21"/>
                    </w:rPr>
                  </w:pPr>
                  <w:r>
                    <w:rPr>
                      <w:rFonts w:hint="eastAsia" w:ascii="宋体" w:hAnsi="宋体"/>
                      <w:lang w:val="zh-CN"/>
                    </w:rPr>
                    <w:t>垃圾箱、筒、垃圾站</w:t>
                  </w:r>
                </w:p>
              </w:tc>
              <w:tc>
                <w:tcPr>
                  <w:tcW w:w="2112" w:type="dxa"/>
                  <w:vAlign w:val="center"/>
                </w:tcPr>
                <w:p>
                  <w:pPr>
                    <w:tabs>
                      <w:tab w:val="left" w:pos="3555"/>
                    </w:tabs>
                    <w:jc w:val="center"/>
                    <w:rPr>
                      <w:rFonts w:ascii="宋体" w:hAnsi="宋体"/>
                      <w:bCs/>
                      <w:szCs w:val="21"/>
                    </w:rPr>
                  </w:pPr>
                  <w:r>
                    <w:rPr>
                      <w:rFonts w:hint="eastAsia" w:ascii="宋体" w:hAnsi="宋体"/>
                      <w:bCs/>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lang w:val="zh-CN"/>
                    </w:rPr>
                  </w:pPr>
                </w:p>
              </w:tc>
              <w:tc>
                <w:tcPr>
                  <w:tcW w:w="1686" w:type="dxa"/>
                  <w:vMerge w:val="continue"/>
                  <w:vAlign w:val="center"/>
                </w:tcPr>
                <w:p>
                  <w:pPr>
                    <w:tabs>
                      <w:tab w:val="left" w:pos="3555"/>
                    </w:tabs>
                    <w:jc w:val="center"/>
                    <w:rPr>
                      <w:rFonts w:ascii="宋体" w:hAnsi="宋体"/>
                      <w:lang w:val="zh-CN"/>
                    </w:rPr>
                  </w:pPr>
                </w:p>
              </w:tc>
              <w:tc>
                <w:tcPr>
                  <w:tcW w:w="4053" w:type="dxa"/>
                  <w:vAlign w:val="center"/>
                </w:tcPr>
                <w:p>
                  <w:pPr>
                    <w:tabs>
                      <w:tab w:val="left" w:pos="3555"/>
                    </w:tabs>
                    <w:jc w:val="center"/>
                    <w:rPr>
                      <w:rFonts w:ascii="宋体" w:hAnsi="宋体"/>
                      <w:color w:val="000000"/>
                      <w:lang w:val="zh-CN"/>
                    </w:rPr>
                  </w:pPr>
                  <w:r>
                    <w:rPr>
                      <w:rFonts w:hint="eastAsia" w:ascii="宋体" w:hAnsi="宋体"/>
                      <w:color w:val="000000"/>
                      <w:lang w:val="zh-CN"/>
                    </w:rPr>
                    <w:t>餐厨垃圾暂设施</w:t>
                  </w:r>
                </w:p>
              </w:tc>
              <w:tc>
                <w:tcPr>
                  <w:tcW w:w="2112" w:type="dxa"/>
                  <w:vAlign w:val="center"/>
                </w:tcPr>
                <w:p>
                  <w:pPr>
                    <w:tabs>
                      <w:tab w:val="left" w:pos="3555"/>
                    </w:tabs>
                    <w:jc w:val="center"/>
                    <w:rPr>
                      <w:rFonts w:ascii="宋体" w:hAnsi="宋体"/>
                      <w:bCs/>
                      <w:szCs w:val="21"/>
                    </w:rPr>
                  </w:pPr>
                  <w:r>
                    <w:rPr>
                      <w:rFonts w:hint="eastAsia" w:ascii="宋体" w:hAnsi="宋体"/>
                      <w:bCs/>
                      <w:szCs w:val="21"/>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lang w:val="zh-CN"/>
                    </w:rPr>
                  </w:pPr>
                </w:p>
              </w:tc>
              <w:tc>
                <w:tcPr>
                  <w:tcW w:w="1686" w:type="dxa"/>
                  <w:vMerge w:val="continue"/>
                  <w:vAlign w:val="center"/>
                </w:tcPr>
                <w:p>
                  <w:pPr>
                    <w:tabs>
                      <w:tab w:val="left" w:pos="3555"/>
                    </w:tabs>
                    <w:jc w:val="center"/>
                    <w:rPr>
                      <w:rFonts w:ascii="宋体" w:hAnsi="宋体"/>
                      <w:lang w:val="zh-CN"/>
                    </w:rPr>
                  </w:pPr>
                </w:p>
              </w:tc>
              <w:tc>
                <w:tcPr>
                  <w:tcW w:w="4053" w:type="dxa"/>
                  <w:vAlign w:val="center"/>
                </w:tcPr>
                <w:p>
                  <w:pPr>
                    <w:tabs>
                      <w:tab w:val="left" w:pos="3555"/>
                    </w:tabs>
                    <w:jc w:val="center"/>
                    <w:rPr>
                      <w:rFonts w:ascii="宋体" w:hAnsi="宋体"/>
                      <w:color w:val="000000"/>
                      <w:lang w:val="zh-CN"/>
                    </w:rPr>
                  </w:pPr>
                  <w:r>
                    <w:rPr>
                      <w:rFonts w:hint="eastAsia" w:ascii="宋体" w:hAnsi="宋体"/>
                      <w:color w:val="000000"/>
                      <w:lang w:val="zh-CN"/>
                    </w:rPr>
                    <w:t>废油脂暂存设施</w:t>
                  </w:r>
                </w:p>
              </w:tc>
              <w:tc>
                <w:tcPr>
                  <w:tcW w:w="2112" w:type="dxa"/>
                  <w:vAlign w:val="center"/>
                </w:tcPr>
                <w:p>
                  <w:pPr>
                    <w:tabs>
                      <w:tab w:val="left" w:pos="3555"/>
                    </w:tabs>
                    <w:jc w:val="center"/>
                    <w:rPr>
                      <w:rFonts w:ascii="宋体" w:hAnsi="宋体"/>
                      <w:bCs/>
                      <w:szCs w:val="21"/>
                    </w:rPr>
                  </w:pPr>
                  <w:r>
                    <w:rPr>
                      <w:rFonts w:hint="eastAsia" w:ascii="宋体" w:hAnsi="宋体"/>
                      <w:bCs/>
                      <w:szCs w:val="21"/>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vMerge w:val="continue"/>
                </w:tcPr>
                <w:p>
                  <w:pPr>
                    <w:tabs>
                      <w:tab w:val="left" w:pos="3555"/>
                    </w:tabs>
                    <w:jc w:val="center"/>
                    <w:rPr>
                      <w:rFonts w:ascii="宋体" w:hAnsi="宋体"/>
                      <w:bCs/>
                      <w:szCs w:val="21"/>
                    </w:rPr>
                  </w:pPr>
                </w:p>
              </w:tc>
              <w:tc>
                <w:tcPr>
                  <w:tcW w:w="1686" w:type="dxa"/>
                  <w:vAlign w:val="center"/>
                </w:tcPr>
                <w:p>
                  <w:pPr>
                    <w:tabs>
                      <w:tab w:val="left" w:pos="3555"/>
                    </w:tabs>
                    <w:jc w:val="center"/>
                    <w:rPr>
                      <w:rFonts w:ascii="宋体" w:hAnsi="宋体"/>
                      <w:lang w:val="zh-CN"/>
                    </w:rPr>
                  </w:pPr>
                  <w:r>
                    <w:rPr>
                      <w:rFonts w:ascii="宋体" w:hAnsi="宋体"/>
                      <w:bCs/>
                      <w:szCs w:val="21"/>
                    </w:rPr>
                    <w:t>其它</w:t>
                  </w:r>
                </w:p>
              </w:tc>
              <w:tc>
                <w:tcPr>
                  <w:tcW w:w="4053" w:type="dxa"/>
                  <w:vAlign w:val="center"/>
                </w:tcPr>
                <w:p>
                  <w:pPr>
                    <w:tabs>
                      <w:tab w:val="left" w:pos="3555"/>
                    </w:tabs>
                    <w:jc w:val="center"/>
                    <w:rPr>
                      <w:rFonts w:ascii="宋体" w:hAnsi="宋体"/>
                      <w:lang w:val="zh-CN"/>
                    </w:rPr>
                  </w:pPr>
                  <w:r>
                    <w:rPr>
                      <w:rFonts w:ascii="宋体" w:hAnsi="宋体"/>
                      <w:bCs/>
                      <w:szCs w:val="21"/>
                    </w:rPr>
                    <w:t>绿化</w:t>
                  </w:r>
                </w:p>
              </w:tc>
              <w:tc>
                <w:tcPr>
                  <w:tcW w:w="2112" w:type="dxa"/>
                  <w:vAlign w:val="center"/>
                </w:tcPr>
                <w:p>
                  <w:pPr>
                    <w:tabs>
                      <w:tab w:val="left" w:pos="3555"/>
                    </w:tabs>
                    <w:jc w:val="center"/>
                    <w:rPr>
                      <w:rFonts w:ascii="宋体" w:hAnsi="宋体"/>
                      <w:bCs/>
                      <w:szCs w:val="21"/>
                    </w:rPr>
                  </w:pPr>
                  <w:r>
                    <w:rPr>
                      <w:rFonts w:hint="eastAsia" w:ascii="宋体" w:hAnsi="宋体"/>
                      <w:bCs/>
                      <w:szCs w:val="21"/>
                    </w:rPr>
                    <w:t>200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 w:hRule="atLeast"/>
                <w:jc w:val="center"/>
              </w:trPr>
              <w:tc>
                <w:tcPr>
                  <w:tcW w:w="1375" w:type="dxa"/>
                </w:tcPr>
                <w:p>
                  <w:pPr>
                    <w:tabs>
                      <w:tab w:val="left" w:pos="3555"/>
                    </w:tabs>
                    <w:jc w:val="center"/>
                    <w:rPr>
                      <w:rFonts w:ascii="宋体" w:hAnsi="宋体"/>
                      <w:lang w:val="zh-CN"/>
                    </w:rPr>
                  </w:pPr>
                </w:p>
              </w:tc>
              <w:tc>
                <w:tcPr>
                  <w:tcW w:w="1686" w:type="dxa"/>
                  <w:vAlign w:val="center"/>
                </w:tcPr>
                <w:p>
                  <w:pPr>
                    <w:tabs>
                      <w:tab w:val="left" w:pos="3555"/>
                    </w:tabs>
                    <w:jc w:val="center"/>
                    <w:rPr>
                      <w:rFonts w:ascii="宋体" w:hAnsi="宋体"/>
                      <w:lang w:val="zh-CN"/>
                    </w:rPr>
                  </w:pPr>
                </w:p>
              </w:tc>
              <w:tc>
                <w:tcPr>
                  <w:tcW w:w="4053" w:type="dxa"/>
                  <w:vAlign w:val="center"/>
                </w:tcPr>
                <w:p>
                  <w:pPr>
                    <w:tabs>
                      <w:tab w:val="left" w:pos="3555"/>
                    </w:tabs>
                    <w:jc w:val="center"/>
                    <w:rPr>
                      <w:rFonts w:ascii="宋体" w:hAnsi="宋体"/>
                      <w:lang w:val="zh-CN"/>
                    </w:rPr>
                  </w:pPr>
                  <w:r>
                    <w:rPr>
                      <w:rFonts w:ascii="宋体" w:hAnsi="宋体"/>
                      <w:bCs/>
                      <w:szCs w:val="21"/>
                    </w:rPr>
                    <w:t>总投资</w:t>
                  </w:r>
                </w:p>
              </w:tc>
              <w:tc>
                <w:tcPr>
                  <w:tcW w:w="2112" w:type="dxa"/>
                  <w:vAlign w:val="center"/>
                </w:tcPr>
                <w:p>
                  <w:pPr>
                    <w:tabs>
                      <w:tab w:val="left" w:pos="3555"/>
                    </w:tabs>
                    <w:jc w:val="center"/>
                    <w:rPr>
                      <w:rFonts w:ascii="宋体" w:hAnsi="宋体"/>
                      <w:bCs/>
                      <w:szCs w:val="21"/>
                    </w:rPr>
                  </w:pPr>
                  <w:r>
                    <w:rPr>
                      <w:rFonts w:hint="eastAsia" w:ascii="宋体" w:hAnsi="宋体"/>
                      <w:bCs/>
                      <w:szCs w:val="21"/>
                    </w:rPr>
                    <w:t>429.0</w:t>
                  </w:r>
                </w:p>
              </w:tc>
            </w:tr>
          </w:tbl>
          <w:p>
            <w:pPr>
              <w:tabs>
                <w:tab w:val="left" w:pos="840"/>
              </w:tabs>
              <w:spacing w:line="360" w:lineRule="auto"/>
              <w:ind w:firstLine="600" w:firstLineChars="250"/>
              <w:rPr>
                <w:rFonts w:ascii="宋体" w:hAnsi="宋体"/>
                <w:sz w:val="24"/>
              </w:rPr>
            </w:pPr>
          </w:p>
          <w:p>
            <w:pPr>
              <w:tabs>
                <w:tab w:val="left" w:pos="840"/>
              </w:tabs>
              <w:spacing w:line="360" w:lineRule="auto"/>
              <w:ind w:firstLine="600" w:firstLineChars="250"/>
              <w:rPr>
                <w:rFonts w:ascii="宋体" w:hAnsi="宋体"/>
                <w:sz w:val="24"/>
              </w:rPr>
            </w:pPr>
          </w:p>
          <w:p>
            <w:pPr>
              <w:tabs>
                <w:tab w:val="left" w:pos="840"/>
              </w:tabs>
              <w:spacing w:line="360" w:lineRule="auto"/>
              <w:ind w:firstLine="600" w:firstLineChars="250"/>
              <w:rPr>
                <w:rFonts w:ascii="宋体" w:hAnsi="宋体"/>
                <w:sz w:val="24"/>
              </w:rPr>
            </w:pPr>
          </w:p>
          <w:p>
            <w:pPr>
              <w:tabs>
                <w:tab w:val="left" w:pos="840"/>
              </w:tabs>
              <w:spacing w:line="360" w:lineRule="auto"/>
              <w:ind w:firstLine="600" w:firstLineChars="250"/>
              <w:rPr>
                <w:rFonts w:ascii="宋体" w:hAnsi="宋体"/>
                <w:sz w:val="24"/>
              </w:rPr>
            </w:pPr>
          </w:p>
          <w:p>
            <w:pPr>
              <w:tabs>
                <w:tab w:val="left" w:pos="840"/>
              </w:tabs>
              <w:spacing w:line="360" w:lineRule="auto"/>
              <w:ind w:firstLine="600" w:firstLineChars="250"/>
              <w:rPr>
                <w:rFonts w:ascii="宋体" w:hAnsi="宋体"/>
                <w:sz w:val="24"/>
              </w:rPr>
            </w:pPr>
          </w:p>
          <w:p>
            <w:pPr>
              <w:tabs>
                <w:tab w:val="left" w:pos="840"/>
              </w:tabs>
              <w:spacing w:line="360" w:lineRule="auto"/>
              <w:ind w:firstLine="600" w:firstLineChars="250"/>
              <w:rPr>
                <w:rFonts w:ascii="宋体" w:hAnsi="宋体"/>
                <w:sz w:val="24"/>
              </w:rPr>
            </w:pPr>
          </w:p>
          <w:p>
            <w:pPr>
              <w:tabs>
                <w:tab w:val="left" w:pos="840"/>
              </w:tabs>
              <w:spacing w:line="360" w:lineRule="auto"/>
              <w:ind w:firstLine="600" w:firstLineChars="250"/>
              <w:rPr>
                <w:rFonts w:ascii="宋体" w:hAnsi="宋体"/>
                <w:sz w:val="24"/>
              </w:rPr>
            </w:pPr>
          </w:p>
          <w:p>
            <w:pPr>
              <w:tabs>
                <w:tab w:val="left" w:pos="840"/>
              </w:tabs>
              <w:spacing w:line="360" w:lineRule="auto"/>
              <w:rPr>
                <w:rFonts w:ascii="宋体" w:hAnsi="宋体"/>
                <w:sz w:val="24"/>
              </w:rPr>
            </w:pPr>
          </w:p>
          <w:p>
            <w:pPr>
              <w:tabs>
                <w:tab w:val="left" w:pos="840"/>
              </w:tabs>
              <w:spacing w:line="360" w:lineRule="auto"/>
              <w:ind w:firstLine="600" w:firstLineChars="250"/>
              <w:rPr>
                <w:rFonts w:ascii="宋体" w:hAnsi="宋体"/>
                <w:b/>
                <w:bCs/>
                <w:sz w:val="24"/>
                <w:szCs w:val="24"/>
              </w:rPr>
            </w:pPr>
            <w:r>
              <w:rPr>
                <w:rFonts w:hint="eastAsia" w:ascii="宋体" w:hAnsi="宋体"/>
                <w:sz w:val="24"/>
              </w:rPr>
              <w:t>（十</w:t>
            </w:r>
            <w:r>
              <w:rPr>
                <w:rFonts w:hint="eastAsia" w:ascii="宋体" w:hAnsi="宋体"/>
                <w:sz w:val="24"/>
                <w:lang w:eastAsia="zh-CN"/>
              </w:rPr>
              <w:t>一</w:t>
            </w:r>
            <w:r>
              <w:rPr>
                <w:rFonts w:hint="eastAsia" w:ascii="宋体" w:hAnsi="宋体"/>
                <w:sz w:val="24"/>
              </w:rPr>
              <w:t>）</w:t>
            </w:r>
            <w:r>
              <w:rPr>
                <w:rFonts w:hint="eastAsia"/>
                <w:sz w:val="24"/>
                <w:szCs w:val="24"/>
              </w:rPr>
              <w:t>项目竣工环保验收</w:t>
            </w:r>
          </w:p>
          <w:p>
            <w:pPr>
              <w:tabs>
                <w:tab w:val="left" w:pos="840"/>
              </w:tabs>
              <w:spacing w:line="360" w:lineRule="auto"/>
              <w:ind w:firstLine="480" w:firstLineChars="200"/>
              <w:rPr>
                <w:rFonts w:ascii="宋体" w:hAnsi="宋体"/>
                <w:bCs/>
                <w:color w:val="000000" w:themeColor="text1"/>
                <w:sz w:val="24"/>
              </w:rPr>
            </w:pPr>
            <w:r>
              <w:rPr>
                <w:rFonts w:hint="eastAsia" w:ascii="宋体" w:hAnsi="宋体"/>
                <w:bCs/>
                <w:sz w:val="24"/>
              </w:rPr>
              <w:t>“三同时”验收内容</w:t>
            </w:r>
            <w:r>
              <w:rPr>
                <w:rFonts w:hint="eastAsia" w:ascii="宋体" w:hAnsi="宋体"/>
                <w:bCs/>
                <w:color w:val="000000" w:themeColor="text1"/>
                <w:sz w:val="24"/>
              </w:rPr>
              <w:t>见表2</w:t>
            </w:r>
            <w:r>
              <w:rPr>
                <w:rFonts w:hint="eastAsia" w:ascii="宋体" w:hAnsi="宋体"/>
                <w:bCs/>
                <w:color w:val="000000" w:themeColor="text1"/>
                <w:sz w:val="24"/>
                <w:lang w:val="en-US" w:eastAsia="zh-CN"/>
              </w:rPr>
              <w:t>5</w:t>
            </w:r>
            <w:r>
              <w:rPr>
                <w:rFonts w:hint="eastAsia" w:ascii="宋体" w:hAnsi="宋体"/>
                <w:bCs/>
                <w:color w:val="000000" w:themeColor="text1"/>
                <w:sz w:val="24"/>
              </w:rPr>
              <w:t>。</w:t>
            </w:r>
          </w:p>
          <w:p>
            <w:pPr>
              <w:tabs>
                <w:tab w:val="left" w:pos="840"/>
              </w:tabs>
              <w:spacing w:line="360" w:lineRule="auto"/>
              <w:ind w:firstLine="2008" w:firstLineChars="837"/>
              <w:rPr>
                <w:rFonts w:ascii="宋体" w:hAnsi="宋体"/>
                <w:bCs/>
                <w:sz w:val="24"/>
                <w:szCs w:val="24"/>
              </w:rPr>
            </w:pPr>
            <w:r>
              <w:rPr>
                <w:rFonts w:hint="eastAsia" w:ascii="宋体" w:hAnsi="宋体"/>
                <w:bCs/>
                <w:color w:val="000000" w:themeColor="text1"/>
                <w:sz w:val="24"/>
              </w:rPr>
              <w:t>表2</w:t>
            </w:r>
            <w:r>
              <w:rPr>
                <w:rFonts w:hint="eastAsia" w:ascii="宋体" w:hAnsi="宋体"/>
                <w:bCs/>
                <w:color w:val="000000" w:themeColor="text1"/>
                <w:sz w:val="24"/>
                <w:lang w:val="en-US" w:eastAsia="zh-CN"/>
              </w:rPr>
              <w:t>5</w:t>
            </w:r>
            <w:r>
              <w:rPr>
                <w:rFonts w:hint="eastAsia" w:ascii="宋体" w:hAnsi="宋体"/>
                <w:bCs/>
                <w:color w:val="000000" w:themeColor="text1"/>
                <w:sz w:val="24"/>
              </w:rPr>
              <w:t xml:space="preserve">   </w:t>
            </w:r>
            <w:r>
              <w:rPr>
                <w:rFonts w:hint="eastAsia" w:ascii="宋体" w:hAnsi="宋体"/>
                <w:bCs/>
                <w:sz w:val="24"/>
              </w:rPr>
              <w:t xml:space="preserve">      </w:t>
            </w:r>
            <w:r>
              <w:rPr>
                <w:rFonts w:hint="eastAsia" w:ascii="宋体" w:hAnsi="宋体"/>
                <w:bCs/>
                <w:sz w:val="24"/>
                <w:szCs w:val="24"/>
              </w:rPr>
              <w:t xml:space="preserve"> </w:t>
            </w:r>
            <w:r>
              <w:rPr>
                <w:rFonts w:hint="eastAsia"/>
                <w:sz w:val="24"/>
                <w:szCs w:val="24"/>
              </w:rPr>
              <w:t>项目竣工环保验收</w:t>
            </w:r>
            <w:r>
              <w:rPr>
                <w:rFonts w:hint="eastAsia" w:ascii="宋体" w:hAnsi="宋体"/>
                <w:bCs/>
                <w:sz w:val="24"/>
                <w:szCs w:val="24"/>
              </w:rPr>
              <w:t xml:space="preserve">表  </w:t>
            </w:r>
          </w:p>
          <w:tbl>
            <w:tblPr>
              <w:tblStyle w:val="42"/>
              <w:tblW w:w="9232" w:type="dxa"/>
              <w:jc w:val="center"/>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1651"/>
              <w:gridCol w:w="3220"/>
              <w:gridCol w:w="3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2808" w:type="dxa"/>
                  <w:gridSpan w:val="2"/>
                  <w:vAlign w:val="center"/>
                </w:tcPr>
                <w:p>
                  <w:pPr>
                    <w:tabs>
                      <w:tab w:val="left" w:pos="3555"/>
                    </w:tabs>
                    <w:jc w:val="center"/>
                    <w:rPr>
                      <w:rFonts w:ascii="宋体" w:hAnsi="宋体"/>
                      <w:bCs/>
                      <w:szCs w:val="21"/>
                    </w:rPr>
                  </w:pPr>
                  <w:r>
                    <w:rPr>
                      <w:rFonts w:ascii="宋体" w:hAnsi="宋体"/>
                      <w:bCs/>
                      <w:szCs w:val="21"/>
                    </w:rPr>
                    <w:t>治理对象</w:t>
                  </w:r>
                </w:p>
              </w:tc>
              <w:tc>
                <w:tcPr>
                  <w:tcW w:w="3220" w:type="dxa"/>
                  <w:vAlign w:val="center"/>
                </w:tcPr>
                <w:p>
                  <w:pPr>
                    <w:tabs>
                      <w:tab w:val="left" w:pos="3555"/>
                    </w:tabs>
                    <w:jc w:val="center"/>
                    <w:rPr>
                      <w:rFonts w:ascii="宋体" w:hAnsi="宋体"/>
                      <w:bCs/>
                      <w:szCs w:val="21"/>
                    </w:rPr>
                  </w:pPr>
                  <w:r>
                    <w:rPr>
                      <w:rFonts w:ascii="宋体" w:hAnsi="宋体"/>
                      <w:bCs/>
                      <w:szCs w:val="21"/>
                    </w:rPr>
                    <w:t>环保治理措施</w:t>
                  </w:r>
                </w:p>
              </w:tc>
              <w:tc>
                <w:tcPr>
                  <w:tcW w:w="3204" w:type="dxa"/>
                  <w:vAlign w:val="center"/>
                </w:tcPr>
                <w:p>
                  <w:pPr>
                    <w:tabs>
                      <w:tab w:val="left" w:pos="3555"/>
                    </w:tabs>
                    <w:jc w:val="center"/>
                    <w:rPr>
                      <w:rFonts w:ascii="宋体" w:hAnsi="宋体"/>
                      <w:bCs/>
                      <w:szCs w:val="21"/>
                    </w:rPr>
                  </w:pPr>
                  <w:r>
                    <w:rPr>
                      <w:rFonts w:ascii="宋体" w:hAnsi="宋体"/>
                      <w:bCs/>
                      <w:szCs w:val="21"/>
                    </w:rPr>
                    <w:t>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157" w:type="dxa"/>
                  <w:vMerge w:val="restart"/>
                  <w:vAlign w:val="center"/>
                </w:tcPr>
                <w:p>
                  <w:pPr>
                    <w:tabs>
                      <w:tab w:val="left" w:pos="3555"/>
                    </w:tabs>
                    <w:jc w:val="center"/>
                    <w:rPr>
                      <w:rFonts w:ascii="宋体" w:hAnsi="宋体"/>
                      <w:bCs/>
                      <w:szCs w:val="21"/>
                    </w:rPr>
                  </w:pPr>
                  <w:r>
                    <w:rPr>
                      <w:rFonts w:ascii="宋体" w:hAnsi="宋体"/>
                      <w:bCs/>
                      <w:szCs w:val="21"/>
                    </w:rPr>
                    <w:t>废水</w:t>
                  </w:r>
                </w:p>
              </w:tc>
              <w:tc>
                <w:tcPr>
                  <w:tcW w:w="1651" w:type="dxa"/>
                  <w:vAlign w:val="center"/>
                </w:tcPr>
                <w:p>
                  <w:pPr>
                    <w:tabs>
                      <w:tab w:val="left" w:pos="3555"/>
                    </w:tabs>
                    <w:jc w:val="center"/>
                    <w:rPr>
                      <w:rFonts w:ascii="宋体" w:hAnsi="宋体"/>
                      <w:bCs/>
                      <w:color w:val="000000" w:themeColor="text1"/>
                      <w:szCs w:val="21"/>
                    </w:rPr>
                  </w:pPr>
                  <w:r>
                    <w:rPr>
                      <w:rFonts w:hint="eastAsia" w:ascii="宋体" w:hAnsi="宋体"/>
                      <w:bCs/>
                      <w:color w:val="000000" w:themeColor="text1"/>
                      <w:szCs w:val="21"/>
                    </w:rPr>
                    <w:t>雨水</w:t>
                  </w:r>
                </w:p>
              </w:tc>
              <w:tc>
                <w:tcPr>
                  <w:tcW w:w="3220" w:type="dxa"/>
                  <w:vAlign w:val="center"/>
                </w:tcPr>
                <w:p>
                  <w:pPr>
                    <w:tabs>
                      <w:tab w:val="left" w:pos="3555"/>
                    </w:tabs>
                    <w:spacing w:line="400" w:lineRule="exact"/>
                    <w:jc w:val="center"/>
                    <w:rPr>
                      <w:rFonts w:ascii="宋体" w:hAnsi="宋体"/>
                      <w:bCs/>
                      <w:color w:val="000000" w:themeColor="text1"/>
                      <w:szCs w:val="21"/>
                    </w:rPr>
                  </w:pPr>
                  <w:r>
                    <w:rPr>
                      <w:rFonts w:ascii="宋体" w:hAnsi="宋体"/>
                      <w:bCs/>
                      <w:color w:val="000000" w:themeColor="text1"/>
                      <w:szCs w:val="21"/>
                    </w:rPr>
                    <w:t>雨水排入市政雨水管网</w:t>
                  </w:r>
                </w:p>
              </w:tc>
              <w:tc>
                <w:tcPr>
                  <w:tcW w:w="3204" w:type="dxa"/>
                  <w:vMerge w:val="restart"/>
                  <w:vAlign w:val="center"/>
                </w:tcPr>
                <w:p>
                  <w:pPr>
                    <w:tabs>
                      <w:tab w:val="left" w:pos="3555"/>
                    </w:tabs>
                    <w:jc w:val="center"/>
                    <w:rPr>
                      <w:rFonts w:ascii="宋体" w:hAnsi="宋体"/>
                      <w:bCs/>
                      <w:color w:val="FF0000"/>
                      <w:szCs w:val="21"/>
                    </w:rPr>
                  </w:pPr>
                  <w:r>
                    <w:rPr>
                      <w:rFonts w:ascii="宋体" w:hAnsi="宋体"/>
                      <w:szCs w:val="21"/>
                    </w:rPr>
                    <w:t>达到GB8978-1996《污水综合排放标准》</w:t>
                  </w:r>
                  <w:r>
                    <w:rPr>
                      <w:rFonts w:hint="eastAsia" w:ascii="宋体" w:hAnsi="宋体"/>
                      <w:szCs w:val="21"/>
                    </w:rPr>
                    <w:t>中三级标准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157" w:type="dxa"/>
                  <w:vMerge w:val="continue"/>
                  <w:vAlign w:val="center"/>
                </w:tcPr>
                <w:p>
                  <w:pPr>
                    <w:tabs>
                      <w:tab w:val="left" w:pos="3555"/>
                    </w:tabs>
                    <w:jc w:val="center"/>
                    <w:rPr>
                      <w:rFonts w:ascii="宋体" w:hAnsi="宋体"/>
                      <w:bCs/>
                      <w:szCs w:val="21"/>
                    </w:rPr>
                  </w:pPr>
                </w:p>
              </w:tc>
              <w:tc>
                <w:tcPr>
                  <w:tcW w:w="1651" w:type="dxa"/>
                  <w:vMerge w:val="restart"/>
                  <w:vAlign w:val="center"/>
                </w:tcPr>
                <w:p>
                  <w:pPr>
                    <w:tabs>
                      <w:tab w:val="left" w:pos="3555"/>
                    </w:tabs>
                    <w:jc w:val="center"/>
                    <w:rPr>
                      <w:rFonts w:ascii="宋体" w:hAnsi="宋体"/>
                      <w:bCs/>
                      <w:szCs w:val="21"/>
                    </w:rPr>
                  </w:pPr>
                  <w:r>
                    <w:rPr>
                      <w:rFonts w:hint="eastAsia" w:ascii="宋体" w:hAnsi="宋体"/>
                      <w:bCs/>
                      <w:szCs w:val="21"/>
                    </w:rPr>
                    <w:t>生活污水</w:t>
                  </w:r>
                </w:p>
              </w:tc>
              <w:tc>
                <w:tcPr>
                  <w:tcW w:w="3220" w:type="dxa"/>
                  <w:vAlign w:val="center"/>
                </w:tcPr>
                <w:p>
                  <w:pPr>
                    <w:tabs>
                      <w:tab w:val="left" w:pos="3555"/>
                    </w:tabs>
                    <w:spacing w:line="400" w:lineRule="exact"/>
                    <w:jc w:val="center"/>
                    <w:rPr>
                      <w:rFonts w:ascii="宋体" w:hAnsi="宋体"/>
                      <w:bCs/>
                      <w:szCs w:val="21"/>
                    </w:rPr>
                  </w:pPr>
                  <w:r>
                    <w:rPr>
                      <w:rFonts w:hint="eastAsia" w:ascii="宋体" w:hAnsi="宋体"/>
                      <w:bCs/>
                      <w:szCs w:val="21"/>
                    </w:rPr>
                    <w:t>隔油池</w:t>
                  </w:r>
                </w:p>
              </w:tc>
              <w:tc>
                <w:tcPr>
                  <w:tcW w:w="3204" w:type="dxa"/>
                  <w:vMerge w:val="continue"/>
                  <w:vAlign w:val="center"/>
                </w:tcPr>
                <w:p>
                  <w:pPr>
                    <w:tabs>
                      <w:tab w:val="left" w:pos="3555"/>
                    </w:tabs>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157" w:type="dxa"/>
                  <w:vMerge w:val="continue"/>
                  <w:vAlign w:val="center"/>
                </w:tcPr>
                <w:p>
                  <w:pPr>
                    <w:tabs>
                      <w:tab w:val="left" w:pos="3555"/>
                    </w:tabs>
                    <w:jc w:val="center"/>
                    <w:rPr>
                      <w:rFonts w:ascii="宋体" w:hAnsi="宋体"/>
                      <w:bCs/>
                      <w:szCs w:val="21"/>
                    </w:rPr>
                  </w:pPr>
                </w:p>
              </w:tc>
              <w:tc>
                <w:tcPr>
                  <w:tcW w:w="1651" w:type="dxa"/>
                  <w:vMerge w:val="continue"/>
                  <w:vAlign w:val="center"/>
                </w:tcPr>
                <w:p>
                  <w:pPr>
                    <w:tabs>
                      <w:tab w:val="left" w:pos="3555"/>
                    </w:tabs>
                    <w:jc w:val="center"/>
                    <w:rPr>
                      <w:rFonts w:ascii="宋体" w:hAnsi="宋体"/>
                      <w:bCs/>
                      <w:szCs w:val="21"/>
                    </w:rPr>
                  </w:pPr>
                </w:p>
              </w:tc>
              <w:tc>
                <w:tcPr>
                  <w:tcW w:w="3220" w:type="dxa"/>
                  <w:vAlign w:val="center"/>
                </w:tcPr>
                <w:p>
                  <w:pPr>
                    <w:tabs>
                      <w:tab w:val="left" w:pos="3555"/>
                    </w:tabs>
                    <w:spacing w:line="400" w:lineRule="exact"/>
                    <w:jc w:val="center"/>
                    <w:rPr>
                      <w:rFonts w:ascii="宋体" w:hAnsi="宋体"/>
                      <w:bCs/>
                      <w:szCs w:val="21"/>
                    </w:rPr>
                  </w:pPr>
                  <w:r>
                    <w:rPr>
                      <w:rFonts w:ascii="宋体" w:hAnsi="宋体"/>
                      <w:bCs/>
                      <w:szCs w:val="21"/>
                    </w:rPr>
                    <w:t>化粪池</w:t>
                  </w:r>
                </w:p>
              </w:tc>
              <w:tc>
                <w:tcPr>
                  <w:tcW w:w="3204" w:type="dxa"/>
                  <w:vMerge w:val="continue"/>
                  <w:vAlign w:val="center"/>
                </w:tcPr>
                <w:p>
                  <w:pPr>
                    <w:tabs>
                      <w:tab w:val="left" w:pos="3555"/>
                    </w:tabs>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157" w:type="dxa"/>
                  <w:vMerge w:val="restart"/>
                  <w:vAlign w:val="center"/>
                </w:tcPr>
                <w:p>
                  <w:pPr>
                    <w:tabs>
                      <w:tab w:val="left" w:pos="3555"/>
                    </w:tabs>
                    <w:spacing w:line="400" w:lineRule="exact"/>
                    <w:jc w:val="center"/>
                    <w:rPr>
                      <w:rFonts w:ascii="宋体" w:hAnsi="宋体"/>
                      <w:bCs/>
                      <w:szCs w:val="21"/>
                    </w:rPr>
                  </w:pPr>
                  <w:r>
                    <w:rPr>
                      <w:rFonts w:ascii="宋体" w:hAnsi="宋体"/>
                      <w:bCs/>
                      <w:szCs w:val="21"/>
                    </w:rPr>
                    <w:t>废气</w:t>
                  </w:r>
                </w:p>
              </w:tc>
              <w:tc>
                <w:tcPr>
                  <w:tcW w:w="1651" w:type="dxa"/>
                  <w:vAlign w:val="center"/>
                </w:tcPr>
                <w:p>
                  <w:pPr>
                    <w:jc w:val="center"/>
                  </w:pPr>
                  <w:r>
                    <w:rPr>
                      <w:rFonts w:hint="eastAsia"/>
                    </w:rPr>
                    <w:t>油烟废气</w:t>
                  </w:r>
                </w:p>
              </w:tc>
              <w:tc>
                <w:tcPr>
                  <w:tcW w:w="3220" w:type="dxa"/>
                  <w:vAlign w:val="center"/>
                </w:tcPr>
                <w:p>
                  <w:pPr>
                    <w:jc w:val="center"/>
                  </w:pPr>
                  <w:r>
                    <w:rPr>
                      <w:rFonts w:hint="eastAsia"/>
                    </w:rPr>
                    <w:t>油烟净化装置+专用烟道</w:t>
                  </w:r>
                </w:p>
              </w:tc>
              <w:tc>
                <w:tcPr>
                  <w:tcW w:w="3204" w:type="dxa"/>
                </w:tcPr>
                <w:p>
                  <w:r>
                    <w:rPr>
                      <w:rFonts w:hint="eastAsia"/>
                    </w:rPr>
                    <w:t>达到GB18483-2001《饮食业油烟排放标准（试行）》限值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157" w:type="dxa"/>
                  <w:vMerge w:val="continue"/>
                  <w:vAlign w:val="center"/>
                </w:tcPr>
                <w:p>
                  <w:pPr>
                    <w:tabs>
                      <w:tab w:val="left" w:pos="3555"/>
                    </w:tabs>
                    <w:spacing w:line="400" w:lineRule="exact"/>
                    <w:jc w:val="center"/>
                    <w:rPr>
                      <w:rFonts w:ascii="宋体" w:hAnsi="宋体"/>
                      <w:bCs/>
                      <w:szCs w:val="21"/>
                    </w:rPr>
                  </w:pPr>
                </w:p>
              </w:tc>
              <w:tc>
                <w:tcPr>
                  <w:tcW w:w="1651" w:type="dxa"/>
                  <w:vAlign w:val="center"/>
                </w:tcPr>
                <w:p>
                  <w:pPr>
                    <w:tabs>
                      <w:tab w:val="left" w:pos="3555"/>
                    </w:tabs>
                    <w:spacing w:line="400" w:lineRule="exact"/>
                    <w:jc w:val="center"/>
                    <w:rPr>
                      <w:rFonts w:ascii="宋体" w:hAnsi="宋体"/>
                      <w:bCs/>
                      <w:color w:val="000000"/>
                      <w:szCs w:val="21"/>
                    </w:rPr>
                  </w:pPr>
                  <w:r>
                    <w:rPr>
                      <w:rFonts w:hint="eastAsia" w:ascii="宋体" w:hAnsi="宋体"/>
                      <w:bCs/>
                      <w:color w:val="000000"/>
                      <w:szCs w:val="21"/>
                    </w:rPr>
                    <w:t>燃料废气</w:t>
                  </w:r>
                </w:p>
              </w:tc>
              <w:tc>
                <w:tcPr>
                  <w:tcW w:w="3220" w:type="dxa"/>
                  <w:vAlign w:val="center"/>
                </w:tcPr>
                <w:p>
                  <w:pPr>
                    <w:tabs>
                      <w:tab w:val="left" w:pos="3555"/>
                    </w:tabs>
                    <w:spacing w:line="400" w:lineRule="exact"/>
                    <w:jc w:val="center"/>
                    <w:rPr>
                      <w:rFonts w:ascii="宋体" w:hAnsi="宋体"/>
                      <w:bCs/>
                      <w:color w:val="000000"/>
                      <w:szCs w:val="21"/>
                    </w:rPr>
                  </w:pPr>
                  <w:r>
                    <w:rPr>
                      <w:rFonts w:hint="eastAsia" w:ascii="宋体" w:hAnsi="宋体"/>
                      <w:bCs/>
                      <w:color w:val="000000"/>
                      <w:szCs w:val="21"/>
                    </w:rPr>
                    <w:t>专用烟道高空排放</w:t>
                  </w:r>
                </w:p>
              </w:tc>
              <w:tc>
                <w:tcPr>
                  <w:tcW w:w="3204" w:type="dxa"/>
                  <w:vMerge w:val="restart"/>
                  <w:vAlign w:val="center"/>
                </w:tcPr>
                <w:p>
                  <w:pPr>
                    <w:rPr>
                      <w:rFonts w:ascii="宋体" w:hAnsi="宋体"/>
                      <w:szCs w:val="21"/>
                    </w:rPr>
                  </w:pPr>
                  <w:r>
                    <w:rPr>
                      <w:rFonts w:hint="eastAsia"/>
                    </w:rPr>
                    <w:t>达到</w:t>
                  </w:r>
                  <w:r>
                    <w:rPr>
                      <w:rFonts w:hint="eastAsia" w:ascii="宋体" w:hAnsi="宋体"/>
                      <w:color w:val="000000"/>
                      <w:szCs w:val="21"/>
                    </w:rPr>
                    <w:t>《大气污染物综合排放标准》（GB16297-1996）中表2之二级标准及无组织监控浓度限值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157" w:type="dxa"/>
                  <w:vMerge w:val="continue"/>
                  <w:vAlign w:val="center"/>
                </w:tcPr>
                <w:p>
                  <w:pPr>
                    <w:tabs>
                      <w:tab w:val="left" w:pos="3555"/>
                    </w:tabs>
                    <w:spacing w:line="400" w:lineRule="exact"/>
                    <w:jc w:val="center"/>
                    <w:rPr>
                      <w:rFonts w:ascii="宋体" w:hAnsi="宋体"/>
                      <w:bCs/>
                      <w:szCs w:val="21"/>
                    </w:rPr>
                  </w:pPr>
                </w:p>
              </w:tc>
              <w:tc>
                <w:tcPr>
                  <w:tcW w:w="1651" w:type="dxa"/>
                  <w:vAlign w:val="center"/>
                </w:tcPr>
                <w:p>
                  <w:pPr>
                    <w:tabs>
                      <w:tab w:val="left" w:pos="3555"/>
                    </w:tabs>
                    <w:spacing w:line="400" w:lineRule="exact"/>
                    <w:jc w:val="center"/>
                    <w:rPr>
                      <w:rFonts w:ascii="宋体" w:hAnsi="宋体"/>
                      <w:bCs/>
                      <w:color w:val="000000"/>
                      <w:szCs w:val="21"/>
                    </w:rPr>
                  </w:pPr>
                  <w:r>
                    <w:rPr>
                      <w:rFonts w:hint="eastAsia" w:ascii="宋体" w:hAnsi="宋体"/>
                      <w:bCs/>
                      <w:color w:val="000000"/>
                      <w:szCs w:val="21"/>
                    </w:rPr>
                    <w:t>汽车尾气</w:t>
                  </w:r>
                </w:p>
              </w:tc>
              <w:tc>
                <w:tcPr>
                  <w:tcW w:w="3220" w:type="dxa"/>
                  <w:vAlign w:val="center"/>
                </w:tcPr>
                <w:p>
                  <w:pPr>
                    <w:tabs>
                      <w:tab w:val="left" w:pos="3555"/>
                    </w:tabs>
                    <w:spacing w:line="400" w:lineRule="exact"/>
                    <w:jc w:val="center"/>
                    <w:rPr>
                      <w:rFonts w:ascii="宋体" w:hAnsi="宋体"/>
                      <w:bCs/>
                      <w:color w:val="000000"/>
                      <w:szCs w:val="21"/>
                    </w:rPr>
                  </w:pPr>
                  <w:r>
                    <w:rPr>
                      <w:rFonts w:hint="eastAsia" w:ascii="宋体" w:hAnsi="宋体"/>
                      <w:bCs/>
                      <w:color w:val="000000"/>
                      <w:szCs w:val="21"/>
                    </w:rPr>
                    <w:t>2个排风口</w:t>
                  </w:r>
                </w:p>
              </w:tc>
              <w:tc>
                <w:tcPr>
                  <w:tcW w:w="3204" w:type="dxa"/>
                  <w:vMerge w:val="continue"/>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157" w:type="dxa"/>
                  <w:vMerge w:val="continue"/>
                  <w:vAlign w:val="center"/>
                </w:tcPr>
                <w:p>
                  <w:pPr>
                    <w:tabs>
                      <w:tab w:val="left" w:pos="3555"/>
                    </w:tabs>
                    <w:spacing w:line="400" w:lineRule="exact"/>
                    <w:jc w:val="center"/>
                    <w:rPr>
                      <w:rFonts w:ascii="宋体" w:hAnsi="宋体"/>
                      <w:bCs/>
                      <w:szCs w:val="21"/>
                    </w:rPr>
                  </w:pPr>
                </w:p>
              </w:tc>
              <w:tc>
                <w:tcPr>
                  <w:tcW w:w="1651" w:type="dxa"/>
                  <w:vAlign w:val="center"/>
                </w:tcPr>
                <w:p>
                  <w:pPr>
                    <w:tabs>
                      <w:tab w:val="left" w:pos="3555"/>
                    </w:tabs>
                    <w:spacing w:line="400" w:lineRule="exact"/>
                    <w:jc w:val="center"/>
                    <w:rPr>
                      <w:rFonts w:ascii="宋体" w:hAnsi="宋体"/>
                      <w:bCs/>
                      <w:color w:val="000000"/>
                      <w:szCs w:val="21"/>
                    </w:rPr>
                  </w:pPr>
                  <w:r>
                    <w:rPr>
                      <w:rFonts w:hint="eastAsia" w:ascii="宋体" w:hAnsi="宋体"/>
                      <w:bCs/>
                      <w:color w:val="000000"/>
                      <w:szCs w:val="21"/>
                    </w:rPr>
                    <w:t>柴油发电机废气</w:t>
                  </w:r>
                </w:p>
              </w:tc>
              <w:tc>
                <w:tcPr>
                  <w:tcW w:w="3220" w:type="dxa"/>
                  <w:vAlign w:val="center"/>
                </w:tcPr>
                <w:p>
                  <w:pPr>
                    <w:tabs>
                      <w:tab w:val="left" w:pos="3555"/>
                    </w:tabs>
                    <w:spacing w:line="400" w:lineRule="exact"/>
                    <w:jc w:val="center"/>
                    <w:rPr>
                      <w:rFonts w:ascii="宋体" w:hAnsi="宋体"/>
                      <w:bCs/>
                      <w:color w:val="000000"/>
                      <w:szCs w:val="21"/>
                    </w:rPr>
                  </w:pPr>
                  <w:r>
                    <w:rPr>
                      <w:rFonts w:hint="eastAsia" w:ascii="宋体" w:hAnsi="宋体"/>
                      <w:bCs/>
                      <w:color w:val="000000"/>
                      <w:szCs w:val="21"/>
                    </w:rPr>
                    <w:t>专用烟道高空排放</w:t>
                  </w:r>
                </w:p>
              </w:tc>
              <w:tc>
                <w:tcPr>
                  <w:tcW w:w="3204" w:type="dxa"/>
                  <w:vMerge w:val="continue"/>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1157" w:type="dxa"/>
                  <w:vMerge w:val="continue"/>
                  <w:vAlign w:val="center"/>
                </w:tcPr>
                <w:p>
                  <w:pPr>
                    <w:tabs>
                      <w:tab w:val="left" w:pos="3555"/>
                    </w:tabs>
                    <w:spacing w:line="400" w:lineRule="exact"/>
                    <w:jc w:val="center"/>
                    <w:rPr>
                      <w:rFonts w:ascii="宋体" w:hAnsi="宋体"/>
                      <w:bCs/>
                      <w:szCs w:val="21"/>
                    </w:rPr>
                  </w:pPr>
                </w:p>
              </w:tc>
              <w:tc>
                <w:tcPr>
                  <w:tcW w:w="1651" w:type="dxa"/>
                  <w:vAlign w:val="center"/>
                </w:tcPr>
                <w:p>
                  <w:pPr>
                    <w:tabs>
                      <w:tab w:val="left" w:pos="3555"/>
                    </w:tabs>
                    <w:spacing w:line="400" w:lineRule="exact"/>
                    <w:jc w:val="center"/>
                    <w:rPr>
                      <w:rFonts w:ascii="宋体" w:hAnsi="宋体"/>
                      <w:bCs/>
                      <w:color w:val="000000"/>
                      <w:szCs w:val="21"/>
                    </w:rPr>
                  </w:pPr>
                  <w:r>
                    <w:rPr>
                      <w:rFonts w:hint="eastAsia" w:ascii="宋体" w:hAnsi="宋体"/>
                      <w:bCs/>
                      <w:color w:val="000000"/>
                      <w:szCs w:val="21"/>
                    </w:rPr>
                    <w:t>锅炉废气</w:t>
                  </w:r>
                </w:p>
              </w:tc>
              <w:tc>
                <w:tcPr>
                  <w:tcW w:w="3220" w:type="dxa"/>
                  <w:vAlign w:val="center"/>
                </w:tcPr>
                <w:p>
                  <w:pPr>
                    <w:tabs>
                      <w:tab w:val="left" w:pos="3555"/>
                    </w:tabs>
                    <w:spacing w:line="400" w:lineRule="exact"/>
                    <w:rPr>
                      <w:rFonts w:ascii="宋体" w:hAnsi="宋体"/>
                      <w:bCs/>
                      <w:color w:val="000000" w:themeColor="text1"/>
                      <w:szCs w:val="21"/>
                    </w:rPr>
                  </w:pPr>
                  <w:r>
                    <w:rPr>
                      <w:rFonts w:hint="eastAsia" w:ascii="宋体" w:hAnsi="宋体"/>
                      <w:bCs/>
                      <w:szCs w:val="21"/>
                    </w:rPr>
                    <w:t>锅炉燃烧废气由不低于8米的专用烟道排放</w:t>
                  </w:r>
                </w:p>
              </w:tc>
              <w:tc>
                <w:tcPr>
                  <w:tcW w:w="3204" w:type="dxa"/>
                  <w:vAlign w:val="center"/>
                </w:tcPr>
                <w:p>
                  <w:pPr>
                    <w:rPr>
                      <w:rFonts w:ascii="宋体" w:hAnsi="宋体"/>
                      <w:color w:val="000000" w:themeColor="text1"/>
                      <w:szCs w:val="21"/>
                    </w:rPr>
                  </w:pPr>
                  <w:r>
                    <w:rPr>
                      <w:rFonts w:hint="eastAsia" w:ascii="宋体" w:hAnsi="宋体"/>
                      <w:color w:val="000000" w:themeColor="text1"/>
                      <w:spacing w:val="-12"/>
                      <w:szCs w:val="21"/>
                    </w:rPr>
                    <w:t>达到《锅炉大气污染物排放</w:t>
                  </w:r>
                  <w:r>
                    <w:rPr>
                      <w:rFonts w:ascii="宋体" w:hAnsi="宋体"/>
                      <w:color w:val="000000" w:themeColor="text1"/>
                      <w:spacing w:val="-12"/>
                      <w:szCs w:val="21"/>
                    </w:rPr>
                    <w:t>标准》（GB</w:t>
                  </w:r>
                  <w:r>
                    <w:rPr>
                      <w:rFonts w:hint="eastAsia" w:ascii="宋体" w:hAnsi="宋体"/>
                      <w:color w:val="000000" w:themeColor="text1"/>
                      <w:spacing w:val="-12"/>
                      <w:szCs w:val="21"/>
                    </w:rPr>
                    <w:t>13271</w:t>
                  </w:r>
                  <w:r>
                    <w:rPr>
                      <w:rFonts w:ascii="宋体" w:hAnsi="宋体"/>
                      <w:color w:val="000000" w:themeColor="text1"/>
                      <w:spacing w:val="-12"/>
                      <w:szCs w:val="21"/>
                    </w:rPr>
                    <w:t>-</w:t>
                  </w:r>
                  <w:r>
                    <w:rPr>
                      <w:rFonts w:hint="eastAsia" w:ascii="宋体" w:hAnsi="宋体"/>
                      <w:color w:val="000000" w:themeColor="text1"/>
                      <w:spacing w:val="-12"/>
                      <w:szCs w:val="21"/>
                    </w:rPr>
                    <w:t>2014</w:t>
                  </w:r>
                  <w:r>
                    <w:rPr>
                      <w:rFonts w:ascii="宋体" w:hAnsi="宋体"/>
                      <w:color w:val="000000" w:themeColor="text1"/>
                      <w:spacing w:val="-12"/>
                      <w:szCs w:val="21"/>
                    </w:rPr>
                    <w:t>）中</w:t>
                  </w:r>
                  <w:r>
                    <w:rPr>
                      <w:rFonts w:hint="eastAsia" w:ascii="宋体" w:hAnsi="宋体"/>
                      <w:color w:val="000000" w:themeColor="text1"/>
                      <w:spacing w:val="-12"/>
                      <w:szCs w:val="21"/>
                    </w:rPr>
                    <w:t>表2燃气锅炉的</w:t>
                  </w:r>
                  <w:r>
                    <w:rPr>
                      <w:rFonts w:ascii="宋体" w:hAnsi="宋体"/>
                      <w:color w:val="000000" w:themeColor="text1"/>
                      <w:spacing w:val="-12"/>
                      <w:szCs w:val="21"/>
                    </w:rPr>
                    <w:t>标准</w:t>
                  </w:r>
                  <w:r>
                    <w:rPr>
                      <w:rFonts w:hint="eastAsia" w:ascii="宋体" w:hAnsi="宋体"/>
                      <w:color w:val="000000" w:themeColor="text1"/>
                      <w:spacing w:val="-12"/>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157" w:type="dxa"/>
                  <w:vAlign w:val="center"/>
                </w:tcPr>
                <w:p>
                  <w:pPr>
                    <w:tabs>
                      <w:tab w:val="left" w:pos="3555"/>
                    </w:tabs>
                    <w:jc w:val="center"/>
                    <w:rPr>
                      <w:rFonts w:ascii="宋体" w:hAnsi="宋体"/>
                      <w:bCs/>
                      <w:szCs w:val="21"/>
                    </w:rPr>
                  </w:pPr>
                  <w:r>
                    <w:rPr>
                      <w:rFonts w:ascii="宋体" w:hAnsi="宋体"/>
                      <w:bCs/>
                      <w:szCs w:val="21"/>
                    </w:rPr>
                    <w:t>噪声</w:t>
                  </w:r>
                </w:p>
              </w:tc>
              <w:tc>
                <w:tcPr>
                  <w:tcW w:w="1651" w:type="dxa"/>
                  <w:vAlign w:val="center"/>
                </w:tcPr>
                <w:p>
                  <w:pPr>
                    <w:tabs>
                      <w:tab w:val="left" w:pos="3555"/>
                    </w:tabs>
                    <w:jc w:val="center"/>
                    <w:rPr>
                      <w:rFonts w:ascii="宋体" w:hAnsi="宋体"/>
                      <w:bCs/>
                      <w:szCs w:val="21"/>
                    </w:rPr>
                  </w:pPr>
                  <w:r>
                    <w:rPr>
                      <w:rFonts w:ascii="宋体" w:hAnsi="宋体"/>
                      <w:bCs/>
                      <w:szCs w:val="21"/>
                    </w:rPr>
                    <w:t>设备噪声</w:t>
                  </w:r>
                </w:p>
              </w:tc>
              <w:tc>
                <w:tcPr>
                  <w:tcW w:w="3220" w:type="dxa"/>
                  <w:vAlign w:val="center"/>
                </w:tcPr>
                <w:p>
                  <w:pPr>
                    <w:tabs>
                      <w:tab w:val="left" w:pos="3555"/>
                    </w:tabs>
                    <w:jc w:val="center"/>
                    <w:rPr>
                      <w:rFonts w:ascii="宋体" w:hAnsi="宋体"/>
                      <w:bCs/>
                      <w:szCs w:val="21"/>
                    </w:rPr>
                  </w:pPr>
                  <w:r>
                    <w:rPr>
                      <w:rFonts w:ascii="宋体" w:hAnsi="宋体"/>
                      <w:bCs/>
                      <w:szCs w:val="21"/>
                    </w:rPr>
                    <w:t>隔声、减</w:t>
                  </w:r>
                  <w:r>
                    <w:rPr>
                      <w:rFonts w:hint="eastAsia" w:ascii="宋体" w:hAnsi="宋体"/>
                      <w:bCs/>
                      <w:szCs w:val="21"/>
                    </w:rPr>
                    <w:t>振、消声</w:t>
                  </w:r>
                  <w:r>
                    <w:rPr>
                      <w:rFonts w:ascii="宋体" w:hAnsi="宋体"/>
                      <w:bCs/>
                      <w:szCs w:val="21"/>
                    </w:rPr>
                    <w:t>等降噪设施</w:t>
                  </w:r>
                </w:p>
              </w:tc>
              <w:tc>
                <w:tcPr>
                  <w:tcW w:w="3204" w:type="dxa"/>
                  <w:vAlign w:val="center"/>
                </w:tcPr>
                <w:p>
                  <w:pPr>
                    <w:tabs>
                      <w:tab w:val="left" w:pos="3555"/>
                    </w:tabs>
                    <w:jc w:val="center"/>
                    <w:rPr>
                      <w:rFonts w:ascii="宋体" w:hAnsi="宋体"/>
                      <w:bCs/>
                      <w:color w:val="FF0000"/>
                      <w:szCs w:val="21"/>
                    </w:rPr>
                  </w:pPr>
                  <w:r>
                    <w:rPr>
                      <w:rFonts w:hint="eastAsia" w:ascii="宋体" w:hAnsi="宋体"/>
                      <w:szCs w:val="21"/>
                    </w:rPr>
                    <w:t>符合</w:t>
                  </w:r>
                  <w:r>
                    <w:rPr>
                      <w:rFonts w:ascii="宋体" w:hAnsi="宋体"/>
                      <w:szCs w:val="21"/>
                    </w:rPr>
                    <w:t>GB3096-2008《声环境质量标准》中的</w:t>
                  </w:r>
                  <w:r>
                    <w:rPr>
                      <w:rFonts w:hint="eastAsia" w:ascii="宋体" w:hAnsi="宋体"/>
                      <w:szCs w:val="21"/>
                    </w:rPr>
                    <w:t>1</w:t>
                  </w:r>
                  <w:r>
                    <w:rPr>
                      <w:rFonts w:ascii="宋体" w:hAnsi="宋体"/>
                      <w:szCs w:val="21"/>
                    </w:rPr>
                    <w:t>类</w:t>
                  </w:r>
                  <w:r>
                    <w:rPr>
                      <w:rFonts w:hint="eastAsia" w:ascii="宋体" w:hAnsi="宋体"/>
                      <w:szCs w:val="21"/>
                    </w:rPr>
                    <w:t>2类、4a类</w:t>
                  </w:r>
                  <w:r>
                    <w:rPr>
                      <w:rFonts w:ascii="宋体" w:hAnsi="宋体"/>
                      <w:szCs w:val="21"/>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157" w:type="dxa"/>
                  <w:vMerge w:val="restart"/>
                  <w:vAlign w:val="center"/>
                </w:tcPr>
                <w:p>
                  <w:pPr>
                    <w:tabs>
                      <w:tab w:val="left" w:pos="3555"/>
                    </w:tabs>
                    <w:jc w:val="center"/>
                    <w:rPr>
                      <w:rFonts w:ascii="宋体" w:hAnsi="宋体"/>
                      <w:bCs/>
                      <w:szCs w:val="21"/>
                    </w:rPr>
                  </w:pPr>
                  <w:r>
                    <w:rPr>
                      <w:rFonts w:ascii="宋体" w:hAnsi="宋体"/>
                      <w:bCs/>
                      <w:szCs w:val="21"/>
                    </w:rPr>
                    <w:t>固废</w:t>
                  </w:r>
                </w:p>
              </w:tc>
              <w:tc>
                <w:tcPr>
                  <w:tcW w:w="1651" w:type="dxa"/>
                  <w:vAlign w:val="center"/>
                </w:tcPr>
                <w:p>
                  <w:pPr>
                    <w:tabs>
                      <w:tab w:val="left" w:pos="3555"/>
                    </w:tabs>
                    <w:jc w:val="center"/>
                    <w:rPr>
                      <w:rFonts w:ascii="宋体" w:hAnsi="宋体"/>
                      <w:bCs/>
                      <w:szCs w:val="21"/>
                    </w:rPr>
                  </w:pPr>
                  <w:r>
                    <w:rPr>
                      <w:rFonts w:ascii="宋体" w:hAnsi="宋体"/>
                      <w:bCs/>
                      <w:szCs w:val="21"/>
                    </w:rPr>
                    <w:t>生活垃圾</w:t>
                  </w:r>
                </w:p>
                <w:p>
                  <w:pPr>
                    <w:tabs>
                      <w:tab w:val="left" w:pos="3555"/>
                    </w:tabs>
                    <w:jc w:val="center"/>
                    <w:rPr>
                      <w:rFonts w:ascii="宋体" w:hAnsi="宋体"/>
                      <w:bCs/>
                      <w:szCs w:val="21"/>
                    </w:rPr>
                  </w:pPr>
                  <w:r>
                    <w:rPr>
                      <w:rFonts w:hint="eastAsia" w:ascii="宋体" w:hAnsi="宋体"/>
                      <w:bCs/>
                      <w:szCs w:val="21"/>
                    </w:rPr>
                    <w:t>商业垃圾</w:t>
                  </w:r>
                </w:p>
              </w:tc>
              <w:tc>
                <w:tcPr>
                  <w:tcW w:w="3220" w:type="dxa"/>
                  <w:vAlign w:val="center"/>
                </w:tcPr>
                <w:p>
                  <w:pPr>
                    <w:tabs>
                      <w:tab w:val="left" w:pos="3555"/>
                    </w:tabs>
                    <w:jc w:val="center"/>
                    <w:rPr>
                      <w:rFonts w:ascii="宋体" w:hAnsi="宋体"/>
                      <w:bCs/>
                      <w:szCs w:val="21"/>
                    </w:rPr>
                  </w:pPr>
                  <w:r>
                    <w:rPr>
                      <w:rFonts w:ascii="宋体" w:hAnsi="宋体"/>
                      <w:bCs/>
                      <w:szCs w:val="21"/>
                    </w:rPr>
                    <w:t>垃圾箱</w:t>
                  </w:r>
                  <w:r>
                    <w:rPr>
                      <w:rFonts w:hint="eastAsia" w:ascii="宋体" w:hAnsi="宋体"/>
                      <w:bCs/>
                      <w:szCs w:val="21"/>
                    </w:rPr>
                    <w:t>、筒收集，地埋式垃圾站</w:t>
                  </w:r>
                </w:p>
              </w:tc>
              <w:tc>
                <w:tcPr>
                  <w:tcW w:w="3204" w:type="dxa"/>
                  <w:vAlign w:val="center"/>
                </w:tcPr>
                <w:p>
                  <w:pPr>
                    <w:tabs>
                      <w:tab w:val="left" w:pos="3555"/>
                    </w:tabs>
                    <w:jc w:val="center"/>
                    <w:rPr>
                      <w:rFonts w:ascii="宋体" w:hAnsi="宋体"/>
                      <w:bCs/>
                      <w:szCs w:val="21"/>
                    </w:rPr>
                  </w:pPr>
                  <w:r>
                    <w:rPr>
                      <w:rFonts w:hint="eastAsia" w:ascii="宋体" w:hAnsi="宋体"/>
                      <w:bCs/>
                      <w:szCs w:val="21"/>
                    </w:rPr>
                    <w:t>集中收集，日产日清，</w:t>
                  </w:r>
                  <w:r>
                    <w:rPr>
                      <w:rFonts w:ascii="宋体" w:hAnsi="宋体"/>
                      <w:bCs/>
                      <w:szCs w:val="21"/>
                    </w:rPr>
                    <w:t>处置率100%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157" w:type="dxa"/>
                  <w:vMerge w:val="continue"/>
                  <w:vAlign w:val="center"/>
                </w:tcPr>
                <w:p>
                  <w:pPr>
                    <w:tabs>
                      <w:tab w:val="left" w:pos="3555"/>
                    </w:tabs>
                    <w:jc w:val="center"/>
                    <w:rPr>
                      <w:rFonts w:ascii="宋体" w:hAnsi="宋体"/>
                      <w:bCs/>
                      <w:szCs w:val="21"/>
                    </w:rPr>
                  </w:pPr>
                </w:p>
              </w:tc>
              <w:tc>
                <w:tcPr>
                  <w:tcW w:w="1651" w:type="dxa"/>
                  <w:vAlign w:val="center"/>
                </w:tcPr>
                <w:p>
                  <w:pPr>
                    <w:tabs>
                      <w:tab w:val="left" w:pos="3555"/>
                    </w:tabs>
                    <w:jc w:val="center"/>
                    <w:rPr>
                      <w:rFonts w:ascii="宋体" w:hAnsi="宋体"/>
                      <w:bCs/>
                      <w:szCs w:val="21"/>
                    </w:rPr>
                  </w:pPr>
                  <w:r>
                    <w:rPr>
                      <w:rFonts w:hint="eastAsia" w:ascii="宋体" w:hAnsi="宋体"/>
                      <w:bCs/>
                      <w:szCs w:val="21"/>
                    </w:rPr>
                    <w:t>餐厨垃圾</w:t>
                  </w:r>
                </w:p>
              </w:tc>
              <w:tc>
                <w:tcPr>
                  <w:tcW w:w="3220" w:type="dxa"/>
                  <w:vAlign w:val="center"/>
                </w:tcPr>
                <w:p>
                  <w:pPr>
                    <w:tabs>
                      <w:tab w:val="left" w:pos="3555"/>
                    </w:tabs>
                    <w:jc w:val="center"/>
                    <w:rPr>
                      <w:rFonts w:ascii="宋体" w:hAnsi="宋体"/>
                      <w:bCs/>
                      <w:szCs w:val="21"/>
                    </w:rPr>
                  </w:pPr>
                  <w:r>
                    <w:rPr>
                      <w:rFonts w:hint="eastAsia" w:ascii="宋体" w:hAnsi="宋体"/>
                      <w:bCs/>
                      <w:szCs w:val="21"/>
                    </w:rPr>
                    <w:t>暂存设施</w:t>
                  </w:r>
                </w:p>
              </w:tc>
              <w:tc>
                <w:tcPr>
                  <w:tcW w:w="3204" w:type="dxa"/>
                  <w:vMerge w:val="restart"/>
                  <w:vAlign w:val="center"/>
                </w:tcPr>
                <w:p>
                  <w:pPr>
                    <w:tabs>
                      <w:tab w:val="left" w:pos="3555"/>
                    </w:tabs>
                    <w:jc w:val="center"/>
                    <w:rPr>
                      <w:rFonts w:ascii="宋体" w:hAnsi="宋体"/>
                      <w:bCs/>
                      <w:szCs w:val="21"/>
                    </w:rPr>
                  </w:pPr>
                  <w:r>
                    <w:rPr>
                      <w:rFonts w:hint="eastAsia" w:ascii="宋体" w:hAnsi="宋体"/>
                      <w:bCs/>
                      <w:szCs w:val="21"/>
                    </w:rPr>
                    <w:t>集中收集，日产日清，交由资质单位处理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157" w:type="dxa"/>
                  <w:vMerge w:val="continue"/>
                  <w:vAlign w:val="center"/>
                </w:tcPr>
                <w:p>
                  <w:pPr>
                    <w:tabs>
                      <w:tab w:val="left" w:pos="3555"/>
                    </w:tabs>
                    <w:jc w:val="center"/>
                    <w:rPr>
                      <w:rFonts w:ascii="宋体" w:hAnsi="宋体"/>
                      <w:bCs/>
                      <w:szCs w:val="21"/>
                    </w:rPr>
                  </w:pPr>
                </w:p>
              </w:tc>
              <w:tc>
                <w:tcPr>
                  <w:tcW w:w="1651" w:type="dxa"/>
                  <w:vAlign w:val="center"/>
                </w:tcPr>
                <w:p>
                  <w:pPr>
                    <w:tabs>
                      <w:tab w:val="left" w:pos="3555"/>
                    </w:tabs>
                    <w:jc w:val="center"/>
                    <w:rPr>
                      <w:rFonts w:ascii="宋体" w:hAnsi="宋体"/>
                      <w:bCs/>
                      <w:szCs w:val="21"/>
                    </w:rPr>
                  </w:pPr>
                  <w:r>
                    <w:rPr>
                      <w:rFonts w:hint="eastAsia" w:ascii="宋体" w:hAnsi="宋体"/>
                      <w:bCs/>
                      <w:szCs w:val="21"/>
                    </w:rPr>
                    <w:t>废油脂</w:t>
                  </w:r>
                </w:p>
              </w:tc>
              <w:tc>
                <w:tcPr>
                  <w:tcW w:w="3220" w:type="dxa"/>
                  <w:vAlign w:val="center"/>
                </w:tcPr>
                <w:p>
                  <w:pPr>
                    <w:tabs>
                      <w:tab w:val="left" w:pos="3555"/>
                    </w:tabs>
                    <w:jc w:val="center"/>
                    <w:rPr>
                      <w:rFonts w:ascii="宋体" w:hAnsi="宋体"/>
                      <w:bCs/>
                      <w:szCs w:val="21"/>
                    </w:rPr>
                  </w:pPr>
                  <w:r>
                    <w:rPr>
                      <w:rFonts w:hint="eastAsia" w:ascii="宋体" w:hAnsi="宋体"/>
                      <w:bCs/>
                      <w:szCs w:val="21"/>
                    </w:rPr>
                    <w:t>暂存设施</w:t>
                  </w:r>
                </w:p>
              </w:tc>
              <w:tc>
                <w:tcPr>
                  <w:tcW w:w="3204" w:type="dxa"/>
                  <w:vMerge w:val="continue"/>
                  <w:vAlign w:val="center"/>
                </w:tcPr>
                <w:p>
                  <w:pPr>
                    <w:tabs>
                      <w:tab w:val="left" w:pos="3555"/>
                    </w:tabs>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jc w:val="center"/>
              </w:trPr>
              <w:tc>
                <w:tcPr>
                  <w:tcW w:w="1157" w:type="dxa"/>
                  <w:vAlign w:val="center"/>
                </w:tcPr>
                <w:p>
                  <w:pPr>
                    <w:tabs>
                      <w:tab w:val="left" w:pos="3555"/>
                    </w:tabs>
                    <w:jc w:val="center"/>
                    <w:rPr>
                      <w:rFonts w:ascii="宋体" w:hAnsi="宋体"/>
                      <w:bCs/>
                      <w:szCs w:val="21"/>
                    </w:rPr>
                  </w:pPr>
                  <w:r>
                    <w:rPr>
                      <w:rFonts w:ascii="宋体" w:hAnsi="宋体"/>
                      <w:bCs/>
                      <w:szCs w:val="21"/>
                    </w:rPr>
                    <w:t>绿化</w:t>
                  </w:r>
                </w:p>
              </w:tc>
              <w:tc>
                <w:tcPr>
                  <w:tcW w:w="1651" w:type="dxa"/>
                  <w:vAlign w:val="center"/>
                </w:tcPr>
                <w:p>
                  <w:pPr>
                    <w:tabs>
                      <w:tab w:val="left" w:pos="3555"/>
                    </w:tabs>
                    <w:jc w:val="center"/>
                    <w:rPr>
                      <w:rFonts w:ascii="宋体" w:hAnsi="宋体"/>
                      <w:bCs/>
                      <w:szCs w:val="21"/>
                    </w:rPr>
                  </w:pPr>
                  <w:r>
                    <w:rPr>
                      <w:rFonts w:ascii="宋体" w:hAnsi="宋体"/>
                      <w:bCs/>
                      <w:szCs w:val="21"/>
                    </w:rPr>
                    <w:t>区内</w:t>
                  </w:r>
                </w:p>
              </w:tc>
              <w:tc>
                <w:tcPr>
                  <w:tcW w:w="3220" w:type="dxa"/>
                  <w:vAlign w:val="center"/>
                </w:tcPr>
                <w:p>
                  <w:pPr>
                    <w:tabs>
                      <w:tab w:val="left" w:pos="3555"/>
                    </w:tabs>
                    <w:jc w:val="center"/>
                    <w:rPr>
                      <w:rFonts w:ascii="宋体" w:hAnsi="宋体"/>
                      <w:bCs/>
                      <w:szCs w:val="21"/>
                    </w:rPr>
                  </w:pPr>
                  <w:r>
                    <w:rPr>
                      <w:rFonts w:ascii="宋体" w:hAnsi="宋体"/>
                      <w:bCs/>
                      <w:szCs w:val="21"/>
                    </w:rPr>
                    <w:t>绿化率</w:t>
                  </w:r>
                </w:p>
              </w:tc>
              <w:tc>
                <w:tcPr>
                  <w:tcW w:w="3204" w:type="dxa"/>
                  <w:vAlign w:val="center"/>
                </w:tcPr>
                <w:p>
                  <w:pPr>
                    <w:tabs>
                      <w:tab w:val="left" w:pos="3555"/>
                    </w:tabs>
                    <w:jc w:val="center"/>
                    <w:rPr>
                      <w:rFonts w:ascii="宋体" w:hAnsi="宋体"/>
                      <w:bCs/>
                      <w:color w:val="000000"/>
                      <w:szCs w:val="21"/>
                    </w:rPr>
                  </w:pPr>
                  <w:r>
                    <w:rPr>
                      <w:rFonts w:ascii="宋体" w:hAnsi="宋体"/>
                      <w:bCs/>
                      <w:color w:val="000000"/>
                      <w:szCs w:val="21"/>
                    </w:rPr>
                    <w:t>绿化率</w:t>
                  </w:r>
                  <w:r>
                    <w:rPr>
                      <w:rFonts w:hint="eastAsia" w:ascii="宋体" w:hAnsi="宋体"/>
                      <w:bCs/>
                      <w:color w:val="000000"/>
                      <w:szCs w:val="21"/>
                    </w:rPr>
                    <w:t>不低于30</w:t>
                  </w:r>
                  <w:r>
                    <w:rPr>
                      <w:rFonts w:ascii="宋体" w:hAnsi="宋体"/>
                      <w:bCs/>
                      <w:color w:val="000000"/>
                      <w:szCs w:val="21"/>
                    </w:rPr>
                    <w:t>%</w:t>
                  </w:r>
                </w:p>
              </w:tc>
            </w:tr>
          </w:tbl>
          <w:p>
            <w:pPr>
              <w:rPr>
                <w:rFonts w:ascii="宋体" w:hAnsi="宋体"/>
                <w:sz w:val="24"/>
              </w:rPr>
            </w:pPr>
          </w:p>
        </w:tc>
      </w:tr>
    </w:tbl>
    <w:p>
      <w:pPr>
        <w:pStyle w:val="2"/>
        <w:keepLines/>
        <w:pageBreakBefore/>
        <w:rPr>
          <w:rFonts w:ascii="宋体" w:hAnsi="宋体"/>
          <w:b/>
          <w:color w:val="000000"/>
          <w:kern w:val="44"/>
          <w:szCs w:val="28"/>
        </w:rPr>
      </w:pPr>
      <w:bookmarkStart w:id="18" w:name="_Toc509236306"/>
      <w:bookmarkStart w:id="19" w:name="_Toc295374659"/>
      <w:r>
        <w:rPr>
          <w:rFonts w:ascii="宋体" w:hAnsi="宋体"/>
          <w:b/>
          <w:color w:val="000000"/>
          <w:kern w:val="44"/>
          <w:szCs w:val="28"/>
        </w:rPr>
        <w:t>建设项目拟采取的防治措施及预期治理效果</w:t>
      </w:r>
      <w:bookmarkEnd w:id="18"/>
      <w:bookmarkEnd w:id="19"/>
    </w:p>
    <w:tbl>
      <w:tblPr>
        <w:tblStyle w:val="42"/>
        <w:tblW w:w="9356"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5"/>
        <w:gridCol w:w="1324"/>
        <w:gridCol w:w="1555"/>
        <w:gridCol w:w="3271"/>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74" w:hRule="atLeast"/>
        </w:trPr>
        <w:tc>
          <w:tcPr>
            <w:tcW w:w="655" w:type="dxa"/>
            <w:tcBorders>
              <w:top w:val="single" w:color="auto" w:sz="12" w:space="0"/>
              <w:left w:val="single" w:color="auto" w:sz="12" w:space="0"/>
              <w:bottom w:val="single" w:color="auto" w:sz="6" w:space="0"/>
              <w:right w:val="single" w:color="auto" w:sz="6" w:space="0"/>
              <w:tl2br w:val="single" w:color="auto" w:sz="4" w:space="0"/>
            </w:tcBorders>
            <w:tcMar>
              <w:left w:w="28" w:type="dxa"/>
              <w:right w:w="0" w:type="dxa"/>
            </w:tcMar>
            <w:vAlign w:val="center"/>
          </w:tcPr>
          <w:p>
            <w:pPr>
              <w:spacing w:line="240" w:lineRule="exact"/>
              <w:ind w:right="120" w:firstLine="240" w:firstLineChars="100"/>
              <w:jc w:val="right"/>
              <w:rPr>
                <w:rFonts w:ascii="宋体" w:hAnsi="宋体"/>
                <w:sz w:val="24"/>
              </w:rPr>
            </w:pPr>
            <w:r>
              <w:rPr>
                <w:rFonts w:ascii="宋体" w:hAnsi="宋体"/>
                <w:sz w:val="24"/>
              </w:rPr>
              <w:t>内</w:t>
            </w:r>
          </w:p>
          <w:p>
            <w:pPr>
              <w:spacing w:line="240" w:lineRule="exact"/>
              <w:ind w:left="361" w:hanging="360" w:hangingChars="150"/>
              <w:rPr>
                <w:rFonts w:ascii="宋体" w:hAnsi="宋体"/>
                <w:sz w:val="24"/>
              </w:rPr>
            </w:pPr>
            <w:r>
              <w:rPr>
                <w:rFonts w:ascii="宋体" w:hAnsi="宋体"/>
                <w:sz w:val="24"/>
              </w:rPr>
              <w:t xml:space="preserve">    容</w:t>
            </w:r>
          </w:p>
          <w:p>
            <w:pPr>
              <w:spacing w:line="240" w:lineRule="exact"/>
              <w:rPr>
                <w:rFonts w:ascii="宋体" w:hAnsi="宋体"/>
                <w:sz w:val="24"/>
              </w:rPr>
            </w:pPr>
            <w:r>
              <w:rPr>
                <w:rFonts w:ascii="宋体" w:hAnsi="宋体"/>
                <w:sz w:val="24"/>
              </w:rPr>
              <w:t>类</w:t>
            </w:r>
          </w:p>
          <w:p>
            <w:pPr>
              <w:spacing w:line="240" w:lineRule="exact"/>
              <w:rPr>
                <w:rFonts w:ascii="宋体" w:hAnsi="宋体"/>
                <w:sz w:val="24"/>
              </w:rPr>
            </w:pPr>
            <w:r>
              <w:rPr>
                <w:rFonts w:ascii="宋体" w:hAnsi="宋体"/>
                <w:sz w:val="24"/>
              </w:rPr>
              <w:t>型</w:t>
            </w:r>
          </w:p>
        </w:tc>
        <w:tc>
          <w:tcPr>
            <w:tcW w:w="1324" w:type="dxa"/>
            <w:tcBorders>
              <w:top w:val="single" w:color="auto" w:sz="12"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ascii="宋体" w:hAnsi="宋体"/>
                <w:sz w:val="24"/>
              </w:rPr>
              <w:t>排放源</w:t>
            </w:r>
          </w:p>
          <w:p>
            <w:pPr>
              <w:spacing w:line="240" w:lineRule="exact"/>
              <w:jc w:val="center"/>
              <w:textAlignment w:val="baseline"/>
              <w:rPr>
                <w:rFonts w:ascii="宋体" w:hAnsi="宋体"/>
                <w:sz w:val="24"/>
              </w:rPr>
            </w:pPr>
            <w:r>
              <w:rPr>
                <w:rFonts w:ascii="宋体" w:hAnsi="宋体"/>
                <w:sz w:val="24"/>
              </w:rPr>
              <w:t>（编号）</w:t>
            </w:r>
          </w:p>
        </w:tc>
        <w:tc>
          <w:tcPr>
            <w:tcW w:w="1555" w:type="dxa"/>
            <w:tcBorders>
              <w:top w:val="single" w:color="auto" w:sz="12" w:space="0"/>
              <w:left w:val="single" w:color="auto" w:sz="6" w:space="0"/>
              <w:bottom w:val="single" w:color="auto" w:sz="6" w:space="0"/>
              <w:right w:val="single" w:color="auto" w:sz="6" w:space="0"/>
            </w:tcBorders>
            <w:tcMar>
              <w:left w:w="28" w:type="dxa"/>
            </w:tcMar>
            <w:vAlign w:val="center"/>
          </w:tcPr>
          <w:p>
            <w:pPr>
              <w:spacing w:line="240" w:lineRule="exact"/>
              <w:jc w:val="center"/>
              <w:textAlignment w:val="baseline"/>
              <w:rPr>
                <w:rFonts w:ascii="宋体" w:hAnsi="宋体"/>
                <w:sz w:val="24"/>
              </w:rPr>
            </w:pPr>
            <w:r>
              <w:rPr>
                <w:rFonts w:ascii="宋体" w:hAnsi="宋体"/>
                <w:sz w:val="24"/>
              </w:rPr>
              <w:t>污染物</w:t>
            </w:r>
          </w:p>
          <w:p>
            <w:pPr>
              <w:spacing w:line="240" w:lineRule="exact"/>
              <w:jc w:val="center"/>
              <w:textAlignment w:val="baseline"/>
              <w:rPr>
                <w:rFonts w:ascii="宋体" w:hAnsi="宋体"/>
                <w:sz w:val="24"/>
              </w:rPr>
            </w:pPr>
            <w:r>
              <w:rPr>
                <w:rFonts w:ascii="宋体" w:hAnsi="宋体"/>
                <w:sz w:val="24"/>
              </w:rPr>
              <w:t>名 称</w:t>
            </w:r>
          </w:p>
        </w:tc>
        <w:tc>
          <w:tcPr>
            <w:tcW w:w="3271" w:type="dxa"/>
            <w:tcBorders>
              <w:top w:val="single" w:color="auto" w:sz="12" w:space="0"/>
              <w:left w:val="single" w:color="auto" w:sz="6" w:space="0"/>
              <w:bottom w:val="single" w:color="auto" w:sz="6" w:space="0"/>
              <w:right w:val="single" w:color="auto" w:sz="6" w:space="0"/>
            </w:tcBorders>
            <w:tcMar>
              <w:left w:w="28" w:type="dxa"/>
            </w:tcMar>
            <w:vAlign w:val="center"/>
          </w:tcPr>
          <w:p>
            <w:pPr>
              <w:spacing w:line="240" w:lineRule="exact"/>
              <w:jc w:val="center"/>
              <w:textAlignment w:val="baseline"/>
              <w:rPr>
                <w:rFonts w:ascii="宋体" w:hAnsi="宋体"/>
                <w:spacing w:val="-20"/>
                <w:sz w:val="24"/>
              </w:rPr>
            </w:pPr>
            <w:r>
              <w:rPr>
                <w:rFonts w:hint="eastAsia" w:ascii="宋体" w:hAnsi="宋体"/>
                <w:spacing w:val="-20"/>
                <w:sz w:val="24"/>
              </w:rPr>
              <w:t>环保</w:t>
            </w:r>
            <w:r>
              <w:rPr>
                <w:rFonts w:ascii="宋体" w:hAnsi="宋体"/>
                <w:spacing w:val="-20"/>
                <w:sz w:val="24"/>
              </w:rPr>
              <w:t>措施</w:t>
            </w:r>
          </w:p>
        </w:tc>
        <w:tc>
          <w:tcPr>
            <w:tcW w:w="2551" w:type="dxa"/>
            <w:tcBorders>
              <w:top w:val="single" w:color="auto" w:sz="12" w:space="0"/>
              <w:left w:val="single" w:color="auto" w:sz="6" w:space="0"/>
              <w:bottom w:val="single" w:color="auto" w:sz="6" w:space="0"/>
              <w:right w:val="single" w:color="auto" w:sz="12" w:space="0"/>
            </w:tcBorders>
            <w:tcMar>
              <w:left w:w="28" w:type="dxa"/>
            </w:tcMar>
            <w:vAlign w:val="center"/>
          </w:tcPr>
          <w:p>
            <w:pPr>
              <w:spacing w:line="240" w:lineRule="exact"/>
              <w:jc w:val="center"/>
              <w:textAlignment w:val="baseline"/>
              <w:rPr>
                <w:rFonts w:ascii="宋体" w:hAnsi="宋体"/>
                <w:spacing w:val="-20"/>
                <w:sz w:val="24"/>
              </w:rPr>
            </w:pPr>
            <w:r>
              <w:rPr>
                <w:rFonts w:ascii="宋体" w:hAnsi="宋体"/>
                <w:spacing w:val="-20"/>
                <w:sz w:val="24"/>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96" w:hRule="atLeast"/>
        </w:trPr>
        <w:tc>
          <w:tcPr>
            <w:tcW w:w="655" w:type="dxa"/>
            <w:vMerge w:val="restart"/>
            <w:tcBorders>
              <w:top w:val="single" w:color="auto" w:sz="6" w:space="0"/>
              <w:left w:val="single" w:color="auto" w:sz="12"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ascii="宋体" w:hAnsi="宋体"/>
                <w:sz w:val="24"/>
              </w:rPr>
              <w:t>大</w:t>
            </w:r>
          </w:p>
          <w:p>
            <w:pPr>
              <w:spacing w:line="240" w:lineRule="exact"/>
              <w:jc w:val="center"/>
              <w:textAlignment w:val="baseline"/>
              <w:rPr>
                <w:rFonts w:ascii="宋体" w:hAnsi="宋体"/>
                <w:sz w:val="24"/>
              </w:rPr>
            </w:pPr>
            <w:r>
              <w:rPr>
                <w:rFonts w:ascii="宋体" w:hAnsi="宋体"/>
                <w:sz w:val="24"/>
              </w:rPr>
              <w:t>气</w:t>
            </w:r>
          </w:p>
          <w:p>
            <w:pPr>
              <w:spacing w:line="240" w:lineRule="exact"/>
              <w:jc w:val="center"/>
              <w:textAlignment w:val="baseline"/>
              <w:rPr>
                <w:rFonts w:ascii="宋体" w:hAnsi="宋体"/>
                <w:sz w:val="24"/>
              </w:rPr>
            </w:pPr>
            <w:r>
              <w:rPr>
                <w:rFonts w:ascii="宋体" w:hAnsi="宋体"/>
                <w:sz w:val="24"/>
              </w:rPr>
              <w:t>污</w:t>
            </w:r>
          </w:p>
          <w:p>
            <w:pPr>
              <w:spacing w:line="240" w:lineRule="exact"/>
              <w:jc w:val="center"/>
              <w:textAlignment w:val="baseline"/>
              <w:rPr>
                <w:rFonts w:ascii="宋体" w:hAnsi="宋体"/>
                <w:sz w:val="24"/>
              </w:rPr>
            </w:pPr>
            <w:r>
              <w:rPr>
                <w:rFonts w:ascii="宋体" w:hAnsi="宋体"/>
                <w:sz w:val="24"/>
              </w:rPr>
              <w:t>染</w:t>
            </w:r>
          </w:p>
          <w:p>
            <w:pPr>
              <w:spacing w:line="240" w:lineRule="exact"/>
              <w:jc w:val="center"/>
              <w:textAlignment w:val="baseline"/>
              <w:rPr>
                <w:rFonts w:ascii="宋体" w:hAnsi="宋体"/>
                <w:sz w:val="24"/>
              </w:rPr>
            </w:pPr>
            <w:r>
              <w:rPr>
                <w:rFonts w:ascii="宋体" w:hAnsi="宋体"/>
                <w:sz w:val="24"/>
              </w:rPr>
              <w:t>物</w:t>
            </w:r>
          </w:p>
        </w:tc>
        <w:tc>
          <w:tcPr>
            <w:tcW w:w="1324" w:type="dxa"/>
            <w:tcBorders>
              <w:top w:val="single" w:color="auto" w:sz="6" w:space="0"/>
              <w:left w:val="single" w:color="auto" w:sz="6" w:space="0"/>
              <w:bottom w:val="single" w:color="auto" w:sz="4"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ascii="宋体" w:hAnsi="宋体"/>
                <w:sz w:val="24"/>
              </w:rPr>
              <w:t>厨房</w:t>
            </w:r>
          </w:p>
        </w:tc>
        <w:tc>
          <w:tcPr>
            <w:tcW w:w="1555" w:type="dxa"/>
            <w:tcBorders>
              <w:top w:val="single" w:color="auto" w:sz="6" w:space="0"/>
              <w:left w:val="single" w:color="auto" w:sz="6" w:space="0"/>
              <w:bottom w:val="single" w:color="auto" w:sz="4"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ascii="宋体" w:hAnsi="宋体"/>
                <w:sz w:val="24"/>
              </w:rPr>
              <w:t>油烟气</w:t>
            </w:r>
          </w:p>
        </w:tc>
        <w:tc>
          <w:tcPr>
            <w:tcW w:w="3271" w:type="dxa"/>
            <w:tcBorders>
              <w:top w:val="single" w:color="auto" w:sz="6" w:space="0"/>
              <w:left w:val="single" w:color="auto" w:sz="6" w:space="0"/>
              <w:bottom w:val="single" w:color="auto" w:sz="4" w:space="0"/>
              <w:right w:val="single" w:color="auto" w:sz="6" w:space="0"/>
            </w:tcBorders>
            <w:tcMar>
              <w:left w:w="28" w:type="dxa"/>
              <w:right w:w="28" w:type="dxa"/>
            </w:tcMar>
            <w:vAlign w:val="center"/>
          </w:tcPr>
          <w:p>
            <w:pPr>
              <w:spacing w:line="240" w:lineRule="exact"/>
              <w:jc w:val="left"/>
              <w:textAlignment w:val="baseline"/>
              <w:rPr>
                <w:rFonts w:ascii="宋体" w:hAnsi="宋体"/>
                <w:sz w:val="24"/>
              </w:rPr>
            </w:pPr>
            <w:r>
              <w:rPr>
                <w:rFonts w:ascii="宋体" w:hAnsi="宋体"/>
                <w:sz w:val="24"/>
              </w:rPr>
              <w:t>经油烟净化设备处理后，通过</w:t>
            </w:r>
          </w:p>
          <w:p>
            <w:pPr>
              <w:spacing w:line="240" w:lineRule="exact"/>
              <w:jc w:val="left"/>
              <w:textAlignment w:val="baseline"/>
              <w:rPr>
                <w:rFonts w:ascii="宋体" w:hAnsi="宋体"/>
                <w:sz w:val="24"/>
              </w:rPr>
            </w:pPr>
            <w:r>
              <w:rPr>
                <w:rFonts w:ascii="宋体" w:hAnsi="宋体"/>
                <w:sz w:val="24"/>
              </w:rPr>
              <w:t>专用排烟道</w:t>
            </w:r>
            <w:r>
              <w:rPr>
                <w:rFonts w:hint="eastAsia" w:ascii="宋体" w:hAnsi="宋体"/>
                <w:sz w:val="24"/>
              </w:rPr>
              <w:t>于楼顶排放</w:t>
            </w:r>
          </w:p>
        </w:tc>
        <w:tc>
          <w:tcPr>
            <w:tcW w:w="2551" w:type="dxa"/>
            <w:tcBorders>
              <w:top w:val="single" w:color="auto" w:sz="6" w:space="0"/>
              <w:left w:val="single" w:color="auto" w:sz="6" w:space="0"/>
              <w:bottom w:val="single" w:color="auto" w:sz="4" w:space="0"/>
              <w:right w:val="single" w:color="auto" w:sz="12" w:space="0"/>
            </w:tcBorders>
            <w:tcMar>
              <w:left w:w="28" w:type="dxa"/>
              <w:right w:w="28" w:type="dxa"/>
            </w:tcMar>
            <w:vAlign w:val="center"/>
          </w:tcPr>
          <w:p>
            <w:pPr>
              <w:spacing w:line="240" w:lineRule="exact"/>
              <w:jc w:val="center"/>
              <w:textAlignment w:val="baseline"/>
              <w:rPr>
                <w:rFonts w:ascii="宋体" w:hAnsi="宋体"/>
                <w:spacing w:val="-12"/>
                <w:sz w:val="24"/>
              </w:rPr>
            </w:pPr>
            <w:r>
              <w:rPr>
                <w:rFonts w:hint="eastAsia" w:ascii="宋体" w:hAnsi="宋体"/>
                <w:spacing w:val="-12"/>
                <w:sz w:val="24"/>
              </w:rPr>
              <w:t>符合《饮食业油烟排放标准（试行）》GB18483-2001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0" w:hRule="atLeast"/>
        </w:trPr>
        <w:tc>
          <w:tcPr>
            <w:tcW w:w="655" w:type="dxa"/>
            <w:vMerge w:val="continue"/>
            <w:tcBorders>
              <w:left w:val="single" w:color="auto" w:sz="12"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p>
        </w:tc>
        <w:tc>
          <w:tcPr>
            <w:tcW w:w="1324" w:type="dxa"/>
            <w:tcBorders>
              <w:top w:val="single" w:color="auto" w:sz="4"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hint="eastAsia" w:ascii="宋体" w:hAnsi="宋体"/>
                <w:sz w:val="24"/>
              </w:rPr>
              <w:t>锅炉废气</w:t>
            </w:r>
          </w:p>
        </w:tc>
        <w:tc>
          <w:tcPr>
            <w:tcW w:w="1555" w:type="dxa"/>
            <w:tcBorders>
              <w:top w:val="single" w:color="auto" w:sz="4"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hint="eastAsia" w:ascii="宋体" w:hAnsi="宋体"/>
                <w:szCs w:val="21"/>
              </w:rPr>
              <w:t>SO</w:t>
            </w:r>
            <w:r>
              <w:rPr>
                <w:rFonts w:hint="eastAsia" w:ascii="宋体" w:hAnsi="宋体"/>
                <w:szCs w:val="21"/>
                <w:vertAlign w:val="subscript"/>
              </w:rPr>
              <w:t>2</w:t>
            </w:r>
            <w:r>
              <w:rPr>
                <w:rFonts w:hint="eastAsia" w:ascii="宋体" w:hAnsi="宋体"/>
                <w:szCs w:val="21"/>
              </w:rPr>
              <w:t xml:space="preserve"> NO</w:t>
            </w:r>
            <w:r>
              <w:rPr>
                <w:rFonts w:hint="eastAsia" w:ascii="宋体" w:hAnsi="宋体"/>
                <w:szCs w:val="21"/>
                <w:vertAlign w:val="subscript"/>
              </w:rPr>
              <w:t>2</w:t>
            </w:r>
          </w:p>
        </w:tc>
        <w:tc>
          <w:tcPr>
            <w:tcW w:w="3271" w:type="dxa"/>
            <w:tcBorders>
              <w:top w:val="single" w:color="auto" w:sz="4" w:space="0"/>
              <w:left w:val="single" w:color="auto" w:sz="6" w:space="0"/>
              <w:bottom w:val="single" w:color="auto" w:sz="6" w:space="0"/>
              <w:right w:val="single" w:color="auto" w:sz="6" w:space="0"/>
            </w:tcBorders>
            <w:tcMar>
              <w:left w:w="28" w:type="dxa"/>
              <w:right w:w="28" w:type="dxa"/>
            </w:tcMar>
            <w:vAlign w:val="center"/>
          </w:tcPr>
          <w:p>
            <w:pPr>
              <w:spacing w:line="240" w:lineRule="exact"/>
              <w:jc w:val="left"/>
              <w:textAlignment w:val="baseline"/>
              <w:rPr>
                <w:rFonts w:ascii="宋体" w:hAnsi="宋体"/>
                <w:color w:val="000000" w:themeColor="text1"/>
                <w:sz w:val="24"/>
              </w:rPr>
            </w:pPr>
            <w:r>
              <w:rPr>
                <w:rFonts w:hint="eastAsia" w:ascii="宋体" w:hAnsi="宋体"/>
                <w:bCs/>
                <w:szCs w:val="21"/>
              </w:rPr>
              <w:t>锅炉燃烧废气由不低于8米的专用烟道排放</w:t>
            </w:r>
          </w:p>
        </w:tc>
        <w:tc>
          <w:tcPr>
            <w:tcW w:w="2551" w:type="dxa"/>
            <w:tcBorders>
              <w:top w:val="single" w:color="auto" w:sz="4" w:space="0"/>
              <w:left w:val="single" w:color="auto" w:sz="6" w:space="0"/>
              <w:bottom w:val="single" w:color="auto" w:sz="6" w:space="0"/>
              <w:right w:val="single" w:color="auto" w:sz="12" w:space="0"/>
            </w:tcBorders>
            <w:tcMar>
              <w:left w:w="28" w:type="dxa"/>
              <w:right w:w="28" w:type="dxa"/>
            </w:tcMar>
            <w:vAlign w:val="center"/>
          </w:tcPr>
          <w:p>
            <w:pPr>
              <w:spacing w:line="240" w:lineRule="exact"/>
              <w:jc w:val="center"/>
              <w:textAlignment w:val="baseline"/>
              <w:rPr>
                <w:rFonts w:ascii="宋体" w:hAnsi="宋体"/>
                <w:color w:val="000000" w:themeColor="text1"/>
                <w:spacing w:val="-12"/>
                <w:sz w:val="24"/>
              </w:rPr>
            </w:pPr>
            <w:r>
              <w:rPr>
                <w:rFonts w:hint="eastAsia" w:ascii="宋体" w:hAnsi="宋体"/>
                <w:spacing w:val="-12"/>
                <w:sz w:val="24"/>
              </w:rPr>
              <w:t>达到《锅炉大气污染物排放标准》（GB13271-2014）中表2燃气锅炉的标准要求。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20" w:hRule="atLeast"/>
        </w:trPr>
        <w:tc>
          <w:tcPr>
            <w:tcW w:w="655" w:type="dxa"/>
            <w:tcBorders>
              <w:top w:val="single" w:color="auto" w:sz="6" w:space="0"/>
              <w:left w:val="single" w:color="auto" w:sz="12"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hint="eastAsia" w:ascii="宋体" w:hAnsi="宋体"/>
                <w:sz w:val="24"/>
              </w:rPr>
              <w:t>水</w:t>
            </w:r>
          </w:p>
          <w:p>
            <w:pPr>
              <w:spacing w:line="240" w:lineRule="exact"/>
              <w:jc w:val="center"/>
              <w:textAlignment w:val="baseline"/>
              <w:rPr>
                <w:rFonts w:ascii="宋体" w:hAnsi="宋体"/>
                <w:sz w:val="24"/>
              </w:rPr>
            </w:pPr>
            <w:r>
              <w:rPr>
                <w:rFonts w:hint="eastAsia" w:ascii="宋体" w:hAnsi="宋体"/>
                <w:sz w:val="24"/>
              </w:rPr>
              <w:t>污</w:t>
            </w:r>
          </w:p>
          <w:p>
            <w:pPr>
              <w:spacing w:line="240" w:lineRule="exact"/>
              <w:jc w:val="center"/>
              <w:textAlignment w:val="baseline"/>
              <w:rPr>
                <w:rFonts w:ascii="宋体" w:hAnsi="宋体"/>
                <w:sz w:val="24"/>
              </w:rPr>
            </w:pPr>
            <w:r>
              <w:rPr>
                <w:rFonts w:hint="eastAsia" w:ascii="宋体" w:hAnsi="宋体"/>
                <w:sz w:val="24"/>
              </w:rPr>
              <w:t>染</w:t>
            </w:r>
          </w:p>
          <w:p>
            <w:pPr>
              <w:spacing w:line="240" w:lineRule="exact"/>
              <w:jc w:val="center"/>
              <w:textAlignment w:val="baseline"/>
              <w:rPr>
                <w:rFonts w:ascii="宋体" w:hAnsi="宋体"/>
                <w:sz w:val="24"/>
              </w:rPr>
            </w:pPr>
            <w:r>
              <w:rPr>
                <w:rFonts w:hint="eastAsia" w:ascii="宋体" w:hAnsi="宋体"/>
                <w:sz w:val="24"/>
              </w:rPr>
              <w:t>物</w:t>
            </w:r>
          </w:p>
        </w:tc>
        <w:tc>
          <w:tcPr>
            <w:tcW w:w="1324"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rPr>
                <w:rFonts w:ascii="宋体" w:hAnsi="宋体"/>
                <w:sz w:val="24"/>
              </w:rPr>
            </w:pPr>
            <w:r>
              <w:rPr>
                <w:rFonts w:ascii="宋体" w:hAnsi="宋体"/>
                <w:sz w:val="24"/>
              </w:rPr>
              <w:t>生活污水</w:t>
            </w:r>
          </w:p>
          <w:p>
            <w:pPr>
              <w:spacing w:line="240" w:lineRule="exact"/>
              <w:jc w:val="center"/>
              <w:rPr>
                <w:rFonts w:ascii="宋体" w:hAnsi="宋体"/>
                <w:sz w:val="24"/>
              </w:rPr>
            </w:pPr>
          </w:p>
        </w:tc>
        <w:tc>
          <w:tcPr>
            <w:tcW w:w="1555"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rPr>
                <w:rFonts w:ascii="宋体" w:hAnsi="宋体"/>
                <w:sz w:val="24"/>
              </w:rPr>
            </w:pPr>
            <w:r>
              <w:rPr>
                <w:rFonts w:ascii="宋体" w:hAnsi="宋体"/>
                <w:sz w:val="24"/>
              </w:rPr>
              <w:t>COD</w:t>
            </w:r>
            <w:r>
              <w:rPr>
                <w:rFonts w:hint="eastAsia" w:ascii="宋体" w:hAnsi="宋体"/>
                <w:sz w:val="24"/>
                <w:vertAlign w:val="subscript"/>
              </w:rPr>
              <w:t>Cr</w:t>
            </w:r>
          </w:p>
          <w:p>
            <w:pPr>
              <w:spacing w:line="240" w:lineRule="exact"/>
              <w:jc w:val="center"/>
              <w:rPr>
                <w:rFonts w:ascii="宋体" w:hAnsi="宋体"/>
                <w:sz w:val="24"/>
              </w:rPr>
            </w:pPr>
            <w:r>
              <w:rPr>
                <w:rFonts w:hint="eastAsia" w:ascii="宋体" w:hAnsi="宋体"/>
                <w:sz w:val="24"/>
              </w:rPr>
              <w:t>BOD</w:t>
            </w:r>
            <w:r>
              <w:rPr>
                <w:rFonts w:hint="eastAsia" w:ascii="宋体" w:hAnsi="宋体"/>
                <w:sz w:val="24"/>
                <w:vertAlign w:val="subscript"/>
              </w:rPr>
              <w:t>5</w:t>
            </w:r>
          </w:p>
          <w:p>
            <w:pPr>
              <w:spacing w:line="240" w:lineRule="exact"/>
              <w:jc w:val="center"/>
              <w:rPr>
                <w:rFonts w:ascii="宋体" w:hAnsi="宋体"/>
                <w:sz w:val="24"/>
              </w:rPr>
            </w:pPr>
            <w:r>
              <w:rPr>
                <w:rFonts w:ascii="宋体" w:hAnsi="宋体"/>
                <w:sz w:val="24"/>
              </w:rPr>
              <w:t>SS</w:t>
            </w:r>
          </w:p>
          <w:p>
            <w:pPr>
              <w:spacing w:line="240" w:lineRule="exact"/>
              <w:jc w:val="center"/>
              <w:rPr>
                <w:rFonts w:ascii="宋体" w:hAnsi="宋体"/>
                <w:sz w:val="24"/>
              </w:rPr>
            </w:pPr>
            <w:r>
              <w:rPr>
                <w:rFonts w:ascii="宋体" w:hAnsi="宋体"/>
                <w:sz w:val="24"/>
              </w:rPr>
              <w:t>NH</w:t>
            </w:r>
            <w:r>
              <w:rPr>
                <w:rFonts w:ascii="宋体" w:hAnsi="宋体"/>
                <w:sz w:val="24"/>
                <w:vertAlign w:val="subscript"/>
              </w:rPr>
              <w:t>3</w:t>
            </w:r>
            <w:r>
              <w:rPr>
                <w:rFonts w:ascii="宋体" w:hAnsi="宋体"/>
                <w:sz w:val="24"/>
              </w:rPr>
              <w:t>-N</w:t>
            </w:r>
          </w:p>
          <w:p>
            <w:pPr>
              <w:spacing w:line="240" w:lineRule="exact"/>
              <w:jc w:val="center"/>
              <w:rPr>
                <w:rFonts w:ascii="宋体" w:hAnsi="宋体"/>
                <w:sz w:val="24"/>
              </w:rPr>
            </w:pPr>
            <w:r>
              <w:rPr>
                <w:rFonts w:ascii="宋体" w:hAnsi="宋体"/>
                <w:sz w:val="24"/>
              </w:rPr>
              <w:t>动植物油</w:t>
            </w:r>
          </w:p>
        </w:tc>
        <w:tc>
          <w:tcPr>
            <w:tcW w:w="3271"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pStyle w:val="255"/>
              <w:spacing w:line="240" w:lineRule="exact"/>
              <w:textAlignment w:val="baseline"/>
              <w:rPr>
                <w:rFonts w:ascii="宋体" w:hAnsi="宋体"/>
                <w:sz w:val="24"/>
              </w:rPr>
            </w:pPr>
            <w:r>
              <w:rPr>
                <w:rFonts w:hint="eastAsia" w:ascii="宋体" w:hAnsi="宋体"/>
                <w:sz w:val="24"/>
              </w:rPr>
              <w:t>经隔油池、化粪池处理后，</w:t>
            </w:r>
          </w:p>
          <w:p>
            <w:pPr>
              <w:pStyle w:val="255"/>
              <w:spacing w:line="240" w:lineRule="exact"/>
              <w:textAlignment w:val="baseline"/>
              <w:rPr>
                <w:rFonts w:ascii="宋体" w:hAnsi="宋体"/>
                <w:spacing w:val="-6"/>
                <w:sz w:val="24"/>
              </w:rPr>
            </w:pPr>
            <w:r>
              <w:rPr>
                <w:rFonts w:hint="eastAsia" w:ascii="宋体" w:hAnsi="宋体"/>
                <w:sz w:val="24"/>
              </w:rPr>
              <w:t>排入市政污水管网</w:t>
            </w:r>
          </w:p>
        </w:tc>
        <w:tc>
          <w:tcPr>
            <w:tcW w:w="2551" w:type="dxa"/>
            <w:tcBorders>
              <w:top w:val="single" w:color="auto" w:sz="6" w:space="0"/>
              <w:left w:val="single" w:color="auto" w:sz="6" w:space="0"/>
              <w:bottom w:val="single" w:color="auto" w:sz="6" w:space="0"/>
              <w:right w:val="single" w:color="auto" w:sz="12" w:space="0"/>
            </w:tcBorders>
            <w:vAlign w:val="center"/>
          </w:tcPr>
          <w:p>
            <w:pPr>
              <w:spacing w:line="240" w:lineRule="exact"/>
              <w:jc w:val="center"/>
              <w:textAlignment w:val="baseline"/>
              <w:rPr>
                <w:rFonts w:ascii="宋体" w:hAnsi="宋体"/>
                <w:spacing w:val="-6"/>
                <w:sz w:val="24"/>
              </w:rPr>
            </w:pPr>
            <w:r>
              <w:rPr>
                <w:rFonts w:hint="eastAsia" w:ascii="宋体" w:hAnsi="宋体"/>
                <w:spacing w:val="-12"/>
                <w:sz w:val="24"/>
              </w:rPr>
              <w:t>符合</w:t>
            </w:r>
            <w:r>
              <w:rPr>
                <w:rFonts w:ascii="宋体" w:hAnsi="宋体"/>
                <w:spacing w:val="-12"/>
                <w:sz w:val="24"/>
              </w:rPr>
              <w:t>《</w:t>
            </w:r>
            <w:r>
              <w:rPr>
                <w:rFonts w:hint="eastAsia" w:ascii="宋体" w:hAnsi="宋体"/>
                <w:spacing w:val="-12"/>
                <w:sz w:val="24"/>
              </w:rPr>
              <w:t>污水综合排放</w:t>
            </w:r>
            <w:r>
              <w:rPr>
                <w:rFonts w:ascii="宋体" w:hAnsi="宋体"/>
                <w:spacing w:val="-12"/>
                <w:sz w:val="24"/>
              </w:rPr>
              <w:t>标准》（GB</w:t>
            </w:r>
            <w:r>
              <w:rPr>
                <w:rFonts w:hint="eastAsia" w:ascii="宋体" w:hAnsi="宋体"/>
                <w:spacing w:val="-12"/>
                <w:sz w:val="24"/>
              </w:rPr>
              <w:t>8978</w:t>
            </w:r>
            <w:r>
              <w:rPr>
                <w:rFonts w:ascii="宋体" w:hAnsi="宋体"/>
                <w:spacing w:val="-12"/>
                <w:sz w:val="24"/>
              </w:rPr>
              <w:t>-</w:t>
            </w:r>
            <w:r>
              <w:rPr>
                <w:rFonts w:hint="eastAsia" w:ascii="宋体" w:hAnsi="宋体"/>
                <w:spacing w:val="-12"/>
                <w:sz w:val="24"/>
              </w:rPr>
              <w:t>1996</w:t>
            </w:r>
            <w:r>
              <w:rPr>
                <w:rFonts w:ascii="宋体" w:hAnsi="宋体"/>
                <w:spacing w:val="-12"/>
                <w:sz w:val="24"/>
              </w:rPr>
              <w:t>）中</w:t>
            </w:r>
            <w:r>
              <w:rPr>
                <w:rFonts w:hint="eastAsia" w:ascii="宋体" w:hAnsi="宋体"/>
                <w:spacing w:val="-12"/>
                <w:sz w:val="24"/>
              </w:rPr>
              <w:t>表4中三级</w:t>
            </w:r>
            <w:r>
              <w:rPr>
                <w:rFonts w:ascii="宋体" w:hAnsi="宋体"/>
                <w:spacing w:val="-12"/>
                <w:sz w:val="24"/>
              </w:rPr>
              <w:t>标准</w:t>
            </w:r>
            <w:r>
              <w:rPr>
                <w:rFonts w:hint="eastAsia" w:ascii="宋体" w:hAnsi="宋体"/>
                <w:spacing w:val="-12"/>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5" w:hRule="atLeast"/>
        </w:trPr>
        <w:tc>
          <w:tcPr>
            <w:tcW w:w="655" w:type="dxa"/>
            <w:vMerge w:val="restart"/>
            <w:tcBorders>
              <w:top w:val="single" w:color="auto" w:sz="6" w:space="0"/>
              <w:left w:val="single" w:color="auto" w:sz="12"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ascii="宋体" w:hAnsi="宋体"/>
                <w:sz w:val="24"/>
              </w:rPr>
              <w:t>固</w:t>
            </w:r>
          </w:p>
          <w:p>
            <w:pPr>
              <w:spacing w:line="240" w:lineRule="exact"/>
              <w:jc w:val="center"/>
              <w:textAlignment w:val="baseline"/>
              <w:rPr>
                <w:rFonts w:ascii="宋体" w:hAnsi="宋体"/>
                <w:sz w:val="24"/>
              </w:rPr>
            </w:pPr>
            <w:r>
              <w:rPr>
                <w:rFonts w:ascii="宋体" w:hAnsi="宋体"/>
                <w:sz w:val="24"/>
              </w:rPr>
              <w:t>体</w:t>
            </w:r>
          </w:p>
          <w:p>
            <w:pPr>
              <w:spacing w:line="240" w:lineRule="exact"/>
              <w:jc w:val="center"/>
              <w:textAlignment w:val="baseline"/>
              <w:rPr>
                <w:rFonts w:ascii="宋体" w:hAnsi="宋体"/>
                <w:sz w:val="24"/>
              </w:rPr>
            </w:pPr>
            <w:r>
              <w:rPr>
                <w:rFonts w:ascii="宋体" w:hAnsi="宋体"/>
                <w:sz w:val="24"/>
              </w:rPr>
              <w:t>污</w:t>
            </w:r>
          </w:p>
          <w:p>
            <w:pPr>
              <w:spacing w:line="240" w:lineRule="exact"/>
              <w:jc w:val="center"/>
              <w:textAlignment w:val="baseline"/>
              <w:rPr>
                <w:rFonts w:ascii="宋体" w:hAnsi="宋体"/>
                <w:sz w:val="24"/>
              </w:rPr>
            </w:pPr>
            <w:r>
              <w:rPr>
                <w:rFonts w:ascii="宋体" w:hAnsi="宋体"/>
                <w:sz w:val="24"/>
              </w:rPr>
              <w:t>染</w:t>
            </w:r>
          </w:p>
          <w:p>
            <w:pPr>
              <w:spacing w:line="240" w:lineRule="exact"/>
              <w:jc w:val="center"/>
              <w:textAlignment w:val="baseline"/>
              <w:rPr>
                <w:rFonts w:ascii="宋体" w:hAnsi="宋体"/>
                <w:sz w:val="24"/>
              </w:rPr>
            </w:pPr>
            <w:r>
              <w:rPr>
                <w:rFonts w:ascii="宋体" w:hAnsi="宋体"/>
                <w:sz w:val="24"/>
              </w:rPr>
              <w:t>物</w:t>
            </w:r>
          </w:p>
        </w:tc>
        <w:tc>
          <w:tcPr>
            <w:tcW w:w="1324"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hint="eastAsia" w:ascii="宋体" w:hAnsi="宋体"/>
                <w:sz w:val="24"/>
              </w:rPr>
              <w:t>客房、</w:t>
            </w:r>
          </w:p>
          <w:p>
            <w:pPr>
              <w:spacing w:line="240" w:lineRule="exact"/>
              <w:jc w:val="center"/>
              <w:textAlignment w:val="baseline"/>
              <w:rPr>
                <w:rFonts w:ascii="宋体" w:hAnsi="宋体"/>
                <w:color w:val="000000"/>
                <w:sz w:val="24"/>
              </w:rPr>
            </w:pPr>
            <w:r>
              <w:rPr>
                <w:rFonts w:hint="eastAsia" w:ascii="宋体" w:hAnsi="宋体"/>
                <w:sz w:val="24"/>
              </w:rPr>
              <w:t>商业、休闲娱乐</w:t>
            </w:r>
          </w:p>
        </w:tc>
        <w:tc>
          <w:tcPr>
            <w:tcW w:w="1555"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textAlignment w:val="baseline"/>
              <w:rPr>
                <w:rFonts w:ascii="宋体" w:hAnsi="宋体"/>
                <w:color w:val="000000"/>
                <w:sz w:val="24"/>
              </w:rPr>
            </w:pPr>
            <w:r>
              <w:rPr>
                <w:rFonts w:hint="eastAsia" w:ascii="宋体" w:hAnsi="宋体"/>
                <w:color w:val="000000"/>
                <w:sz w:val="24"/>
              </w:rPr>
              <w:t>生活垃圾、</w:t>
            </w:r>
            <w:r>
              <w:rPr>
                <w:rFonts w:hint="eastAsia" w:ascii="宋体" w:hAnsi="宋体"/>
                <w:sz w:val="24"/>
              </w:rPr>
              <w:t>商业垃圾</w:t>
            </w:r>
          </w:p>
        </w:tc>
        <w:tc>
          <w:tcPr>
            <w:tcW w:w="3271"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textAlignment w:val="baseline"/>
              <w:rPr>
                <w:rFonts w:ascii="宋体" w:hAnsi="宋体"/>
                <w:color w:val="000000"/>
                <w:sz w:val="24"/>
              </w:rPr>
            </w:pPr>
            <w:r>
              <w:rPr>
                <w:rFonts w:ascii="宋体" w:hAnsi="宋体"/>
                <w:sz w:val="24"/>
              </w:rPr>
              <w:t>由环卫部门</w:t>
            </w:r>
            <w:r>
              <w:rPr>
                <w:rFonts w:hint="eastAsia" w:ascii="宋体" w:hAnsi="宋体"/>
                <w:sz w:val="24"/>
              </w:rPr>
              <w:t>清运至洪江市</w:t>
            </w:r>
            <w:r>
              <w:rPr>
                <w:rFonts w:ascii="宋体" w:hAnsi="宋体"/>
                <w:sz w:val="24"/>
              </w:rPr>
              <w:t>垃圾填埋场进行卫生填埋</w:t>
            </w:r>
            <w:r>
              <w:rPr>
                <w:rFonts w:hint="eastAsia" w:ascii="宋体" w:hAnsi="宋体"/>
                <w:sz w:val="24"/>
              </w:rPr>
              <w:t>，废油脂集中收集交有资质单位处理。</w:t>
            </w:r>
          </w:p>
        </w:tc>
        <w:tc>
          <w:tcPr>
            <w:tcW w:w="2551" w:type="dxa"/>
            <w:vMerge w:val="restart"/>
            <w:tcBorders>
              <w:top w:val="single" w:color="auto" w:sz="6" w:space="0"/>
              <w:left w:val="single" w:color="auto" w:sz="6" w:space="0"/>
              <w:bottom w:val="single" w:color="auto" w:sz="6" w:space="0"/>
              <w:right w:val="single" w:color="auto" w:sz="12" w:space="0"/>
            </w:tcBorders>
            <w:vAlign w:val="center"/>
          </w:tcPr>
          <w:p>
            <w:pPr>
              <w:spacing w:line="240" w:lineRule="exact"/>
              <w:jc w:val="center"/>
              <w:textAlignment w:val="baseline"/>
              <w:rPr>
                <w:rFonts w:ascii="宋体" w:hAnsi="宋体"/>
                <w:sz w:val="24"/>
              </w:rPr>
            </w:pPr>
            <w:r>
              <w:rPr>
                <w:rFonts w:ascii="宋体" w:hAnsi="宋体"/>
                <w:sz w:val="24"/>
              </w:rPr>
              <w:t>不会成为区域内新的污染源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36" w:hRule="atLeast"/>
        </w:trPr>
        <w:tc>
          <w:tcPr>
            <w:tcW w:w="655" w:type="dxa"/>
            <w:vMerge w:val="continue"/>
            <w:tcBorders>
              <w:top w:val="single" w:color="auto" w:sz="6" w:space="0"/>
              <w:left w:val="single" w:color="auto" w:sz="12"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p>
        </w:tc>
        <w:tc>
          <w:tcPr>
            <w:tcW w:w="1324"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hint="eastAsia" w:ascii="宋体" w:hAnsi="宋体"/>
                <w:sz w:val="24"/>
              </w:rPr>
              <w:t>餐饮</w:t>
            </w:r>
          </w:p>
        </w:tc>
        <w:tc>
          <w:tcPr>
            <w:tcW w:w="1555"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hint="eastAsia" w:ascii="宋体" w:hAnsi="宋体"/>
                <w:sz w:val="24"/>
              </w:rPr>
              <w:t>餐厨垃圾、废油脂</w:t>
            </w:r>
          </w:p>
        </w:tc>
        <w:tc>
          <w:tcPr>
            <w:tcW w:w="3271"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spacing w:line="240" w:lineRule="exact"/>
              <w:textAlignment w:val="baseline"/>
              <w:rPr>
                <w:rFonts w:ascii="宋体" w:hAnsi="宋体"/>
                <w:sz w:val="24"/>
              </w:rPr>
            </w:pPr>
            <w:r>
              <w:rPr>
                <w:rFonts w:hint="eastAsia" w:ascii="宋体" w:hAnsi="宋体"/>
                <w:sz w:val="24"/>
              </w:rPr>
              <w:t>集中收集，日产日清，交由资质单位处理</w:t>
            </w:r>
          </w:p>
        </w:tc>
        <w:tc>
          <w:tcPr>
            <w:tcW w:w="2551" w:type="dxa"/>
            <w:vMerge w:val="continue"/>
            <w:tcBorders>
              <w:top w:val="single" w:color="auto" w:sz="6" w:space="0"/>
              <w:left w:val="single" w:color="auto" w:sz="6" w:space="0"/>
              <w:bottom w:val="single" w:color="auto" w:sz="6" w:space="0"/>
              <w:right w:val="single" w:color="auto" w:sz="12" w:space="0"/>
            </w:tcBorders>
            <w:vAlign w:val="center"/>
          </w:tcPr>
          <w:p>
            <w:pPr>
              <w:spacing w:line="240" w:lineRule="exact"/>
              <w:jc w:val="center"/>
              <w:textAlignment w:val="baseline"/>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72" w:hRule="atLeast"/>
        </w:trPr>
        <w:tc>
          <w:tcPr>
            <w:tcW w:w="655" w:type="dxa"/>
            <w:tcBorders>
              <w:top w:val="single" w:color="auto" w:sz="6" w:space="0"/>
              <w:left w:val="single" w:color="auto" w:sz="12" w:space="0"/>
              <w:bottom w:val="single" w:color="auto" w:sz="6" w:space="0"/>
              <w:right w:val="single" w:color="auto" w:sz="6" w:space="0"/>
            </w:tcBorders>
            <w:tcMar>
              <w:left w:w="28" w:type="dxa"/>
              <w:right w:w="28" w:type="dxa"/>
            </w:tcMar>
            <w:vAlign w:val="center"/>
          </w:tcPr>
          <w:p>
            <w:pPr>
              <w:spacing w:line="240" w:lineRule="exact"/>
              <w:jc w:val="center"/>
              <w:textAlignment w:val="baseline"/>
              <w:rPr>
                <w:rFonts w:ascii="宋体" w:hAnsi="宋体"/>
                <w:sz w:val="24"/>
              </w:rPr>
            </w:pPr>
            <w:r>
              <w:rPr>
                <w:rFonts w:ascii="宋体" w:hAnsi="宋体"/>
                <w:sz w:val="24"/>
              </w:rPr>
              <w:t>噪</w:t>
            </w:r>
          </w:p>
          <w:p>
            <w:pPr>
              <w:spacing w:line="240" w:lineRule="exact"/>
              <w:jc w:val="center"/>
              <w:textAlignment w:val="baseline"/>
              <w:rPr>
                <w:rFonts w:ascii="宋体" w:hAnsi="宋体"/>
                <w:sz w:val="24"/>
              </w:rPr>
            </w:pPr>
            <w:r>
              <w:rPr>
                <w:rFonts w:ascii="宋体" w:hAnsi="宋体"/>
                <w:sz w:val="24"/>
              </w:rPr>
              <w:t>声</w:t>
            </w:r>
          </w:p>
        </w:tc>
        <w:tc>
          <w:tcPr>
            <w:tcW w:w="8701" w:type="dxa"/>
            <w:gridSpan w:val="4"/>
            <w:tcBorders>
              <w:top w:val="single" w:color="auto" w:sz="6" w:space="0"/>
              <w:left w:val="single" w:color="auto" w:sz="6" w:space="0"/>
              <w:bottom w:val="single" w:color="auto" w:sz="6" w:space="0"/>
              <w:right w:val="single" w:color="auto" w:sz="12" w:space="0"/>
            </w:tcBorders>
            <w:tcMar>
              <w:left w:w="28" w:type="dxa"/>
              <w:right w:w="28" w:type="dxa"/>
            </w:tcMar>
            <w:vAlign w:val="center"/>
          </w:tcPr>
          <w:p>
            <w:pPr>
              <w:spacing w:line="240" w:lineRule="exact"/>
              <w:textAlignment w:val="baseline"/>
              <w:rPr>
                <w:rFonts w:ascii="宋体" w:hAnsi="宋体"/>
                <w:sz w:val="24"/>
              </w:rPr>
            </w:pPr>
            <w:r>
              <w:rPr>
                <w:rFonts w:ascii="宋体" w:hAnsi="宋体"/>
                <w:sz w:val="24"/>
              </w:rPr>
              <w:t>对于水泵、</w:t>
            </w:r>
            <w:r>
              <w:rPr>
                <w:rFonts w:hint="eastAsia" w:ascii="宋体" w:hAnsi="宋体"/>
                <w:sz w:val="24"/>
              </w:rPr>
              <w:t>排烟</w:t>
            </w:r>
            <w:r>
              <w:rPr>
                <w:rFonts w:ascii="宋体" w:hAnsi="宋体"/>
                <w:sz w:val="24"/>
              </w:rPr>
              <w:t>风机</w:t>
            </w:r>
            <w:r>
              <w:rPr>
                <w:rFonts w:hint="eastAsia" w:ascii="宋体" w:hAnsi="宋体"/>
                <w:sz w:val="24"/>
              </w:rPr>
              <w:t>及冷却水塔</w:t>
            </w:r>
            <w:r>
              <w:rPr>
                <w:rFonts w:ascii="宋体" w:hAnsi="宋体"/>
                <w:sz w:val="24"/>
              </w:rPr>
              <w:t>等高噪声设备，安装橡胶减</w:t>
            </w:r>
            <w:r>
              <w:rPr>
                <w:rFonts w:hint="eastAsia" w:ascii="宋体" w:hAnsi="宋体"/>
                <w:sz w:val="24"/>
              </w:rPr>
              <w:t>振</w:t>
            </w:r>
            <w:r>
              <w:rPr>
                <w:rFonts w:ascii="宋体" w:hAnsi="宋体"/>
                <w:sz w:val="24"/>
              </w:rPr>
              <w:t>垫</w:t>
            </w:r>
            <w:r>
              <w:rPr>
                <w:rFonts w:hint="eastAsia" w:ascii="宋体" w:hAnsi="宋体"/>
                <w:sz w:val="24"/>
              </w:rPr>
              <w:t>及消声器</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00" w:hRule="atLeast"/>
        </w:trPr>
        <w:tc>
          <w:tcPr>
            <w:tcW w:w="9356" w:type="dxa"/>
            <w:gridSpan w:val="5"/>
            <w:tcBorders>
              <w:top w:val="single" w:color="auto" w:sz="6" w:space="0"/>
              <w:left w:val="single" w:color="auto" w:sz="12" w:space="0"/>
              <w:bottom w:val="single" w:color="auto" w:sz="12" w:space="0"/>
              <w:right w:val="single" w:color="auto" w:sz="12" w:space="0"/>
            </w:tcBorders>
            <w:tcMar>
              <w:left w:w="28" w:type="dxa"/>
              <w:right w:w="28" w:type="dxa"/>
            </w:tcMar>
          </w:tcPr>
          <w:p>
            <w:pPr>
              <w:spacing w:line="360" w:lineRule="auto"/>
              <w:textAlignment w:val="baseline"/>
              <w:rPr>
                <w:rFonts w:ascii="宋体" w:hAnsi="宋体"/>
                <w:b/>
                <w:sz w:val="24"/>
              </w:rPr>
            </w:pPr>
            <w:r>
              <w:rPr>
                <w:rFonts w:ascii="宋体" w:hAnsi="宋体"/>
                <w:b/>
                <w:sz w:val="24"/>
              </w:rPr>
              <w:t>生态保护措施</w:t>
            </w:r>
          </w:p>
          <w:p>
            <w:pPr>
              <w:spacing w:line="360" w:lineRule="auto"/>
              <w:ind w:firstLine="480" w:firstLineChars="200"/>
              <w:textAlignment w:val="baseline"/>
              <w:rPr>
                <w:rFonts w:ascii="宋体" w:hAnsi="宋体"/>
                <w:bCs/>
                <w:sz w:val="24"/>
              </w:rPr>
            </w:pPr>
            <w:r>
              <w:rPr>
                <w:rFonts w:hint="eastAsia" w:ascii="宋体" w:hAnsi="宋体"/>
                <w:bCs/>
                <w:sz w:val="24"/>
              </w:rPr>
              <w:t>本项目绿地率为35.0%,在项目区内种植常青树种乔木、灌木、铺种草坪既可降低噪声、净化空气,又可美化环境,提高品位,减少水土流失。</w:t>
            </w:r>
          </w:p>
          <w:p>
            <w:pPr>
              <w:spacing w:line="360" w:lineRule="auto"/>
              <w:ind w:firstLine="480" w:firstLineChars="200"/>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Cs/>
                <w:sz w:val="24"/>
              </w:rPr>
            </w:pPr>
          </w:p>
          <w:p>
            <w:pPr>
              <w:spacing w:line="240" w:lineRule="exact"/>
              <w:textAlignment w:val="baseline"/>
              <w:rPr>
                <w:rFonts w:ascii="宋体" w:hAnsi="宋体"/>
                <w:b/>
                <w:sz w:val="24"/>
              </w:rPr>
            </w:pPr>
          </w:p>
        </w:tc>
      </w:tr>
    </w:tbl>
    <w:p>
      <w:pPr>
        <w:pStyle w:val="2"/>
        <w:keepLines/>
        <w:pageBreakBefore/>
        <w:rPr>
          <w:rFonts w:ascii="宋体" w:hAnsi="宋体"/>
          <w:b/>
          <w:color w:val="000000"/>
          <w:kern w:val="44"/>
          <w:szCs w:val="28"/>
        </w:rPr>
      </w:pPr>
      <w:bookmarkStart w:id="20" w:name="_Toc295374660"/>
      <w:bookmarkStart w:id="21" w:name="_Toc509236307"/>
      <w:r>
        <w:rPr>
          <w:rFonts w:ascii="宋体" w:hAnsi="宋体"/>
          <w:b/>
          <w:color w:val="000000"/>
          <w:kern w:val="44"/>
          <w:szCs w:val="28"/>
        </w:rPr>
        <w:t>结论与建议</w:t>
      </w:r>
      <w:bookmarkEnd w:id="20"/>
      <w:bookmarkEnd w:id="21"/>
    </w:p>
    <w:tbl>
      <w:tblPr>
        <w:tblStyle w:val="42"/>
        <w:tblW w:w="9543"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5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2578" w:hRule="atLeast"/>
          <w:jc w:val="center"/>
        </w:trPr>
        <w:tc>
          <w:tcPr>
            <w:tcW w:w="9543" w:type="dxa"/>
          </w:tcPr>
          <w:p>
            <w:pPr>
              <w:spacing w:line="520" w:lineRule="exact"/>
              <w:rPr>
                <w:rFonts w:ascii="宋体" w:hAnsi="宋体"/>
                <w:b/>
                <w:sz w:val="24"/>
              </w:rPr>
            </w:pPr>
            <w:r>
              <w:rPr>
                <w:rFonts w:ascii="宋体" w:hAnsi="宋体"/>
                <w:b/>
                <w:sz w:val="24"/>
              </w:rPr>
              <w:t>结论：</w:t>
            </w:r>
          </w:p>
          <w:p>
            <w:pPr>
              <w:spacing w:line="440" w:lineRule="exact"/>
              <w:ind w:left="-2" w:leftChars="-1" w:firstLine="480" w:firstLineChars="200"/>
              <w:rPr>
                <w:rFonts w:ascii="宋体" w:hAnsi="宋体"/>
                <w:sz w:val="24"/>
              </w:rPr>
            </w:pPr>
            <w:r>
              <w:rPr>
                <w:rFonts w:ascii="宋体" w:hAnsi="宋体"/>
                <w:sz w:val="24"/>
              </w:rPr>
              <w:t>1、</w:t>
            </w:r>
            <w:r>
              <w:rPr>
                <w:rFonts w:hint="eastAsia" w:ascii="宋体" w:hAnsi="宋体"/>
                <w:sz w:val="24"/>
              </w:rPr>
              <w:t>项目概况</w:t>
            </w:r>
          </w:p>
          <w:p>
            <w:pPr>
              <w:spacing w:line="440" w:lineRule="exact"/>
              <w:ind w:firstLine="480" w:firstLineChars="200"/>
              <w:rPr>
                <w:rFonts w:ascii="宋体" w:hAnsi="宋体"/>
                <w:sz w:val="24"/>
              </w:rPr>
            </w:pPr>
            <w:r>
              <w:rPr>
                <w:rFonts w:ascii="宋体" w:hAnsi="宋体"/>
                <w:color w:val="000000"/>
                <w:sz w:val="24"/>
              </w:rPr>
              <w:t>本拟建</w:t>
            </w:r>
            <w:r>
              <w:rPr>
                <w:rFonts w:hint="eastAsia" w:ascii="宋体" w:hAnsi="宋体"/>
                <w:color w:val="000000"/>
                <w:sz w:val="24"/>
              </w:rPr>
              <w:t>项目位于洪江市黔城镇玉壶路、禾花路、沿江路交汇处（E109°49′0″；W27°12′58″）</w:t>
            </w:r>
            <w:r>
              <w:rPr>
                <w:rFonts w:ascii="宋体" w:hAnsi="宋体"/>
                <w:color w:val="000000"/>
                <w:sz w:val="24"/>
              </w:rPr>
              <w:t>。</w:t>
            </w:r>
            <w:r>
              <w:rPr>
                <w:rFonts w:hint="eastAsia" w:ascii="宋体" w:hAnsi="宋体"/>
                <w:sz w:val="24"/>
              </w:rPr>
              <w:t xml:space="preserve"> 项目占地</w:t>
            </w:r>
            <w:r>
              <w:rPr>
                <w:rFonts w:hint="eastAsia" w:ascii="宋体" w:hAnsi="宋体"/>
                <w:sz w:val="24"/>
                <w:szCs w:val="24"/>
              </w:rPr>
              <w:t>40120.94m</w:t>
            </w:r>
            <w:r>
              <w:rPr>
                <w:rFonts w:hint="eastAsia" w:ascii="宋体" w:hAnsi="宋体"/>
                <w:sz w:val="24"/>
                <w:szCs w:val="24"/>
                <w:vertAlign w:val="superscript"/>
              </w:rPr>
              <w:t>2</w:t>
            </w:r>
            <w:r>
              <w:rPr>
                <w:rFonts w:hint="eastAsia" w:ascii="宋体" w:hAnsi="宋体"/>
                <w:sz w:val="24"/>
              </w:rPr>
              <w:t>，总建筑面积</w:t>
            </w:r>
            <w:r>
              <w:rPr>
                <w:rFonts w:hint="eastAsia" w:ascii="宋体" w:hAnsi="宋体"/>
                <w:sz w:val="24"/>
                <w:szCs w:val="24"/>
              </w:rPr>
              <w:t>70036.0m</w:t>
            </w:r>
            <w:r>
              <w:rPr>
                <w:rFonts w:hint="eastAsia" w:ascii="宋体" w:hAnsi="宋体"/>
                <w:sz w:val="24"/>
                <w:szCs w:val="24"/>
                <w:vertAlign w:val="superscript"/>
              </w:rPr>
              <w:t>2</w:t>
            </w:r>
            <w:r>
              <w:rPr>
                <w:rFonts w:hint="eastAsia" w:ascii="宋体" w:hAnsi="宋体"/>
                <w:sz w:val="24"/>
              </w:rPr>
              <w:t>，</w:t>
            </w:r>
            <w:r>
              <w:rPr>
                <w:rFonts w:ascii="宋体" w:hAnsi="宋体"/>
                <w:sz w:val="24"/>
              </w:rPr>
              <w:t>规划建设</w:t>
            </w:r>
            <w:r>
              <w:rPr>
                <w:rFonts w:hint="eastAsia" w:ascii="宋体" w:hAnsi="宋体"/>
                <w:sz w:val="24"/>
              </w:rPr>
              <w:t>演播厅、休闲娱乐区、客房区、停车区和后勤辅助区为一体的五星级酒店。</w:t>
            </w:r>
          </w:p>
          <w:p>
            <w:pPr>
              <w:tabs>
                <w:tab w:val="left" w:pos="1980"/>
              </w:tabs>
              <w:spacing w:line="440" w:lineRule="exact"/>
              <w:ind w:firstLine="470" w:firstLineChars="196"/>
              <w:rPr>
                <w:rFonts w:ascii="宋体" w:hAnsi="宋体"/>
                <w:color w:val="000000"/>
                <w:sz w:val="24"/>
              </w:rPr>
            </w:pPr>
            <w:r>
              <w:rPr>
                <w:rFonts w:ascii="宋体" w:hAnsi="宋体"/>
                <w:color w:val="000000"/>
                <w:sz w:val="24"/>
              </w:rPr>
              <w:t>项目总投资</w:t>
            </w:r>
            <w:r>
              <w:rPr>
                <w:rFonts w:hint="eastAsia" w:ascii="宋体" w:hAnsi="宋体"/>
                <w:color w:val="000000"/>
                <w:sz w:val="24"/>
              </w:rPr>
              <w:t>38199.71</w:t>
            </w:r>
            <w:r>
              <w:rPr>
                <w:rFonts w:ascii="宋体" w:hAnsi="宋体"/>
                <w:color w:val="000000"/>
                <w:sz w:val="24"/>
              </w:rPr>
              <w:t>万元，其中环保投资</w:t>
            </w:r>
            <w:r>
              <w:rPr>
                <w:rFonts w:hint="eastAsia" w:ascii="宋体" w:hAnsi="宋体"/>
                <w:color w:val="000000"/>
                <w:sz w:val="24"/>
              </w:rPr>
              <w:t>404.0</w:t>
            </w:r>
            <w:r>
              <w:rPr>
                <w:rFonts w:ascii="宋体" w:hAnsi="宋体"/>
                <w:color w:val="000000"/>
                <w:sz w:val="24"/>
              </w:rPr>
              <w:t>万元，占总投资的</w:t>
            </w:r>
            <w:r>
              <w:rPr>
                <w:rFonts w:hint="eastAsia" w:ascii="宋体" w:hAnsi="宋体"/>
                <w:color w:val="000000"/>
                <w:sz w:val="24"/>
              </w:rPr>
              <w:t>1.06</w:t>
            </w:r>
            <w:r>
              <w:rPr>
                <w:rFonts w:ascii="宋体" w:hAnsi="宋体"/>
                <w:color w:val="000000"/>
                <w:sz w:val="24"/>
              </w:rPr>
              <w:t>%</w:t>
            </w:r>
            <w:r>
              <w:rPr>
                <w:rFonts w:hint="eastAsia" w:ascii="宋体" w:hAnsi="宋体"/>
                <w:color w:val="000000"/>
                <w:sz w:val="24"/>
              </w:rPr>
              <w:t>。</w:t>
            </w:r>
          </w:p>
          <w:p>
            <w:pPr>
              <w:numPr>
                <w:ilvl w:val="0"/>
                <w:numId w:val="2"/>
              </w:numPr>
              <w:tabs>
                <w:tab w:val="left" w:pos="1980"/>
              </w:tabs>
              <w:spacing w:line="440" w:lineRule="exact"/>
              <w:ind w:firstLine="470" w:firstLineChars="196"/>
              <w:rPr>
                <w:rFonts w:hint="eastAsia" w:ascii="宋体" w:hAnsi="宋体"/>
                <w:color w:val="000000"/>
                <w:sz w:val="24"/>
                <w:lang w:val="en-US" w:eastAsia="zh-CN"/>
              </w:rPr>
            </w:pPr>
            <w:r>
              <w:rPr>
                <w:rFonts w:hint="eastAsia" w:ascii="宋体" w:hAnsi="宋体"/>
                <w:color w:val="000000"/>
                <w:sz w:val="24"/>
                <w:lang w:val="en-US" w:eastAsia="zh-CN"/>
              </w:rPr>
              <w:t>产业政策符合性分析</w:t>
            </w:r>
          </w:p>
          <w:p>
            <w:pPr>
              <w:numPr>
                <w:numId w:val="0"/>
              </w:numPr>
              <w:tabs>
                <w:tab w:val="left" w:pos="1980"/>
              </w:tabs>
              <w:spacing w:line="440" w:lineRule="exact"/>
              <w:ind w:firstLine="480" w:firstLineChars="200"/>
              <w:rPr>
                <w:rFonts w:ascii="宋体" w:hAnsi="宋体"/>
                <w:color w:val="000000"/>
                <w:sz w:val="24"/>
              </w:rPr>
            </w:pPr>
            <w:r>
              <w:rPr>
                <w:rFonts w:ascii="宋体" w:hAnsi="宋体"/>
                <w:color w:val="000000"/>
                <w:sz w:val="24"/>
              </w:rPr>
              <w:t>本项目建设不属于《产业结构调指导目录（2005年本）》中限制类或淘汰类项目，也不属于2006年12月12日国家发展和改革委员会、国土资发(2006)296 号关于发布实施《限制用地项目目录（2006 年本）》和《禁止用地项目目录（2006 年本）》中不得用地的项目。因此，本项目建设符合国家有关产业政策。</w:t>
            </w:r>
          </w:p>
          <w:p>
            <w:pPr>
              <w:spacing w:line="440" w:lineRule="exact"/>
              <w:ind w:right="6" w:firstLine="480" w:firstLineChars="200"/>
              <w:rPr>
                <w:rFonts w:ascii="宋体" w:hAnsi="宋体"/>
                <w:sz w:val="24"/>
              </w:rPr>
            </w:pPr>
            <w:r>
              <w:rPr>
                <w:rFonts w:hint="eastAsia" w:ascii="宋体" w:hAnsi="宋体"/>
                <w:sz w:val="24"/>
              </w:rPr>
              <w:t>3、项目选址可行</w:t>
            </w:r>
            <w:bookmarkStart w:id="22" w:name="_GoBack"/>
            <w:bookmarkEnd w:id="22"/>
            <w:r>
              <w:rPr>
                <w:rFonts w:hint="eastAsia" w:ascii="宋体" w:hAnsi="宋体"/>
                <w:sz w:val="24"/>
              </w:rPr>
              <w:t>性分析</w:t>
            </w:r>
          </w:p>
          <w:p>
            <w:pPr>
              <w:spacing w:line="360" w:lineRule="auto"/>
              <w:ind w:firstLine="480" w:firstLineChars="200"/>
              <w:rPr>
                <w:rFonts w:ascii="宋体" w:hAnsi="宋体"/>
                <w:color w:val="000000"/>
                <w:sz w:val="24"/>
              </w:rPr>
            </w:pPr>
            <w:r>
              <w:rPr>
                <w:rFonts w:ascii="宋体" w:hAnsi="宋体"/>
                <w:color w:val="000000"/>
                <w:sz w:val="24"/>
              </w:rPr>
              <w:t>根据现场踏勘情况及建设单位提供的资料得知，</w:t>
            </w:r>
            <w:r>
              <w:rPr>
                <w:rFonts w:hint="eastAsia" w:ascii="宋体" w:hAnsi="宋体"/>
                <w:color w:val="000000"/>
                <w:sz w:val="24"/>
              </w:rPr>
              <w:t>该宗地为规划建设用地，地面无构筑物。</w:t>
            </w:r>
            <w:r>
              <w:rPr>
                <w:rFonts w:ascii="宋体" w:hAnsi="宋体"/>
                <w:color w:val="000000"/>
                <w:sz w:val="24"/>
              </w:rPr>
              <w:t>项目拟建地</w:t>
            </w:r>
            <w:r>
              <w:rPr>
                <w:rFonts w:hint="eastAsia" w:ascii="宋体" w:hAnsi="宋体"/>
                <w:color w:val="000000"/>
                <w:sz w:val="24"/>
              </w:rPr>
              <w:t>东依玉壶路和待开发建设的空闲地块，南接禾花路与待开发建设的空闲地块，西北临沿江路和舞水，在东南角</w:t>
            </w:r>
            <w:r>
              <w:rPr>
                <w:rFonts w:hint="eastAsia" w:ascii="宋体" w:hAnsi="宋体"/>
                <w:color w:val="000000"/>
                <w:sz w:val="24"/>
                <w:lang w:val="en-US" w:eastAsia="zh-CN"/>
              </w:rPr>
              <w:t>3</w:t>
            </w:r>
            <w:r>
              <w:rPr>
                <w:rFonts w:hint="eastAsia" w:ascii="宋体" w:hAnsi="宋体"/>
                <w:color w:val="000000"/>
                <w:sz w:val="24"/>
              </w:rPr>
              <w:t>00米处为洪江市人民医院和洪江市人民医院桑逸医养结合养老</w:t>
            </w:r>
            <w:r>
              <w:rPr>
                <w:rFonts w:hint="eastAsia" w:ascii="宋体" w:hAnsi="宋体"/>
                <w:color w:val="000000"/>
                <w:sz w:val="24"/>
                <w:lang w:eastAsia="zh-CN"/>
              </w:rPr>
              <w:t>中心</w:t>
            </w:r>
            <w:r>
              <w:rPr>
                <w:rFonts w:hint="eastAsia" w:ascii="宋体" w:hAnsi="宋体"/>
                <w:color w:val="000000"/>
                <w:sz w:val="24"/>
              </w:rPr>
              <w:t>。给排水、电力、电信等基础设施以及公共交通配套完善，实施区域内土石方工程量较小，环境容量较大，周边无生产性污染源，生态环境良好。</w:t>
            </w:r>
          </w:p>
          <w:p>
            <w:pPr>
              <w:spacing w:line="440" w:lineRule="exact"/>
              <w:ind w:firstLine="530" w:firstLineChars="221"/>
              <w:rPr>
                <w:rFonts w:ascii="宋体" w:hAnsi="宋体"/>
                <w:sz w:val="24"/>
              </w:rPr>
            </w:pPr>
            <w:r>
              <w:rPr>
                <w:rFonts w:hint="eastAsia" w:ascii="宋体" w:hAnsi="宋体"/>
                <w:sz w:val="24"/>
              </w:rPr>
              <w:t>4、环境质量现状</w:t>
            </w:r>
          </w:p>
          <w:p>
            <w:pPr>
              <w:spacing w:line="440" w:lineRule="exact"/>
              <w:ind w:firstLine="530" w:firstLineChars="221"/>
              <w:rPr>
                <w:rFonts w:ascii="宋体" w:hAnsi="宋体"/>
                <w:sz w:val="24"/>
              </w:rPr>
            </w:pPr>
            <w:r>
              <w:rPr>
                <w:rFonts w:ascii="宋体" w:hAnsi="宋体"/>
                <w:sz w:val="24"/>
                <w:lang w:val="en-GB"/>
              </w:rPr>
              <w:t>项目所在地属城区，区域环境空气质量</w:t>
            </w:r>
            <w:r>
              <w:rPr>
                <w:rFonts w:hint="eastAsia" w:ascii="宋体" w:hAnsi="宋体"/>
                <w:sz w:val="24"/>
                <w:lang w:val="en-GB"/>
              </w:rPr>
              <w:t>基本</w:t>
            </w:r>
            <w:r>
              <w:rPr>
                <w:rFonts w:ascii="宋体" w:hAnsi="宋体"/>
                <w:sz w:val="24"/>
                <w:lang w:val="en-GB"/>
              </w:rPr>
              <w:t>符合《环境空气质量标准》（GB3095-</w:t>
            </w:r>
            <w:r>
              <w:rPr>
                <w:rFonts w:hint="eastAsia" w:ascii="宋体" w:hAnsi="宋体"/>
                <w:sz w:val="24"/>
                <w:lang w:val="en-GB"/>
              </w:rPr>
              <w:t>2012</w:t>
            </w:r>
            <w:r>
              <w:rPr>
                <w:rFonts w:ascii="宋体" w:hAnsi="宋体"/>
                <w:sz w:val="24"/>
                <w:lang w:val="en-GB"/>
              </w:rPr>
              <w:t>）</w:t>
            </w:r>
            <w:r>
              <w:rPr>
                <w:rFonts w:hint="eastAsia" w:ascii="宋体" w:hAnsi="宋体"/>
                <w:sz w:val="24"/>
                <w:lang w:val="en-GB"/>
              </w:rPr>
              <w:t>中</w:t>
            </w:r>
            <w:r>
              <w:rPr>
                <w:rFonts w:ascii="宋体" w:hAnsi="宋体"/>
                <w:sz w:val="24"/>
                <w:lang w:val="en-GB"/>
              </w:rPr>
              <w:t>二级标准</w:t>
            </w:r>
            <w:r>
              <w:rPr>
                <w:rFonts w:ascii="宋体" w:hAnsi="宋体"/>
                <w:sz w:val="24"/>
              </w:rPr>
              <w:t>；</w:t>
            </w:r>
            <w:r>
              <w:rPr>
                <w:rFonts w:ascii="宋体" w:hAnsi="宋体"/>
                <w:sz w:val="24"/>
                <w:lang w:val="en-GB"/>
              </w:rPr>
              <w:t>地表水</w:t>
            </w:r>
            <w:r>
              <w:rPr>
                <w:rFonts w:hint="eastAsia" w:ascii="宋体" w:hAnsi="宋体"/>
                <w:sz w:val="24"/>
                <w:lang w:val="en-GB"/>
              </w:rPr>
              <w:t>舞水</w:t>
            </w:r>
            <w:r>
              <w:rPr>
                <w:rFonts w:ascii="宋体" w:hAnsi="宋体"/>
                <w:sz w:val="24"/>
                <w:lang w:val="en-GB"/>
              </w:rPr>
              <w:t>质现状符合《地表水环境质量标准》（GB3838-2002）</w:t>
            </w:r>
            <w:r>
              <w:rPr>
                <w:rFonts w:hint="eastAsia" w:ascii="宋体" w:hAnsi="宋体"/>
                <w:color w:val="333333"/>
                <w:sz w:val="24"/>
              </w:rPr>
              <w:t>Ⅲ</w:t>
            </w:r>
            <w:r>
              <w:rPr>
                <w:rFonts w:ascii="宋体" w:hAnsi="宋体"/>
                <w:sz w:val="24"/>
                <w:lang w:val="en-GB"/>
              </w:rPr>
              <w:t>类水质标准</w:t>
            </w:r>
            <w:r>
              <w:rPr>
                <w:rFonts w:ascii="宋体" w:hAnsi="宋体"/>
                <w:sz w:val="24"/>
              </w:rPr>
              <w:t>；声环境质量现基本符合</w:t>
            </w:r>
            <w:r>
              <w:rPr>
                <w:rFonts w:hint="eastAsia" w:ascii="宋体" w:hAnsi="宋体"/>
                <w:sz w:val="24"/>
              </w:rPr>
              <w:t>《声环境质量标准》</w:t>
            </w:r>
            <w:r>
              <w:rPr>
                <w:rFonts w:ascii="宋体" w:hAnsi="宋体"/>
                <w:sz w:val="24"/>
              </w:rPr>
              <w:t>GB3096-</w:t>
            </w:r>
            <w:r>
              <w:rPr>
                <w:rFonts w:hint="eastAsia" w:ascii="宋体" w:hAnsi="宋体"/>
                <w:sz w:val="24"/>
              </w:rPr>
              <w:t>2008</w:t>
            </w:r>
            <w:r>
              <w:rPr>
                <w:rFonts w:ascii="宋体" w:hAnsi="宋体"/>
                <w:sz w:val="24"/>
              </w:rPr>
              <w:t>中</w:t>
            </w:r>
            <w:r>
              <w:rPr>
                <w:rFonts w:hint="eastAsia" w:ascii="宋体" w:hAnsi="宋体"/>
                <w:sz w:val="24"/>
              </w:rPr>
              <w:t>1</w:t>
            </w:r>
            <w:r>
              <w:rPr>
                <w:rFonts w:ascii="宋体" w:hAnsi="宋体"/>
                <w:sz w:val="24"/>
              </w:rPr>
              <w:t>类</w:t>
            </w:r>
            <w:r>
              <w:rPr>
                <w:rFonts w:hint="eastAsia" w:ascii="宋体" w:hAnsi="宋体"/>
                <w:sz w:val="24"/>
              </w:rPr>
              <w:t>、</w:t>
            </w:r>
            <w:r>
              <w:rPr>
                <w:rFonts w:ascii="宋体" w:hAnsi="宋体"/>
                <w:sz w:val="24"/>
              </w:rPr>
              <w:t>2类</w:t>
            </w:r>
            <w:r>
              <w:rPr>
                <w:rFonts w:hint="eastAsia" w:ascii="宋体" w:hAnsi="宋体"/>
                <w:sz w:val="24"/>
              </w:rPr>
              <w:t>、4a</w:t>
            </w:r>
            <w:r>
              <w:rPr>
                <w:rFonts w:ascii="宋体" w:hAnsi="宋体"/>
                <w:sz w:val="24"/>
              </w:rPr>
              <w:t>类标准要求。</w:t>
            </w:r>
          </w:p>
          <w:p>
            <w:pPr>
              <w:spacing w:line="440" w:lineRule="exact"/>
              <w:ind w:firstLine="600" w:firstLineChars="250"/>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环境影响分析</w:t>
            </w:r>
          </w:p>
          <w:p>
            <w:pPr>
              <w:spacing w:line="440" w:lineRule="exact"/>
              <w:ind w:firstLine="600" w:firstLineChars="250"/>
              <w:rPr>
                <w:rFonts w:ascii="宋体" w:hAnsi="宋体"/>
                <w:sz w:val="24"/>
              </w:rPr>
            </w:pPr>
            <w:r>
              <w:rPr>
                <w:rFonts w:hint="eastAsia" w:ascii="宋体" w:hAnsi="宋体"/>
                <w:sz w:val="24"/>
              </w:rPr>
              <w:t>营运期</w:t>
            </w:r>
            <w:r>
              <w:rPr>
                <w:rFonts w:ascii="宋体" w:hAnsi="宋体"/>
                <w:sz w:val="24"/>
              </w:rPr>
              <w:t>对环境的影响主要表现在</w:t>
            </w:r>
            <w:r>
              <w:rPr>
                <w:rFonts w:hint="eastAsia" w:ascii="宋体" w:hAnsi="宋体"/>
                <w:sz w:val="24"/>
              </w:rPr>
              <w:t>油烟废气、锅炉废气、</w:t>
            </w:r>
            <w:r>
              <w:rPr>
                <w:rFonts w:ascii="宋体" w:hAnsi="宋体"/>
                <w:sz w:val="24"/>
              </w:rPr>
              <w:t>生活污水</w:t>
            </w:r>
            <w:r>
              <w:rPr>
                <w:rFonts w:hint="eastAsia" w:ascii="宋体" w:hAnsi="宋体"/>
                <w:sz w:val="24"/>
              </w:rPr>
              <w:t>，其次为</w:t>
            </w:r>
            <w:r>
              <w:rPr>
                <w:rFonts w:ascii="宋体" w:hAnsi="宋体"/>
                <w:sz w:val="24"/>
              </w:rPr>
              <w:t>生活垃圾、噪声对环境的影响，上述对环境可能产生的影响在采取相关防治措施的前提下，不会对相关区域环境造成明显的污染及不良影响，各污染物排放能够满足相关功能区的环境质量要求。</w:t>
            </w:r>
          </w:p>
          <w:p>
            <w:pPr>
              <w:spacing w:line="440" w:lineRule="exact"/>
              <w:ind w:firstLine="480" w:firstLineChars="200"/>
              <w:rPr>
                <w:rFonts w:ascii="宋体" w:hAnsi="宋体"/>
                <w:sz w:val="24"/>
              </w:rPr>
            </w:pPr>
            <w:r>
              <w:rPr>
                <w:rFonts w:ascii="宋体" w:hAnsi="宋体"/>
                <w:sz w:val="24"/>
              </w:rPr>
              <w:t>6、</w:t>
            </w:r>
            <w:r>
              <w:rPr>
                <w:rFonts w:hint="eastAsia" w:ascii="宋体" w:hAnsi="宋体"/>
                <w:sz w:val="24"/>
              </w:rPr>
              <w:t>环境影响评价结论</w:t>
            </w:r>
          </w:p>
          <w:p>
            <w:pPr>
              <w:pStyle w:val="3"/>
              <w:spacing w:before="0" w:after="0" w:line="360" w:lineRule="auto"/>
              <w:ind w:firstLine="588" w:firstLineChars="245"/>
              <w:rPr>
                <w:rFonts w:asciiTheme="minorEastAsia" w:hAnsiTheme="minorEastAsia" w:eastAsiaTheme="minorEastAsia"/>
                <w:b w:val="0"/>
                <w:color w:val="000000"/>
                <w:sz w:val="24"/>
                <w:szCs w:val="24"/>
              </w:rPr>
            </w:pPr>
            <w:r>
              <w:rPr>
                <w:rFonts w:hint="eastAsia" w:asciiTheme="minorEastAsia" w:hAnsiTheme="minorEastAsia" w:eastAsiaTheme="minorEastAsia"/>
                <w:b w:val="0"/>
                <w:sz w:val="24"/>
                <w:szCs w:val="24"/>
              </w:rPr>
              <w:t>综上所述，</w:t>
            </w:r>
            <w:r>
              <w:rPr>
                <w:rFonts w:asciiTheme="minorEastAsia" w:hAnsiTheme="minorEastAsia" w:eastAsiaTheme="minorEastAsia"/>
                <w:b w:val="0"/>
                <w:sz w:val="24"/>
                <w:szCs w:val="24"/>
              </w:rPr>
              <w:t>项目建设符合</w:t>
            </w:r>
            <w:r>
              <w:rPr>
                <w:rFonts w:hint="eastAsia" w:asciiTheme="minorEastAsia" w:hAnsiTheme="minorEastAsia" w:eastAsiaTheme="minorEastAsia"/>
                <w:b w:val="0"/>
                <w:sz w:val="24"/>
                <w:szCs w:val="24"/>
              </w:rPr>
              <w:t>洪江市</w:t>
            </w:r>
            <w:r>
              <w:rPr>
                <w:rFonts w:asciiTheme="minorEastAsia" w:hAnsiTheme="minorEastAsia" w:eastAsiaTheme="minorEastAsia"/>
                <w:b w:val="0"/>
                <w:sz w:val="24"/>
                <w:szCs w:val="24"/>
              </w:rPr>
              <w:t>城市总体规划，符合国家产业政策要求。在建设单位切实落实环境污染治理资金，严格按照本报告提供的污染防治对策和建议实施，确保污染物全面达标排放的前提下，从环境保护角度分析，本项目建设可行。</w:t>
            </w:r>
          </w:p>
          <w:p>
            <w:pPr>
              <w:spacing w:line="520" w:lineRule="exact"/>
              <w:rPr>
                <w:rFonts w:ascii="宋体" w:hAnsi="宋体"/>
                <w:b/>
                <w:sz w:val="24"/>
              </w:rPr>
            </w:pPr>
            <w:r>
              <w:rPr>
                <w:rFonts w:hint="eastAsia" w:ascii="宋体" w:hAnsi="宋体"/>
                <w:b/>
                <w:sz w:val="24"/>
              </w:rPr>
              <w:t>要求及</w:t>
            </w:r>
            <w:r>
              <w:rPr>
                <w:rFonts w:ascii="宋体" w:hAnsi="宋体"/>
                <w:b/>
                <w:sz w:val="24"/>
              </w:rPr>
              <w:t>建议：</w:t>
            </w:r>
          </w:p>
          <w:p>
            <w:pPr>
              <w:spacing w:line="560" w:lineRule="exact"/>
              <w:ind w:firstLine="480" w:firstLineChars="200"/>
              <w:rPr>
                <w:rFonts w:ascii="宋体" w:hAnsi="宋体"/>
                <w:sz w:val="24"/>
              </w:rPr>
            </w:pPr>
            <w:r>
              <w:rPr>
                <w:rFonts w:ascii="宋体" w:hAnsi="宋体"/>
                <w:sz w:val="24"/>
              </w:rPr>
              <w:t>1、项目建设要严格执行环境保护“三同时”制度，</w:t>
            </w:r>
            <w:r>
              <w:rPr>
                <w:rFonts w:hint="eastAsia" w:ascii="宋体" w:hAnsi="宋体"/>
                <w:sz w:val="24"/>
              </w:rPr>
              <w:t>废水</w:t>
            </w:r>
            <w:r>
              <w:rPr>
                <w:rFonts w:ascii="宋体" w:hAnsi="宋体"/>
                <w:sz w:val="24"/>
              </w:rPr>
              <w:t>处理措施</w:t>
            </w:r>
            <w:r>
              <w:rPr>
                <w:rFonts w:hint="eastAsia" w:ascii="宋体" w:hAnsi="宋体"/>
                <w:sz w:val="24"/>
              </w:rPr>
              <w:t>、废气、噪声</w:t>
            </w:r>
            <w:r>
              <w:rPr>
                <w:rFonts w:ascii="宋体" w:hAnsi="宋体"/>
                <w:spacing w:val="-4"/>
                <w:sz w:val="24"/>
              </w:rPr>
              <w:t>处理措施必须</w:t>
            </w:r>
            <w:r>
              <w:rPr>
                <w:rFonts w:hint="eastAsia" w:ascii="宋体" w:hAnsi="宋体"/>
                <w:spacing w:val="-4"/>
                <w:sz w:val="24"/>
              </w:rPr>
              <w:t>同时设计、同时施工、同时投入使用，</w:t>
            </w:r>
            <w:r>
              <w:rPr>
                <w:rFonts w:ascii="宋体" w:hAnsi="宋体"/>
                <w:spacing w:val="-4"/>
                <w:sz w:val="24"/>
              </w:rPr>
              <w:t>经</w:t>
            </w:r>
            <w:r>
              <w:rPr>
                <w:rFonts w:hint="eastAsia" w:ascii="宋体" w:hAnsi="宋体"/>
                <w:spacing w:val="-4"/>
                <w:sz w:val="24"/>
              </w:rPr>
              <w:t>验收合格后主体工程方能投入使用</w:t>
            </w:r>
            <w:r>
              <w:rPr>
                <w:rFonts w:ascii="宋体" w:hAnsi="宋体"/>
                <w:spacing w:val="-4"/>
                <w:sz w:val="24"/>
              </w:rPr>
              <w:t>。</w:t>
            </w:r>
          </w:p>
          <w:p>
            <w:pPr>
              <w:autoSpaceDE w:val="0"/>
              <w:autoSpaceDN w:val="0"/>
              <w:adjustRightInd w:val="0"/>
              <w:spacing w:line="560" w:lineRule="exact"/>
              <w:ind w:firstLine="480"/>
              <w:rPr>
                <w:rFonts w:ascii="宋体" w:hAnsi="宋体"/>
                <w:sz w:val="24"/>
              </w:rPr>
            </w:pPr>
            <w:r>
              <w:rPr>
                <w:rFonts w:hint="eastAsia" w:ascii="宋体" w:hAnsi="宋体"/>
                <w:sz w:val="24"/>
              </w:rPr>
              <w:t>2、本项目所产生废弃油脂，必须交由有资质单位处理。</w:t>
            </w:r>
          </w:p>
          <w:p>
            <w:pPr>
              <w:autoSpaceDE w:val="0"/>
              <w:autoSpaceDN w:val="0"/>
              <w:adjustRightInd w:val="0"/>
              <w:spacing w:line="560" w:lineRule="exact"/>
              <w:ind w:firstLine="480"/>
              <w:rPr>
                <w:rFonts w:ascii="宋体" w:hAnsi="宋体"/>
                <w:sz w:val="24"/>
              </w:rPr>
            </w:pPr>
            <w:r>
              <w:rPr>
                <w:rFonts w:hint="eastAsia" w:ascii="宋体" w:hAnsi="宋体"/>
                <w:sz w:val="24"/>
              </w:rPr>
              <w:t>3、</w:t>
            </w:r>
            <w:r>
              <w:rPr>
                <w:rFonts w:hint="eastAsia" w:ascii="宋体" w:hAnsi="宋体" w:cs="宋体"/>
                <w:sz w:val="24"/>
                <w:lang w:val="zh-CN"/>
              </w:rPr>
              <w:t>对隔油池、化粪池、油烟净化器等设备应定期维护，确保净化效果。</w:t>
            </w:r>
          </w:p>
          <w:p>
            <w:pPr>
              <w:spacing w:line="560" w:lineRule="exact"/>
              <w:ind w:firstLine="464"/>
              <w:rPr>
                <w:rFonts w:ascii="宋体" w:hAnsi="宋体"/>
                <w:sz w:val="24"/>
              </w:rPr>
            </w:pPr>
            <w:r>
              <w:rPr>
                <w:rFonts w:hint="eastAsia" w:ascii="宋体" w:hAnsi="宋体"/>
                <w:sz w:val="24"/>
              </w:rPr>
              <w:t>4</w:t>
            </w:r>
            <w:r>
              <w:rPr>
                <w:rFonts w:ascii="宋体" w:hAnsi="宋体"/>
                <w:sz w:val="24"/>
              </w:rPr>
              <w:t>、建议加强绿化，</w:t>
            </w:r>
            <w:r>
              <w:rPr>
                <w:rFonts w:hint="eastAsia" w:ascii="宋体" w:hAnsi="宋体"/>
                <w:sz w:val="24"/>
              </w:rPr>
              <w:t>尽量提高绿化率</w:t>
            </w:r>
            <w:r>
              <w:rPr>
                <w:rFonts w:ascii="宋体" w:hAnsi="宋体"/>
                <w:sz w:val="24"/>
              </w:rPr>
              <w:t>。</w:t>
            </w:r>
          </w:p>
          <w:p>
            <w:pPr>
              <w:spacing w:line="560" w:lineRule="exact"/>
              <w:ind w:firstLine="464"/>
              <w:rPr>
                <w:rFonts w:ascii="宋体" w:hAnsi="宋体"/>
                <w:sz w:val="24"/>
              </w:rPr>
            </w:pPr>
            <w:r>
              <w:rPr>
                <w:rFonts w:hint="eastAsia" w:ascii="宋体" w:hAnsi="宋体"/>
                <w:sz w:val="24"/>
              </w:rPr>
              <w:t>5、</w:t>
            </w:r>
            <w:r>
              <w:rPr>
                <w:rFonts w:ascii="宋体" w:hAnsi="宋体"/>
                <w:sz w:val="24"/>
              </w:rPr>
              <w:t>进一步加强对职工环境保护的宣传教育工作，提高全体员工的环保意识，做到环境保护、人人有责，落实到每个员工身上。</w:t>
            </w:r>
          </w:p>
          <w:p/>
        </w:tc>
      </w:tr>
    </w:tbl>
    <w:p>
      <w:pPr>
        <w:spacing w:line="240" w:lineRule="exact"/>
        <w:rPr>
          <w:rFonts w:ascii="宋体" w:hAnsi="宋体"/>
          <w:color w:val="000000"/>
          <w:sz w:val="28"/>
        </w:rPr>
      </w:pPr>
    </w:p>
    <w:p>
      <w:pPr>
        <w:rPr>
          <w:rFonts w:ascii="宋体" w:hAnsi="宋体"/>
          <w:color w:val="000000"/>
        </w:rPr>
      </w:pPr>
    </w:p>
    <w:sectPr>
      <w:footerReference r:id="rId11" w:type="first"/>
      <w:footerReference r:id="rId10" w:type="default"/>
      <w:pgSz w:w="11907" w:h="16839"/>
      <w:pgMar w:top="1418" w:right="1418" w:bottom="1418" w:left="1418" w:header="851" w:footer="992" w:gutter="0"/>
      <w:pgNumType w:start="1"/>
      <w:cols w:space="720" w:num="1"/>
      <w:titlePg/>
      <w:docGrid w:type="linesAndChars" w:linePitch="316"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方正楷体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SimSun,Bold">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Lucida Sans Unicode">
    <w:panose1 w:val="020B0602030504020204"/>
    <w:charset w:val="00"/>
    <w:family w:val="auto"/>
    <w:pitch w:val="default"/>
    <w:sig w:usb0="80001AFF" w:usb1="0000396B" w:usb2="00000000" w:usb3="00000000" w:csb0="200000BF" w:csb1="D7F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enter" w:pos="4156"/>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end"/>
    </w:r>
  </w:p>
  <w:p>
    <w:pPr>
      <w:pStyle w:val="2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p>
  <w:p>
    <w:pPr>
      <w:pStyle w:val="2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zh-CN"/>
      </w:rPr>
      <w:t>47</w:t>
    </w:r>
    <w:r>
      <w:rPr>
        <w:lang w:val="zh-CN"/>
      </w:rPr>
      <w:fldChar w:fldCharType="end"/>
    </w:r>
  </w:p>
  <w:p>
    <w:pPr>
      <w:pStyle w:val="2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rFonts w:hint="eastAsia"/>
      </w:rPr>
      <w:t>1</w: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8C9143"/>
    <w:multiLevelType w:val="singleLevel"/>
    <w:tmpl w:val="BC8C9143"/>
    <w:lvl w:ilvl="0" w:tentative="0">
      <w:start w:val="2"/>
      <w:numFmt w:val="decimal"/>
      <w:suff w:val="nothing"/>
      <w:lvlText w:val="%1、"/>
      <w:lvlJc w:val="left"/>
    </w:lvl>
  </w:abstractNum>
  <w:abstractNum w:abstractNumId="1">
    <w:nsid w:val="5AE9B985"/>
    <w:multiLevelType w:val="singleLevel"/>
    <w:tmpl w:val="5AE9B98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8"/>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rsids>
    <w:rsidRoot w:val="00172A27"/>
    <w:rsid w:val="0000189E"/>
    <w:rsid w:val="00002845"/>
    <w:rsid w:val="00002E3B"/>
    <w:rsid w:val="00002ED8"/>
    <w:rsid w:val="00003691"/>
    <w:rsid w:val="00003A27"/>
    <w:rsid w:val="00005874"/>
    <w:rsid w:val="0001168E"/>
    <w:rsid w:val="00012A35"/>
    <w:rsid w:val="000140C8"/>
    <w:rsid w:val="0001424D"/>
    <w:rsid w:val="00014676"/>
    <w:rsid w:val="00016166"/>
    <w:rsid w:val="000169D6"/>
    <w:rsid w:val="00017924"/>
    <w:rsid w:val="00017AD4"/>
    <w:rsid w:val="0002009A"/>
    <w:rsid w:val="0002115A"/>
    <w:rsid w:val="00022638"/>
    <w:rsid w:val="00022B03"/>
    <w:rsid w:val="00023DCF"/>
    <w:rsid w:val="00026D93"/>
    <w:rsid w:val="0002721E"/>
    <w:rsid w:val="000318B2"/>
    <w:rsid w:val="00031D09"/>
    <w:rsid w:val="00032CE0"/>
    <w:rsid w:val="00033520"/>
    <w:rsid w:val="0003388E"/>
    <w:rsid w:val="00036456"/>
    <w:rsid w:val="00037080"/>
    <w:rsid w:val="0003713C"/>
    <w:rsid w:val="000439EF"/>
    <w:rsid w:val="00043DBD"/>
    <w:rsid w:val="00043E71"/>
    <w:rsid w:val="00044FAE"/>
    <w:rsid w:val="00045980"/>
    <w:rsid w:val="00045E29"/>
    <w:rsid w:val="00046142"/>
    <w:rsid w:val="00046395"/>
    <w:rsid w:val="0005174C"/>
    <w:rsid w:val="00051D05"/>
    <w:rsid w:val="000523CB"/>
    <w:rsid w:val="00053657"/>
    <w:rsid w:val="00053F89"/>
    <w:rsid w:val="0005486E"/>
    <w:rsid w:val="000616F5"/>
    <w:rsid w:val="000618F5"/>
    <w:rsid w:val="000637A6"/>
    <w:rsid w:val="0007058A"/>
    <w:rsid w:val="000709AB"/>
    <w:rsid w:val="0007110A"/>
    <w:rsid w:val="000728A4"/>
    <w:rsid w:val="00076B8E"/>
    <w:rsid w:val="00077A95"/>
    <w:rsid w:val="00080800"/>
    <w:rsid w:val="00081029"/>
    <w:rsid w:val="00081087"/>
    <w:rsid w:val="00081C3C"/>
    <w:rsid w:val="0008230B"/>
    <w:rsid w:val="000833CD"/>
    <w:rsid w:val="00084B3D"/>
    <w:rsid w:val="0008581C"/>
    <w:rsid w:val="00090919"/>
    <w:rsid w:val="000924BA"/>
    <w:rsid w:val="000943CB"/>
    <w:rsid w:val="000945FE"/>
    <w:rsid w:val="00094FBC"/>
    <w:rsid w:val="00096A4B"/>
    <w:rsid w:val="00097F54"/>
    <w:rsid w:val="000A0764"/>
    <w:rsid w:val="000A08B2"/>
    <w:rsid w:val="000A113A"/>
    <w:rsid w:val="000A2A04"/>
    <w:rsid w:val="000A2B8D"/>
    <w:rsid w:val="000A2C3D"/>
    <w:rsid w:val="000A3267"/>
    <w:rsid w:val="000A3F91"/>
    <w:rsid w:val="000A4A04"/>
    <w:rsid w:val="000A6323"/>
    <w:rsid w:val="000A7285"/>
    <w:rsid w:val="000B0861"/>
    <w:rsid w:val="000B1143"/>
    <w:rsid w:val="000B2B4D"/>
    <w:rsid w:val="000B2CBC"/>
    <w:rsid w:val="000B327A"/>
    <w:rsid w:val="000B39F8"/>
    <w:rsid w:val="000B56CF"/>
    <w:rsid w:val="000B7829"/>
    <w:rsid w:val="000C090C"/>
    <w:rsid w:val="000C1CD4"/>
    <w:rsid w:val="000C744B"/>
    <w:rsid w:val="000D1F03"/>
    <w:rsid w:val="000D2A6D"/>
    <w:rsid w:val="000D535A"/>
    <w:rsid w:val="000D6603"/>
    <w:rsid w:val="000E00CF"/>
    <w:rsid w:val="000E00F9"/>
    <w:rsid w:val="000E6092"/>
    <w:rsid w:val="000E6A7B"/>
    <w:rsid w:val="000F2DDB"/>
    <w:rsid w:val="000F2FE6"/>
    <w:rsid w:val="000F35F4"/>
    <w:rsid w:val="000F38F4"/>
    <w:rsid w:val="000F583F"/>
    <w:rsid w:val="000F6352"/>
    <w:rsid w:val="000F645C"/>
    <w:rsid w:val="000F64DB"/>
    <w:rsid w:val="000F7627"/>
    <w:rsid w:val="000F78C7"/>
    <w:rsid w:val="00101697"/>
    <w:rsid w:val="00102632"/>
    <w:rsid w:val="00104FEE"/>
    <w:rsid w:val="00105778"/>
    <w:rsid w:val="00110E8A"/>
    <w:rsid w:val="00111630"/>
    <w:rsid w:val="0011183D"/>
    <w:rsid w:val="00111F62"/>
    <w:rsid w:val="001122BD"/>
    <w:rsid w:val="00112CD1"/>
    <w:rsid w:val="00112DC9"/>
    <w:rsid w:val="0011307C"/>
    <w:rsid w:val="00113AB8"/>
    <w:rsid w:val="001142E0"/>
    <w:rsid w:val="00114881"/>
    <w:rsid w:val="0011591F"/>
    <w:rsid w:val="001171A6"/>
    <w:rsid w:val="00117B87"/>
    <w:rsid w:val="0012112D"/>
    <w:rsid w:val="00122936"/>
    <w:rsid w:val="00122B6A"/>
    <w:rsid w:val="0012324C"/>
    <w:rsid w:val="00131BD9"/>
    <w:rsid w:val="001351F2"/>
    <w:rsid w:val="0013590B"/>
    <w:rsid w:val="00136F90"/>
    <w:rsid w:val="00141383"/>
    <w:rsid w:val="00142F07"/>
    <w:rsid w:val="00143F46"/>
    <w:rsid w:val="00144138"/>
    <w:rsid w:val="00147326"/>
    <w:rsid w:val="001500DC"/>
    <w:rsid w:val="00151737"/>
    <w:rsid w:val="0015361F"/>
    <w:rsid w:val="0015399B"/>
    <w:rsid w:val="00153CE5"/>
    <w:rsid w:val="0015481B"/>
    <w:rsid w:val="00154D79"/>
    <w:rsid w:val="0015707F"/>
    <w:rsid w:val="001574C1"/>
    <w:rsid w:val="00160A53"/>
    <w:rsid w:val="00160FF2"/>
    <w:rsid w:val="00161178"/>
    <w:rsid w:val="00161610"/>
    <w:rsid w:val="00161712"/>
    <w:rsid w:val="0016186C"/>
    <w:rsid w:val="00161E09"/>
    <w:rsid w:val="00162BEB"/>
    <w:rsid w:val="001650E7"/>
    <w:rsid w:val="00165BCA"/>
    <w:rsid w:val="00166008"/>
    <w:rsid w:val="00166312"/>
    <w:rsid w:val="001667E7"/>
    <w:rsid w:val="001677CC"/>
    <w:rsid w:val="001703ED"/>
    <w:rsid w:val="00170A25"/>
    <w:rsid w:val="00170E08"/>
    <w:rsid w:val="00171E85"/>
    <w:rsid w:val="001727CA"/>
    <w:rsid w:val="00172A27"/>
    <w:rsid w:val="00172B9D"/>
    <w:rsid w:val="001763F6"/>
    <w:rsid w:val="00176633"/>
    <w:rsid w:val="0017738A"/>
    <w:rsid w:val="0017757B"/>
    <w:rsid w:val="00181769"/>
    <w:rsid w:val="001818A6"/>
    <w:rsid w:val="00182E1B"/>
    <w:rsid w:val="00183243"/>
    <w:rsid w:val="001839A8"/>
    <w:rsid w:val="0018472C"/>
    <w:rsid w:val="001849BF"/>
    <w:rsid w:val="00187EBF"/>
    <w:rsid w:val="00192086"/>
    <w:rsid w:val="00192B2B"/>
    <w:rsid w:val="00193B27"/>
    <w:rsid w:val="00193E79"/>
    <w:rsid w:val="00195B10"/>
    <w:rsid w:val="0019694B"/>
    <w:rsid w:val="00196D60"/>
    <w:rsid w:val="0019706C"/>
    <w:rsid w:val="001975B2"/>
    <w:rsid w:val="001A0A82"/>
    <w:rsid w:val="001A1D74"/>
    <w:rsid w:val="001A2EF1"/>
    <w:rsid w:val="001A2F30"/>
    <w:rsid w:val="001A42DA"/>
    <w:rsid w:val="001A6DFE"/>
    <w:rsid w:val="001A73F0"/>
    <w:rsid w:val="001B0AF4"/>
    <w:rsid w:val="001B2D54"/>
    <w:rsid w:val="001B2F40"/>
    <w:rsid w:val="001B31BB"/>
    <w:rsid w:val="001B3739"/>
    <w:rsid w:val="001B59D6"/>
    <w:rsid w:val="001C0E9C"/>
    <w:rsid w:val="001C1B58"/>
    <w:rsid w:val="001C1E99"/>
    <w:rsid w:val="001C2278"/>
    <w:rsid w:val="001C764C"/>
    <w:rsid w:val="001C787D"/>
    <w:rsid w:val="001D14AD"/>
    <w:rsid w:val="001D2073"/>
    <w:rsid w:val="001D294B"/>
    <w:rsid w:val="001D305F"/>
    <w:rsid w:val="001D397C"/>
    <w:rsid w:val="001D3D8B"/>
    <w:rsid w:val="001D4F54"/>
    <w:rsid w:val="001D76E5"/>
    <w:rsid w:val="001E0E56"/>
    <w:rsid w:val="001E1AFA"/>
    <w:rsid w:val="001E2E32"/>
    <w:rsid w:val="001E5250"/>
    <w:rsid w:val="001E53A0"/>
    <w:rsid w:val="001E7300"/>
    <w:rsid w:val="001F0E96"/>
    <w:rsid w:val="001F1197"/>
    <w:rsid w:val="001F13B5"/>
    <w:rsid w:val="001F1DBB"/>
    <w:rsid w:val="001F3202"/>
    <w:rsid w:val="001F5077"/>
    <w:rsid w:val="001F54B5"/>
    <w:rsid w:val="001F6E4A"/>
    <w:rsid w:val="00200452"/>
    <w:rsid w:val="002010D5"/>
    <w:rsid w:val="00202AD7"/>
    <w:rsid w:val="00203275"/>
    <w:rsid w:val="00204990"/>
    <w:rsid w:val="00206465"/>
    <w:rsid w:val="00206B31"/>
    <w:rsid w:val="00206F5A"/>
    <w:rsid w:val="00207415"/>
    <w:rsid w:val="00210E74"/>
    <w:rsid w:val="00213510"/>
    <w:rsid w:val="002139B1"/>
    <w:rsid w:val="00213C9F"/>
    <w:rsid w:val="00213E88"/>
    <w:rsid w:val="00215AA3"/>
    <w:rsid w:val="00215D52"/>
    <w:rsid w:val="00216AA8"/>
    <w:rsid w:val="00220F3A"/>
    <w:rsid w:val="002218A8"/>
    <w:rsid w:val="002243DB"/>
    <w:rsid w:val="00225724"/>
    <w:rsid w:val="00226132"/>
    <w:rsid w:val="0023304D"/>
    <w:rsid w:val="00233748"/>
    <w:rsid w:val="00233A26"/>
    <w:rsid w:val="002351AE"/>
    <w:rsid w:val="0023537C"/>
    <w:rsid w:val="0023574F"/>
    <w:rsid w:val="002357BF"/>
    <w:rsid w:val="00237BD6"/>
    <w:rsid w:val="00240222"/>
    <w:rsid w:val="002402BD"/>
    <w:rsid w:val="00240583"/>
    <w:rsid w:val="002427B0"/>
    <w:rsid w:val="0024413B"/>
    <w:rsid w:val="00247CF3"/>
    <w:rsid w:val="00254ACF"/>
    <w:rsid w:val="00255212"/>
    <w:rsid w:val="0026090A"/>
    <w:rsid w:val="002617A6"/>
    <w:rsid w:val="00262393"/>
    <w:rsid w:val="00262C55"/>
    <w:rsid w:val="00263AEC"/>
    <w:rsid w:val="002647FB"/>
    <w:rsid w:val="00266474"/>
    <w:rsid w:val="00266A49"/>
    <w:rsid w:val="00266B09"/>
    <w:rsid w:val="00267EE1"/>
    <w:rsid w:val="00270A23"/>
    <w:rsid w:val="00271919"/>
    <w:rsid w:val="00271A83"/>
    <w:rsid w:val="00271D4C"/>
    <w:rsid w:val="00272457"/>
    <w:rsid w:val="00273560"/>
    <w:rsid w:val="00273673"/>
    <w:rsid w:val="002762D6"/>
    <w:rsid w:val="00276F25"/>
    <w:rsid w:val="0027793B"/>
    <w:rsid w:val="002802FC"/>
    <w:rsid w:val="00280364"/>
    <w:rsid w:val="002843C6"/>
    <w:rsid w:val="00285612"/>
    <w:rsid w:val="00290546"/>
    <w:rsid w:val="00292609"/>
    <w:rsid w:val="00295B19"/>
    <w:rsid w:val="002971B8"/>
    <w:rsid w:val="002978BC"/>
    <w:rsid w:val="002978D4"/>
    <w:rsid w:val="0029793D"/>
    <w:rsid w:val="002A1858"/>
    <w:rsid w:val="002A1A5D"/>
    <w:rsid w:val="002A2774"/>
    <w:rsid w:val="002A2F6D"/>
    <w:rsid w:val="002A4BBA"/>
    <w:rsid w:val="002A4BF9"/>
    <w:rsid w:val="002A62D8"/>
    <w:rsid w:val="002A63FC"/>
    <w:rsid w:val="002A6BDF"/>
    <w:rsid w:val="002A6C53"/>
    <w:rsid w:val="002A7E0B"/>
    <w:rsid w:val="002B19BC"/>
    <w:rsid w:val="002B3C46"/>
    <w:rsid w:val="002B4D08"/>
    <w:rsid w:val="002B57C6"/>
    <w:rsid w:val="002B595C"/>
    <w:rsid w:val="002B6142"/>
    <w:rsid w:val="002B7CD2"/>
    <w:rsid w:val="002C0374"/>
    <w:rsid w:val="002C0592"/>
    <w:rsid w:val="002C07E4"/>
    <w:rsid w:val="002C204B"/>
    <w:rsid w:val="002C34D8"/>
    <w:rsid w:val="002C6B44"/>
    <w:rsid w:val="002C7607"/>
    <w:rsid w:val="002D02A7"/>
    <w:rsid w:val="002D0938"/>
    <w:rsid w:val="002D1C42"/>
    <w:rsid w:val="002D1E9D"/>
    <w:rsid w:val="002D4070"/>
    <w:rsid w:val="002E1925"/>
    <w:rsid w:val="002E20C6"/>
    <w:rsid w:val="002E2FBA"/>
    <w:rsid w:val="002E3C43"/>
    <w:rsid w:val="002E4884"/>
    <w:rsid w:val="002E4A7D"/>
    <w:rsid w:val="002E5542"/>
    <w:rsid w:val="002E78D5"/>
    <w:rsid w:val="002E7B7C"/>
    <w:rsid w:val="002F0846"/>
    <w:rsid w:val="002F1CD7"/>
    <w:rsid w:val="002F3418"/>
    <w:rsid w:val="002F3649"/>
    <w:rsid w:val="002F6BE5"/>
    <w:rsid w:val="002F7B30"/>
    <w:rsid w:val="002F7CDA"/>
    <w:rsid w:val="00301A84"/>
    <w:rsid w:val="00303834"/>
    <w:rsid w:val="003044EE"/>
    <w:rsid w:val="0030492B"/>
    <w:rsid w:val="00304D79"/>
    <w:rsid w:val="003050EC"/>
    <w:rsid w:val="003051D1"/>
    <w:rsid w:val="00307ADE"/>
    <w:rsid w:val="00307EC5"/>
    <w:rsid w:val="00310540"/>
    <w:rsid w:val="00310EA6"/>
    <w:rsid w:val="003123E7"/>
    <w:rsid w:val="00313311"/>
    <w:rsid w:val="003133C6"/>
    <w:rsid w:val="00314CAF"/>
    <w:rsid w:val="00314DC5"/>
    <w:rsid w:val="00315133"/>
    <w:rsid w:val="00320128"/>
    <w:rsid w:val="0032224F"/>
    <w:rsid w:val="00322554"/>
    <w:rsid w:val="00323FB5"/>
    <w:rsid w:val="00324485"/>
    <w:rsid w:val="00325D44"/>
    <w:rsid w:val="00327525"/>
    <w:rsid w:val="0033011D"/>
    <w:rsid w:val="00330DFB"/>
    <w:rsid w:val="00331545"/>
    <w:rsid w:val="00331FED"/>
    <w:rsid w:val="0033235A"/>
    <w:rsid w:val="00332360"/>
    <w:rsid w:val="00334B38"/>
    <w:rsid w:val="00334BDE"/>
    <w:rsid w:val="003359B8"/>
    <w:rsid w:val="00335CC7"/>
    <w:rsid w:val="003365E1"/>
    <w:rsid w:val="00340460"/>
    <w:rsid w:val="00343AB9"/>
    <w:rsid w:val="003478E0"/>
    <w:rsid w:val="0035065C"/>
    <w:rsid w:val="00350DEF"/>
    <w:rsid w:val="0035295D"/>
    <w:rsid w:val="00354F9C"/>
    <w:rsid w:val="00354FCA"/>
    <w:rsid w:val="00355A53"/>
    <w:rsid w:val="003575DF"/>
    <w:rsid w:val="00357C82"/>
    <w:rsid w:val="0036174E"/>
    <w:rsid w:val="00361D27"/>
    <w:rsid w:val="00361FFC"/>
    <w:rsid w:val="003626C5"/>
    <w:rsid w:val="00363502"/>
    <w:rsid w:val="00364E03"/>
    <w:rsid w:val="0036660D"/>
    <w:rsid w:val="003673BF"/>
    <w:rsid w:val="003674DB"/>
    <w:rsid w:val="0037012F"/>
    <w:rsid w:val="00372B9C"/>
    <w:rsid w:val="00373533"/>
    <w:rsid w:val="003736B1"/>
    <w:rsid w:val="00373A87"/>
    <w:rsid w:val="003758E0"/>
    <w:rsid w:val="003764CE"/>
    <w:rsid w:val="0038130B"/>
    <w:rsid w:val="00381A98"/>
    <w:rsid w:val="00381FFE"/>
    <w:rsid w:val="00382103"/>
    <w:rsid w:val="00382B11"/>
    <w:rsid w:val="0038370C"/>
    <w:rsid w:val="003840EC"/>
    <w:rsid w:val="00384735"/>
    <w:rsid w:val="00385B56"/>
    <w:rsid w:val="00386D9E"/>
    <w:rsid w:val="00391190"/>
    <w:rsid w:val="00391AE4"/>
    <w:rsid w:val="0039370E"/>
    <w:rsid w:val="00394B63"/>
    <w:rsid w:val="00395138"/>
    <w:rsid w:val="00396F06"/>
    <w:rsid w:val="00397F6A"/>
    <w:rsid w:val="003A0ABC"/>
    <w:rsid w:val="003A48B3"/>
    <w:rsid w:val="003A5DDA"/>
    <w:rsid w:val="003A6E5E"/>
    <w:rsid w:val="003A6F78"/>
    <w:rsid w:val="003B3D2F"/>
    <w:rsid w:val="003B4204"/>
    <w:rsid w:val="003C167C"/>
    <w:rsid w:val="003C1830"/>
    <w:rsid w:val="003C4483"/>
    <w:rsid w:val="003C5247"/>
    <w:rsid w:val="003C592D"/>
    <w:rsid w:val="003C7BB7"/>
    <w:rsid w:val="003D4002"/>
    <w:rsid w:val="003D48A3"/>
    <w:rsid w:val="003D59D5"/>
    <w:rsid w:val="003D5BEC"/>
    <w:rsid w:val="003D6858"/>
    <w:rsid w:val="003D69BA"/>
    <w:rsid w:val="003E1371"/>
    <w:rsid w:val="003E1B28"/>
    <w:rsid w:val="003E2C2A"/>
    <w:rsid w:val="003E3DC6"/>
    <w:rsid w:val="003E4456"/>
    <w:rsid w:val="003E6400"/>
    <w:rsid w:val="003F015F"/>
    <w:rsid w:val="003F0CCF"/>
    <w:rsid w:val="003F1907"/>
    <w:rsid w:val="003F1BD7"/>
    <w:rsid w:val="003F4442"/>
    <w:rsid w:val="003F4BBE"/>
    <w:rsid w:val="003F5BED"/>
    <w:rsid w:val="003F63CC"/>
    <w:rsid w:val="00400764"/>
    <w:rsid w:val="00400C34"/>
    <w:rsid w:val="00401088"/>
    <w:rsid w:val="00401150"/>
    <w:rsid w:val="004027D8"/>
    <w:rsid w:val="00402B8E"/>
    <w:rsid w:val="00402EE1"/>
    <w:rsid w:val="00403B7B"/>
    <w:rsid w:val="00404AB3"/>
    <w:rsid w:val="00404F09"/>
    <w:rsid w:val="004071F3"/>
    <w:rsid w:val="0041072A"/>
    <w:rsid w:val="00410C0E"/>
    <w:rsid w:val="00411100"/>
    <w:rsid w:val="00411296"/>
    <w:rsid w:val="004122A1"/>
    <w:rsid w:val="00412865"/>
    <w:rsid w:val="00413D01"/>
    <w:rsid w:val="004143B6"/>
    <w:rsid w:val="00414742"/>
    <w:rsid w:val="004148FE"/>
    <w:rsid w:val="00414DFD"/>
    <w:rsid w:val="00414FF4"/>
    <w:rsid w:val="00415D27"/>
    <w:rsid w:val="004164C1"/>
    <w:rsid w:val="004175F4"/>
    <w:rsid w:val="004212DA"/>
    <w:rsid w:val="00421953"/>
    <w:rsid w:val="00422BC5"/>
    <w:rsid w:val="0042466A"/>
    <w:rsid w:val="00425743"/>
    <w:rsid w:val="00426676"/>
    <w:rsid w:val="004310C1"/>
    <w:rsid w:val="00431317"/>
    <w:rsid w:val="00431BB9"/>
    <w:rsid w:val="00431F38"/>
    <w:rsid w:val="004327FD"/>
    <w:rsid w:val="00433A42"/>
    <w:rsid w:val="0044044A"/>
    <w:rsid w:val="004408CB"/>
    <w:rsid w:val="00441AEA"/>
    <w:rsid w:val="00442DA6"/>
    <w:rsid w:val="0044508C"/>
    <w:rsid w:val="004454FE"/>
    <w:rsid w:val="00447DF1"/>
    <w:rsid w:val="0045098F"/>
    <w:rsid w:val="004509A2"/>
    <w:rsid w:val="00457838"/>
    <w:rsid w:val="00457C71"/>
    <w:rsid w:val="0046023A"/>
    <w:rsid w:val="004602AA"/>
    <w:rsid w:val="00460C31"/>
    <w:rsid w:val="00461BD6"/>
    <w:rsid w:val="00461E4F"/>
    <w:rsid w:val="00462BD5"/>
    <w:rsid w:val="00464C0A"/>
    <w:rsid w:val="004672C3"/>
    <w:rsid w:val="00470BBF"/>
    <w:rsid w:val="004710B5"/>
    <w:rsid w:val="004735DF"/>
    <w:rsid w:val="00476500"/>
    <w:rsid w:val="004766A4"/>
    <w:rsid w:val="004776C2"/>
    <w:rsid w:val="00481B60"/>
    <w:rsid w:val="00482ED0"/>
    <w:rsid w:val="004843AD"/>
    <w:rsid w:val="00484FFE"/>
    <w:rsid w:val="00485AAD"/>
    <w:rsid w:val="0048696B"/>
    <w:rsid w:val="00492681"/>
    <w:rsid w:val="00494EA9"/>
    <w:rsid w:val="0049741D"/>
    <w:rsid w:val="004A13EB"/>
    <w:rsid w:val="004A1B44"/>
    <w:rsid w:val="004A3E59"/>
    <w:rsid w:val="004A4266"/>
    <w:rsid w:val="004A4451"/>
    <w:rsid w:val="004A48CB"/>
    <w:rsid w:val="004A4FEF"/>
    <w:rsid w:val="004A59B3"/>
    <w:rsid w:val="004B0343"/>
    <w:rsid w:val="004B376A"/>
    <w:rsid w:val="004B3B56"/>
    <w:rsid w:val="004B5B8B"/>
    <w:rsid w:val="004B66E1"/>
    <w:rsid w:val="004B79E8"/>
    <w:rsid w:val="004C0579"/>
    <w:rsid w:val="004C1514"/>
    <w:rsid w:val="004C195C"/>
    <w:rsid w:val="004C20A7"/>
    <w:rsid w:val="004C269B"/>
    <w:rsid w:val="004C2AC5"/>
    <w:rsid w:val="004C3242"/>
    <w:rsid w:val="004C5B14"/>
    <w:rsid w:val="004C5F4F"/>
    <w:rsid w:val="004C747D"/>
    <w:rsid w:val="004C7753"/>
    <w:rsid w:val="004D0A33"/>
    <w:rsid w:val="004D19C7"/>
    <w:rsid w:val="004D280E"/>
    <w:rsid w:val="004D2A70"/>
    <w:rsid w:val="004D50EA"/>
    <w:rsid w:val="004D5537"/>
    <w:rsid w:val="004D691E"/>
    <w:rsid w:val="004D7164"/>
    <w:rsid w:val="004D7AB9"/>
    <w:rsid w:val="004D7B26"/>
    <w:rsid w:val="004E0961"/>
    <w:rsid w:val="004E45D7"/>
    <w:rsid w:val="004E4BC8"/>
    <w:rsid w:val="004E5517"/>
    <w:rsid w:val="004E5C92"/>
    <w:rsid w:val="004E6063"/>
    <w:rsid w:val="004F11A5"/>
    <w:rsid w:val="004F2418"/>
    <w:rsid w:val="004F2C45"/>
    <w:rsid w:val="004F30E8"/>
    <w:rsid w:val="004F3BD4"/>
    <w:rsid w:val="004F552F"/>
    <w:rsid w:val="004F5566"/>
    <w:rsid w:val="004F6953"/>
    <w:rsid w:val="0050051B"/>
    <w:rsid w:val="00500556"/>
    <w:rsid w:val="00501B8D"/>
    <w:rsid w:val="00502096"/>
    <w:rsid w:val="00504589"/>
    <w:rsid w:val="00505E76"/>
    <w:rsid w:val="00510EAB"/>
    <w:rsid w:val="005128D3"/>
    <w:rsid w:val="00513646"/>
    <w:rsid w:val="00514D33"/>
    <w:rsid w:val="00515F5B"/>
    <w:rsid w:val="00520B71"/>
    <w:rsid w:val="00525A9D"/>
    <w:rsid w:val="00525B37"/>
    <w:rsid w:val="00527DAF"/>
    <w:rsid w:val="00531077"/>
    <w:rsid w:val="00534B08"/>
    <w:rsid w:val="005350E1"/>
    <w:rsid w:val="0053533F"/>
    <w:rsid w:val="00536FA0"/>
    <w:rsid w:val="00541087"/>
    <w:rsid w:val="005442AF"/>
    <w:rsid w:val="00545110"/>
    <w:rsid w:val="00547904"/>
    <w:rsid w:val="00551EE3"/>
    <w:rsid w:val="00555B6F"/>
    <w:rsid w:val="00557C32"/>
    <w:rsid w:val="00557C92"/>
    <w:rsid w:val="00560804"/>
    <w:rsid w:val="0056094B"/>
    <w:rsid w:val="00560B9D"/>
    <w:rsid w:val="00560D34"/>
    <w:rsid w:val="005631A1"/>
    <w:rsid w:val="005639F3"/>
    <w:rsid w:val="00567F35"/>
    <w:rsid w:val="005759A9"/>
    <w:rsid w:val="00576729"/>
    <w:rsid w:val="0058133A"/>
    <w:rsid w:val="0058406A"/>
    <w:rsid w:val="00585107"/>
    <w:rsid w:val="005942BC"/>
    <w:rsid w:val="005965C4"/>
    <w:rsid w:val="005A0F6F"/>
    <w:rsid w:val="005A1307"/>
    <w:rsid w:val="005A18E2"/>
    <w:rsid w:val="005A2F67"/>
    <w:rsid w:val="005A3444"/>
    <w:rsid w:val="005A34D2"/>
    <w:rsid w:val="005A3F37"/>
    <w:rsid w:val="005A4DBF"/>
    <w:rsid w:val="005A52C1"/>
    <w:rsid w:val="005A6B41"/>
    <w:rsid w:val="005B09D2"/>
    <w:rsid w:val="005B18A5"/>
    <w:rsid w:val="005B25B2"/>
    <w:rsid w:val="005B33F8"/>
    <w:rsid w:val="005B4011"/>
    <w:rsid w:val="005B4EC2"/>
    <w:rsid w:val="005B6373"/>
    <w:rsid w:val="005C0059"/>
    <w:rsid w:val="005C037A"/>
    <w:rsid w:val="005C0411"/>
    <w:rsid w:val="005C04E8"/>
    <w:rsid w:val="005C08FC"/>
    <w:rsid w:val="005C0C21"/>
    <w:rsid w:val="005C0F42"/>
    <w:rsid w:val="005C24C6"/>
    <w:rsid w:val="005C2C03"/>
    <w:rsid w:val="005C3260"/>
    <w:rsid w:val="005C4C2E"/>
    <w:rsid w:val="005D04FB"/>
    <w:rsid w:val="005D0520"/>
    <w:rsid w:val="005D05D4"/>
    <w:rsid w:val="005D1513"/>
    <w:rsid w:val="005D160E"/>
    <w:rsid w:val="005D1FB7"/>
    <w:rsid w:val="005D2A56"/>
    <w:rsid w:val="005D38A7"/>
    <w:rsid w:val="005D3C95"/>
    <w:rsid w:val="005D46BF"/>
    <w:rsid w:val="005D51D0"/>
    <w:rsid w:val="005D5AE3"/>
    <w:rsid w:val="005D67CA"/>
    <w:rsid w:val="005D6987"/>
    <w:rsid w:val="005E045E"/>
    <w:rsid w:val="005E16BE"/>
    <w:rsid w:val="005E17CB"/>
    <w:rsid w:val="005E2B41"/>
    <w:rsid w:val="005E2B79"/>
    <w:rsid w:val="005E383F"/>
    <w:rsid w:val="005E40BB"/>
    <w:rsid w:val="005E4BBD"/>
    <w:rsid w:val="005E5EF3"/>
    <w:rsid w:val="005E6575"/>
    <w:rsid w:val="005E6CE1"/>
    <w:rsid w:val="005E7072"/>
    <w:rsid w:val="005F094D"/>
    <w:rsid w:val="005F4876"/>
    <w:rsid w:val="005F6687"/>
    <w:rsid w:val="005F6942"/>
    <w:rsid w:val="005F75AA"/>
    <w:rsid w:val="005F7A75"/>
    <w:rsid w:val="005F7F69"/>
    <w:rsid w:val="005F7F9E"/>
    <w:rsid w:val="00600503"/>
    <w:rsid w:val="00604FF4"/>
    <w:rsid w:val="00607551"/>
    <w:rsid w:val="00610655"/>
    <w:rsid w:val="00611E5D"/>
    <w:rsid w:val="00614650"/>
    <w:rsid w:val="00617821"/>
    <w:rsid w:val="0061798E"/>
    <w:rsid w:val="00622064"/>
    <w:rsid w:val="00623FEC"/>
    <w:rsid w:val="00624914"/>
    <w:rsid w:val="00624A06"/>
    <w:rsid w:val="00625212"/>
    <w:rsid w:val="00626C43"/>
    <w:rsid w:val="00626CA9"/>
    <w:rsid w:val="00627661"/>
    <w:rsid w:val="00630078"/>
    <w:rsid w:val="00630998"/>
    <w:rsid w:val="00631374"/>
    <w:rsid w:val="00632FA2"/>
    <w:rsid w:val="00633401"/>
    <w:rsid w:val="006336F5"/>
    <w:rsid w:val="006356B3"/>
    <w:rsid w:val="006416C6"/>
    <w:rsid w:val="00642A14"/>
    <w:rsid w:val="006437C2"/>
    <w:rsid w:val="00644C1A"/>
    <w:rsid w:val="006461CE"/>
    <w:rsid w:val="00647205"/>
    <w:rsid w:val="0065189C"/>
    <w:rsid w:val="00653B95"/>
    <w:rsid w:val="006543CC"/>
    <w:rsid w:val="00654422"/>
    <w:rsid w:val="006544B8"/>
    <w:rsid w:val="006565E4"/>
    <w:rsid w:val="00660EFD"/>
    <w:rsid w:val="006617C2"/>
    <w:rsid w:val="00662049"/>
    <w:rsid w:val="00662627"/>
    <w:rsid w:val="0066270C"/>
    <w:rsid w:val="006675DD"/>
    <w:rsid w:val="006676E6"/>
    <w:rsid w:val="00670499"/>
    <w:rsid w:val="0067067E"/>
    <w:rsid w:val="00670B37"/>
    <w:rsid w:val="00670EC9"/>
    <w:rsid w:val="0067459A"/>
    <w:rsid w:val="006746CE"/>
    <w:rsid w:val="006759B5"/>
    <w:rsid w:val="00675EE3"/>
    <w:rsid w:val="00675F82"/>
    <w:rsid w:val="00677D26"/>
    <w:rsid w:val="006812B7"/>
    <w:rsid w:val="00681C08"/>
    <w:rsid w:val="006834CB"/>
    <w:rsid w:val="00685F22"/>
    <w:rsid w:val="00687E2B"/>
    <w:rsid w:val="00691009"/>
    <w:rsid w:val="0069351A"/>
    <w:rsid w:val="00693B94"/>
    <w:rsid w:val="00693D62"/>
    <w:rsid w:val="006940F8"/>
    <w:rsid w:val="0069564E"/>
    <w:rsid w:val="0069640F"/>
    <w:rsid w:val="00696B37"/>
    <w:rsid w:val="006A422A"/>
    <w:rsid w:val="006A5F18"/>
    <w:rsid w:val="006A66D6"/>
    <w:rsid w:val="006A7877"/>
    <w:rsid w:val="006B0098"/>
    <w:rsid w:val="006B12DC"/>
    <w:rsid w:val="006B1757"/>
    <w:rsid w:val="006B1D09"/>
    <w:rsid w:val="006B255A"/>
    <w:rsid w:val="006B2BC8"/>
    <w:rsid w:val="006B4339"/>
    <w:rsid w:val="006B5A1C"/>
    <w:rsid w:val="006C1FDE"/>
    <w:rsid w:val="006C31A1"/>
    <w:rsid w:val="006C5CDE"/>
    <w:rsid w:val="006C635B"/>
    <w:rsid w:val="006C6EC3"/>
    <w:rsid w:val="006D0638"/>
    <w:rsid w:val="006D3A3F"/>
    <w:rsid w:val="006D5063"/>
    <w:rsid w:val="006D628D"/>
    <w:rsid w:val="006D725C"/>
    <w:rsid w:val="006D72DD"/>
    <w:rsid w:val="006D7EAA"/>
    <w:rsid w:val="006E13B5"/>
    <w:rsid w:val="006E16BB"/>
    <w:rsid w:val="006E17A7"/>
    <w:rsid w:val="006E264B"/>
    <w:rsid w:val="006E2792"/>
    <w:rsid w:val="006E288D"/>
    <w:rsid w:val="006E64F8"/>
    <w:rsid w:val="006F0ACD"/>
    <w:rsid w:val="006F13C2"/>
    <w:rsid w:val="006F2762"/>
    <w:rsid w:val="006F2798"/>
    <w:rsid w:val="006F41BB"/>
    <w:rsid w:val="006F5498"/>
    <w:rsid w:val="006F5F54"/>
    <w:rsid w:val="00701C94"/>
    <w:rsid w:val="00702BB8"/>
    <w:rsid w:val="007034B6"/>
    <w:rsid w:val="007039F8"/>
    <w:rsid w:val="007047C0"/>
    <w:rsid w:val="00704D1B"/>
    <w:rsid w:val="00704EEC"/>
    <w:rsid w:val="007112B1"/>
    <w:rsid w:val="00711AF3"/>
    <w:rsid w:val="00714AA3"/>
    <w:rsid w:val="00714CC0"/>
    <w:rsid w:val="00715777"/>
    <w:rsid w:val="00716A36"/>
    <w:rsid w:val="0071708C"/>
    <w:rsid w:val="00717808"/>
    <w:rsid w:val="00721CF0"/>
    <w:rsid w:val="00723328"/>
    <w:rsid w:val="00723CF8"/>
    <w:rsid w:val="00724707"/>
    <w:rsid w:val="00724BAA"/>
    <w:rsid w:val="00726BC2"/>
    <w:rsid w:val="007321F9"/>
    <w:rsid w:val="00734882"/>
    <w:rsid w:val="00734CC8"/>
    <w:rsid w:val="00735763"/>
    <w:rsid w:val="007370C0"/>
    <w:rsid w:val="0074001B"/>
    <w:rsid w:val="00740079"/>
    <w:rsid w:val="00741C99"/>
    <w:rsid w:val="007424D8"/>
    <w:rsid w:val="00743BD8"/>
    <w:rsid w:val="007447F4"/>
    <w:rsid w:val="00744BC0"/>
    <w:rsid w:val="0074592E"/>
    <w:rsid w:val="00745991"/>
    <w:rsid w:val="00746628"/>
    <w:rsid w:val="007472BB"/>
    <w:rsid w:val="00750EE1"/>
    <w:rsid w:val="00753966"/>
    <w:rsid w:val="00756679"/>
    <w:rsid w:val="00760013"/>
    <w:rsid w:val="007603FA"/>
    <w:rsid w:val="00760848"/>
    <w:rsid w:val="00760946"/>
    <w:rsid w:val="007641CB"/>
    <w:rsid w:val="00764423"/>
    <w:rsid w:val="0076463E"/>
    <w:rsid w:val="0076478E"/>
    <w:rsid w:val="00764D21"/>
    <w:rsid w:val="00767399"/>
    <w:rsid w:val="00770BED"/>
    <w:rsid w:val="00772057"/>
    <w:rsid w:val="007721CB"/>
    <w:rsid w:val="00773926"/>
    <w:rsid w:val="00777A64"/>
    <w:rsid w:val="00780ECF"/>
    <w:rsid w:val="0078119E"/>
    <w:rsid w:val="007839F4"/>
    <w:rsid w:val="007839FB"/>
    <w:rsid w:val="007863DF"/>
    <w:rsid w:val="00787AD3"/>
    <w:rsid w:val="00791082"/>
    <w:rsid w:val="0079304E"/>
    <w:rsid w:val="00794F03"/>
    <w:rsid w:val="00797B77"/>
    <w:rsid w:val="007A07E7"/>
    <w:rsid w:val="007A0EDB"/>
    <w:rsid w:val="007A2767"/>
    <w:rsid w:val="007A3223"/>
    <w:rsid w:val="007A33D0"/>
    <w:rsid w:val="007A4051"/>
    <w:rsid w:val="007A4BA7"/>
    <w:rsid w:val="007A5B82"/>
    <w:rsid w:val="007B0A84"/>
    <w:rsid w:val="007B1B6B"/>
    <w:rsid w:val="007B1BB2"/>
    <w:rsid w:val="007B21FE"/>
    <w:rsid w:val="007B2238"/>
    <w:rsid w:val="007B58F9"/>
    <w:rsid w:val="007B5B0B"/>
    <w:rsid w:val="007B69BB"/>
    <w:rsid w:val="007B71E9"/>
    <w:rsid w:val="007C0926"/>
    <w:rsid w:val="007C2CE3"/>
    <w:rsid w:val="007C331D"/>
    <w:rsid w:val="007C4664"/>
    <w:rsid w:val="007C54A5"/>
    <w:rsid w:val="007C7C2A"/>
    <w:rsid w:val="007D4E22"/>
    <w:rsid w:val="007D4E78"/>
    <w:rsid w:val="007D6318"/>
    <w:rsid w:val="007D68E4"/>
    <w:rsid w:val="007D7C58"/>
    <w:rsid w:val="007D7DA6"/>
    <w:rsid w:val="007E12A4"/>
    <w:rsid w:val="007E1958"/>
    <w:rsid w:val="007E1C6E"/>
    <w:rsid w:val="007E1FFA"/>
    <w:rsid w:val="007E2559"/>
    <w:rsid w:val="007E2FC3"/>
    <w:rsid w:val="007E3224"/>
    <w:rsid w:val="007E3825"/>
    <w:rsid w:val="007E527F"/>
    <w:rsid w:val="007E7106"/>
    <w:rsid w:val="007E78A0"/>
    <w:rsid w:val="007E7F5F"/>
    <w:rsid w:val="007F094C"/>
    <w:rsid w:val="007F14F1"/>
    <w:rsid w:val="007F3B2A"/>
    <w:rsid w:val="007F48E6"/>
    <w:rsid w:val="007F5412"/>
    <w:rsid w:val="007F64FA"/>
    <w:rsid w:val="007F6901"/>
    <w:rsid w:val="007F6B9F"/>
    <w:rsid w:val="007F6EBB"/>
    <w:rsid w:val="007F7B25"/>
    <w:rsid w:val="007F7CB3"/>
    <w:rsid w:val="00804D37"/>
    <w:rsid w:val="00806843"/>
    <w:rsid w:val="008106B8"/>
    <w:rsid w:val="00811429"/>
    <w:rsid w:val="0081318F"/>
    <w:rsid w:val="00813D48"/>
    <w:rsid w:val="0081436A"/>
    <w:rsid w:val="00814B42"/>
    <w:rsid w:val="0081504B"/>
    <w:rsid w:val="00816878"/>
    <w:rsid w:val="008176DF"/>
    <w:rsid w:val="00821249"/>
    <w:rsid w:val="00822281"/>
    <w:rsid w:val="00822ED6"/>
    <w:rsid w:val="00826085"/>
    <w:rsid w:val="00826941"/>
    <w:rsid w:val="00826B57"/>
    <w:rsid w:val="008276A4"/>
    <w:rsid w:val="008276C3"/>
    <w:rsid w:val="008277C5"/>
    <w:rsid w:val="00830648"/>
    <w:rsid w:val="008313E9"/>
    <w:rsid w:val="00833F7C"/>
    <w:rsid w:val="008343E1"/>
    <w:rsid w:val="00835614"/>
    <w:rsid w:val="00835FE4"/>
    <w:rsid w:val="00836D97"/>
    <w:rsid w:val="008401A1"/>
    <w:rsid w:val="00841220"/>
    <w:rsid w:val="008414A6"/>
    <w:rsid w:val="00845857"/>
    <w:rsid w:val="0084662A"/>
    <w:rsid w:val="00850E2C"/>
    <w:rsid w:val="0085324E"/>
    <w:rsid w:val="00855FDE"/>
    <w:rsid w:val="0085689C"/>
    <w:rsid w:val="00857182"/>
    <w:rsid w:val="00861A7D"/>
    <w:rsid w:val="00861F4A"/>
    <w:rsid w:val="00862710"/>
    <w:rsid w:val="00863ED2"/>
    <w:rsid w:val="00865664"/>
    <w:rsid w:val="0086659D"/>
    <w:rsid w:val="008665E9"/>
    <w:rsid w:val="00866F23"/>
    <w:rsid w:val="00867D12"/>
    <w:rsid w:val="00871DC4"/>
    <w:rsid w:val="008723DB"/>
    <w:rsid w:val="00872CC5"/>
    <w:rsid w:val="00873AB3"/>
    <w:rsid w:val="00874CFC"/>
    <w:rsid w:val="008759E1"/>
    <w:rsid w:val="00877970"/>
    <w:rsid w:val="0088006C"/>
    <w:rsid w:val="00880AF9"/>
    <w:rsid w:val="00882C4B"/>
    <w:rsid w:val="00884232"/>
    <w:rsid w:val="00886012"/>
    <w:rsid w:val="00890CB1"/>
    <w:rsid w:val="00891267"/>
    <w:rsid w:val="008932BF"/>
    <w:rsid w:val="00896394"/>
    <w:rsid w:val="008965A6"/>
    <w:rsid w:val="00897060"/>
    <w:rsid w:val="008A0931"/>
    <w:rsid w:val="008A301A"/>
    <w:rsid w:val="008A3344"/>
    <w:rsid w:val="008A3A0D"/>
    <w:rsid w:val="008A3A9E"/>
    <w:rsid w:val="008A44C2"/>
    <w:rsid w:val="008A7F13"/>
    <w:rsid w:val="008B1078"/>
    <w:rsid w:val="008B27C6"/>
    <w:rsid w:val="008B3590"/>
    <w:rsid w:val="008B402F"/>
    <w:rsid w:val="008B43EE"/>
    <w:rsid w:val="008B4A2F"/>
    <w:rsid w:val="008B50E5"/>
    <w:rsid w:val="008B70CC"/>
    <w:rsid w:val="008C0855"/>
    <w:rsid w:val="008C0D20"/>
    <w:rsid w:val="008C0E83"/>
    <w:rsid w:val="008C127D"/>
    <w:rsid w:val="008C15ED"/>
    <w:rsid w:val="008C1642"/>
    <w:rsid w:val="008C2266"/>
    <w:rsid w:val="008C390A"/>
    <w:rsid w:val="008C5778"/>
    <w:rsid w:val="008C5AB5"/>
    <w:rsid w:val="008D1117"/>
    <w:rsid w:val="008D29FA"/>
    <w:rsid w:val="008D2E12"/>
    <w:rsid w:val="008D3352"/>
    <w:rsid w:val="008D4D5A"/>
    <w:rsid w:val="008D60C2"/>
    <w:rsid w:val="008D64CE"/>
    <w:rsid w:val="008D69A7"/>
    <w:rsid w:val="008E0B2D"/>
    <w:rsid w:val="008E524A"/>
    <w:rsid w:val="008E6F1F"/>
    <w:rsid w:val="008E78D2"/>
    <w:rsid w:val="008F0C1B"/>
    <w:rsid w:val="008F0C2D"/>
    <w:rsid w:val="008F103C"/>
    <w:rsid w:val="008F34AF"/>
    <w:rsid w:val="008F433D"/>
    <w:rsid w:val="008F623E"/>
    <w:rsid w:val="008F699D"/>
    <w:rsid w:val="008F75EB"/>
    <w:rsid w:val="00900468"/>
    <w:rsid w:val="00901560"/>
    <w:rsid w:val="00902641"/>
    <w:rsid w:val="0090356B"/>
    <w:rsid w:val="009051DE"/>
    <w:rsid w:val="009052ED"/>
    <w:rsid w:val="00906B6E"/>
    <w:rsid w:val="00914537"/>
    <w:rsid w:val="00914612"/>
    <w:rsid w:val="00915C5B"/>
    <w:rsid w:val="00916B2E"/>
    <w:rsid w:val="00917684"/>
    <w:rsid w:val="0092061B"/>
    <w:rsid w:val="00920A6E"/>
    <w:rsid w:val="00921271"/>
    <w:rsid w:val="00922C0E"/>
    <w:rsid w:val="00923263"/>
    <w:rsid w:val="00925B8C"/>
    <w:rsid w:val="00927C3E"/>
    <w:rsid w:val="00931574"/>
    <w:rsid w:val="00931E60"/>
    <w:rsid w:val="0093252E"/>
    <w:rsid w:val="00932C3C"/>
    <w:rsid w:val="00933D73"/>
    <w:rsid w:val="009341E4"/>
    <w:rsid w:val="00934B6D"/>
    <w:rsid w:val="00936A52"/>
    <w:rsid w:val="00936F70"/>
    <w:rsid w:val="009371AC"/>
    <w:rsid w:val="009426B7"/>
    <w:rsid w:val="00943380"/>
    <w:rsid w:val="00943FAC"/>
    <w:rsid w:val="0094444A"/>
    <w:rsid w:val="009500ED"/>
    <w:rsid w:val="00954840"/>
    <w:rsid w:val="00954CC2"/>
    <w:rsid w:val="00954DC3"/>
    <w:rsid w:val="00956E23"/>
    <w:rsid w:val="009621D9"/>
    <w:rsid w:val="00962351"/>
    <w:rsid w:val="009624F8"/>
    <w:rsid w:val="00963070"/>
    <w:rsid w:val="00967561"/>
    <w:rsid w:val="0096770D"/>
    <w:rsid w:val="00970011"/>
    <w:rsid w:val="00970471"/>
    <w:rsid w:val="009731C2"/>
    <w:rsid w:val="0097329B"/>
    <w:rsid w:val="009737A8"/>
    <w:rsid w:val="00973A97"/>
    <w:rsid w:val="00974189"/>
    <w:rsid w:val="00974CC3"/>
    <w:rsid w:val="00975B4E"/>
    <w:rsid w:val="00977C9B"/>
    <w:rsid w:val="009805A7"/>
    <w:rsid w:val="009812EC"/>
    <w:rsid w:val="0098390D"/>
    <w:rsid w:val="00985462"/>
    <w:rsid w:val="009854E5"/>
    <w:rsid w:val="00985545"/>
    <w:rsid w:val="00987AF1"/>
    <w:rsid w:val="00992639"/>
    <w:rsid w:val="009934AA"/>
    <w:rsid w:val="009A0D8D"/>
    <w:rsid w:val="009A167E"/>
    <w:rsid w:val="009A72D3"/>
    <w:rsid w:val="009A76C7"/>
    <w:rsid w:val="009A7EBE"/>
    <w:rsid w:val="009B0F4A"/>
    <w:rsid w:val="009B1319"/>
    <w:rsid w:val="009B2AE9"/>
    <w:rsid w:val="009B7FF8"/>
    <w:rsid w:val="009C0951"/>
    <w:rsid w:val="009C0F48"/>
    <w:rsid w:val="009C2271"/>
    <w:rsid w:val="009C2CC4"/>
    <w:rsid w:val="009C47C1"/>
    <w:rsid w:val="009C4D33"/>
    <w:rsid w:val="009C61ED"/>
    <w:rsid w:val="009C70CC"/>
    <w:rsid w:val="009C7AEB"/>
    <w:rsid w:val="009D21F2"/>
    <w:rsid w:val="009D37F0"/>
    <w:rsid w:val="009D575D"/>
    <w:rsid w:val="009D5830"/>
    <w:rsid w:val="009D5E88"/>
    <w:rsid w:val="009D6435"/>
    <w:rsid w:val="009D6989"/>
    <w:rsid w:val="009E0A7D"/>
    <w:rsid w:val="009E1842"/>
    <w:rsid w:val="009E3508"/>
    <w:rsid w:val="009E4EB3"/>
    <w:rsid w:val="009E7062"/>
    <w:rsid w:val="009F0F36"/>
    <w:rsid w:val="009F165F"/>
    <w:rsid w:val="009F17A7"/>
    <w:rsid w:val="009F1A22"/>
    <w:rsid w:val="009F40F2"/>
    <w:rsid w:val="009F600D"/>
    <w:rsid w:val="009F6EE5"/>
    <w:rsid w:val="009F7643"/>
    <w:rsid w:val="009F782A"/>
    <w:rsid w:val="00A004E3"/>
    <w:rsid w:val="00A00A37"/>
    <w:rsid w:val="00A00C3D"/>
    <w:rsid w:val="00A03120"/>
    <w:rsid w:val="00A03147"/>
    <w:rsid w:val="00A03176"/>
    <w:rsid w:val="00A0320D"/>
    <w:rsid w:val="00A03782"/>
    <w:rsid w:val="00A05628"/>
    <w:rsid w:val="00A07CB7"/>
    <w:rsid w:val="00A140C5"/>
    <w:rsid w:val="00A14C1F"/>
    <w:rsid w:val="00A17A0B"/>
    <w:rsid w:val="00A219C9"/>
    <w:rsid w:val="00A2282F"/>
    <w:rsid w:val="00A32D20"/>
    <w:rsid w:val="00A33C2B"/>
    <w:rsid w:val="00A34663"/>
    <w:rsid w:val="00A346F3"/>
    <w:rsid w:val="00A364F8"/>
    <w:rsid w:val="00A367FA"/>
    <w:rsid w:val="00A368E7"/>
    <w:rsid w:val="00A40E85"/>
    <w:rsid w:val="00A4125B"/>
    <w:rsid w:val="00A4390D"/>
    <w:rsid w:val="00A4550A"/>
    <w:rsid w:val="00A45C15"/>
    <w:rsid w:val="00A465BD"/>
    <w:rsid w:val="00A50E05"/>
    <w:rsid w:val="00A511A4"/>
    <w:rsid w:val="00A51A65"/>
    <w:rsid w:val="00A51BA0"/>
    <w:rsid w:val="00A52EEE"/>
    <w:rsid w:val="00A5337C"/>
    <w:rsid w:val="00A53692"/>
    <w:rsid w:val="00A545DC"/>
    <w:rsid w:val="00A570AB"/>
    <w:rsid w:val="00A62940"/>
    <w:rsid w:val="00A62971"/>
    <w:rsid w:val="00A6301B"/>
    <w:rsid w:val="00A63608"/>
    <w:rsid w:val="00A637DE"/>
    <w:rsid w:val="00A64095"/>
    <w:rsid w:val="00A66B65"/>
    <w:rsid w:val="00A67D51"/>
    <w:rsid w:val="00A7008E"/>
    <w:rsid w:val="00A71C84"/>
    <w:rsid w:val="00A7297E"/>
    <w:rsid w:val="00A72E82"/>
    <w:rsid w:val="00A73046"/>
    <w:rsid w:val="00A730F1"/>
    <w:rsid w:val="00A74272"/>
    <w:rsid w:val="00A75FE5"/>
    <w:rsid w:val="00A7675E"/>
    <w:rsid w:val="00A76BA5"/>
    <w:rsid w:val="00A77615"/>
    <w:rsid w:val="00A80CB9"/>
    <w:rsid w:val="00A8443A"/>
    <w:rsid w:val="00A85058"/>
    <w:rsid w:val="00A862F5"/>
    <w:rsid w:val="00A87506"/>
    <w:rsid w:val="00A879F5"/>
    <w:rsid w:val="00A87FAA"/>
    <w:rsid w:val="00A9018E"/>
    <w:rsid w:val="00A90544"/>
    <w:rsid w:val="00A92569"/>
    <w:rsid w:val="00A9304A"/>
    <w:rsid w:val="00A95A56"/>
    <w:rsid w:val="00A97761"/>
    <w:rsid w:val="00A97789"/>
    <w:rsid w:val="00AA0911"/>
    <w:rsid w:val="00AA3074"/>
    <w:rsid w:val="00AA5852"/>
    <w:rsid w:val="00AA786A"/>
    <w:rsid w:val="00AB1166"/>
    <w:rsid w:val="00AB120C"/>
    <w:rsid w:val="00AB15A8"/>
    <w:rsid w:val="00AB184A"/>
    <w:rsid w:val="00AB1E42"/>
    <w:rsid w:val="00AB4B37"/>
    <w:rsid w:val="00AB68ED"/>
    <w:rsid w:val="00AB77C6"/>
    <w:rsid w:val="00AC0EF4"/>
    <w:rsid w:val="00AC1AE1"/>
    <w:rsid w:val="00AC1C7A"/>
    <w:rsid w:val="00AC32DF"/>
    <w:rsid w:val="00AC4BCE"/>
    <w:rsid w:val="00AC6806"/>
    <w:rsid w:val="00AD01F1"/>
    <w:rsid w:val="00AD05FC"/>
    <w:rsid w:val="00AD32D5"/>
    <w:rsid w:val="00AD5102"/>
    <w:rsid w:val="00AD73BE"/>
    <w:rsid w:val="00AD7E0C"/>
    <w:rsid w:val="00AD7F5B"/>
    <w:rsid w:val="00AE0678"/>
    <w:rsid w:val="00AE27FA"/>
    <w:rsid w:val="00AE4436"/>
    <w:rsid w:val="00AE6A65"/>
    <w:rsid w:val="00AE751E"/>
    <w:rsid w:val="00AF1284"/>
    <w:rsid w:val="00AF5879"/>
    <w:rsid w:val="00AF647C"/>
    <w:rsid w:val="00AF72A4"/>
    <w:rsid w:val="00B000BE"/>
    <w:rsid w:val="00B02AA4"/>
    <w:rsid w:val="00B0337A"/>
    <w:rsid w:val="00B03492"/>
    <w:rsid w:val="00B0511B"/>
    <w:rsid w:val="00B056EF"/>
    <w:rsid w:val="00B05C7E"/>
    <w:rsid w:val="00B06241"/>
    <w:rsid w:val="00B06802"/>
    <w:rsid w:val="00B07794"/>
    <w:rsid w:val="00B117C7"/>
    <w:rsid w:val="00B128C4"/>
    <w:rsid w:val="00B1384B"/>
    <w:rsid w:val="00B14F03"/>
    <w:rsid w:val="00B15658"/>
    <w:rsid w:val="00B1670B"/>
    <w:rsid w:val="00B17A33"/>
    <w:rsid w:val="00B221C8"/>
    <w:rsid w:val="00B22372"/>
    <w:rsid w:val="00B22EC0"/>
    <w:rsid w:val="00B25867"/>
    <w:rsid w:val="00B27176"/>
    <w:rsid w:val="00B30348"/>
    <w:rsid w:val="00B3056C"/>
    <w:rsid w:val="00B3145C"/>
    <w:rsid w:val="00B31EB3"/>
    <w:rsid w:val="00B31FAA"/>
    <w:rsid w:val="00B334A5"/>
    <w:rsid w:val="00B34DE4"/>
    <w:rsid w:val="00B354FF"/>
    <w:rsid w:val="00B37B37"/>
    <w:rsid w:val="00B40998"/>
    <w:rsid w:val="00B40F30"/>
    <w:rsid w:val="00B416F9"/>
    <w:rsid w:val="00B41AAD"/>
    <w:rsid w:val="00B42CF1"/>
    <w:rsid w:val="00B447B3"/>
    <w:rsid w:val="00B44894"/>
    <w:rsid w:val="00B44907"/>
    <w:rsid w:val="00B4528D"/>
    <w:rsid w:val="00B455EF"/>
    <w:rsid w:val="00B464F9"/>
    <w:rsid w:val="00B46909"/>
    <w:rsid w:val="00B47115"/>
    <w:rsid w:val="00B47BC4"/>
    <w:rsid w:val="00B50075"/>
    <w:rsid w:val="00B50671"/>
    <w:rsid w:val="00B5088F"/>
    <w:rsid w:val="00B51210"/>
    <w:rsid w:val="00B53642"/>
    <w:rsid w:val="00B545BF"/>
    <w:rsid w:val="00B5556B"/>
    <w:rsid w:val="00B57885"/>
    <w:rsid w:val="00B60C78"/>
    <w:rsid w:val="00B61953"/>
    <w:rsid w:val="00B634A5"/>
    <w:rsid w:val="00B6715E"/>
    <w:rsid w:val="00B7025A"/>
    <w:rsid w:val="00B704D3"/>
    <w:rsid w:val="00B7144D"/>
    <w:rsid w:val="00B71B37"/>
    <w:rsid w:val="00B71CE3"/>
    <w:rsid w:val="00B72EAA"/>
    <w:rsid w:val="00B72F0F"/>
    <w:rsid w:val="00B73D9F"/>
    <w:rsid w:val="00B75FC3"/>
    <w:rsid w:val="00B76434"/>
    <w:rsid w:val="00B81134"/>
    <w:rsid w:val="00B81C82"/>
    <w:rsid w:val="00B83983"/>
    <w:rsid w:val="00B84172"/>
    <w:rsid w:val="00B84499"/>
    <w:rsid w:val="00B858B2"/>
    <w:rsid w:val="00B85F07"/>
    <w:rsid w:val="00B87CC0"/>
    <w:rsid w:val="00B90E45"/>
    <w:rsid w:val="00B924AD"/>
    <w:rsid w:val="00B96C47"/>
    <w:rsid w:val="00B97D6A"/>
    <w:rsid w:val="00BA01F9"/>
    <w:rsid w:val="00BA11C3"/>
    <w:rsid w:val="00BA1568"/>
    <w:rsid w:val="00BA2143"/>
    <w:rsid w:val="00BA3233"/>
    <w:rsid w:val="00BA5898"/>
    <w:rsid w:val="00BA78A1"/>
    <w:rsid w:val="00BB0BD3"/>
    <w:rsid w:val="00BB47AD"/>
    <w:rsid w:val="00BB52C2"/>
    <w:rsid w:val="00BB5A45"/>
    <w:rsid w:val="00BB693B"/>
    <w:rsid w:val="00BC09A2"/>
    <w:rsid w:val="00BC17B2"/>
    <w:rsid w:val="00BC3232"/>
    <w:rsid w:val="00BC3C10"/>
    <w:rsid w:val="00BC49BB"/>
    <w:rsid w:val="00BC4C1A"/>
    <w:rsid w:val="00BC5271"/>
    <w:rsid w:val="00BC6B71"/>
    <w:rsid w:val="00BC7232"/>
    <w:rsid w:val="00BD2D61"/>
    <w:rsid w:val="00BD433F"/>
    <w:rsid w:val="00BD5D48"/>
    <w:rsid w:val="00BE00D0"/>
    <w:rsid w:val="00BE21DB"/>
    <w:rsid w:val="00BE4BE3"/>
    <w:rsid w:val="00BF39BE"/>
    <w:rsid w:val="00BF3B22"/>
    <w:rsid w:val="00BF4FF6"/>
    <w:rsid w:val="00BF6566"/>
    <w:rsid w:val="00BF672A"/>
    <w:rsid w:val="00BF6C4B"/>
    <w:rsid w:val="00BF7D08"/>
    <w:rsid w:val="00C03EBC"/>
    <w:rsid w:val="00C048EF"/>
    <w:rsid w:val="00C05E6E"/>
    <w:rsid w:val="00C06167"/>
    <w:rsid w:val="00C0705B"/>
    <w:rsid w:val="00C07439"/>
    <w:rsid w:val="00C101F0"/>
    <w:rsid w:val="00C11644"/>
    <w:rsid w:val="00C11B0A"/>
    <w:rsid w:val="00C1312B"/>
    <w:rsid w:val="00C13171"/>
    <w:rsid w:val="00C132FE"/>
    <w:rsid w:val="00C13D60"/>
    <w:rsid w:val="00C1663A"/>
    <w:rsid w:val="00C206B1"/>
    <w:rsid w:val="00C20FEC"/>
    <w:rsid w:val="00C22611"/>
    <w:rsid w:val="00C24320"/>
    <w:rsid w:val="00C2447C"/>
    <w:rsid w:val="00C2509A"/>
    <w:rsid w:val="00C251AA"/>
    <w:rsid w:val="00C255E9"/>
    <w:rsid w:val="00C2797D"/>
    <w:rsid w:val="00C27ADE"/>
    <w:rsid w:val="00C31187"/>
    <w:rsid w:val="00C3167E"/>
    <w:rsid w:val="00C32009"/>
    <w:rsid w:val="00C32A77"/>
    <w:rsid w:val="00C333BC"/>
    <w:rsid w:val="00C343EA"/>
    <w:rsid w:val="00C349A3"/>
    <w:rsid w:val="00C369D1"/>
    <w:rsid w:val="00C36AEF"/>
    <w:rsid w:val="00C375DA"/>
    <w:rsid w:val="00C415DC"/>
    <w:rsid w:val="00C4161C"/>
    <w:rsid w:val="00C42CDF"/>
    <w:rsid w:val="00C457F9"/>
    <w:rsid w:val="00C46377"/>
    <w:rsid w:val="00C52F44"/>
    <w:rsid w:val="00C53788"/>
    <w:rsid w:val="00C53873"/>
    <w:rsid w:val="00C53EF1"/>
    <w:rsid w:val="00C540B7"/>
    <w:rsid w:val="00C5531D"/>
    <w:rsid w:val="00C55BB2"/>
    <w:rsid w:val="00C569A6"/>
    <w:rsid w:val="00C56BA5"/>
    <w:rsid w:val="00C57A6A"/>
    <w:rsid w:val="00C63F4B"/>
    <w:rsid w:val="00C6645E"/>
    <w:rsid w:val="00C673C7"/>
    <w:rsid w:val="00C67DA4"/>
    <w:rsid w:val="00C71D7C"/>
    <w:rsid w:val="00C729D1"/>
    <w:rsid w:val="00C740D1"/>
    <w:rsid w:val="00C74A54"/>
    <w:rsid w:val="00C7608E"/>
    <w:rsid w:val="00C77145"/>
    <w:rsid w:val="00C776D8"/>
    <w:rsid w:val="00C80802"/>
    <w:rsid w:val="00C80ED1"/>
    <w:rsid w:val="00C83869"/>
    <w:rsid w:val="00C878FD"/>
    <w:rsid w:val="00C919D9"/>
    <w:rsid w:val="00C92F86"/>
    <w:rsid w:val="00C93DBB"/>
    <w:rsid w:val="00C95315"/>
    <w:rsid w:val="00C975BC"/>
    <w:rsid w:val="00C97C22"/>
    <w:rsid w:val="00CA06A6"/>
    <w:rsid w:val="00CA1546"/>
    <w:rsid w:val="00CA3067"/>
    <w:rsid w:val="00CA3716"/>
    <w:rsid w:val="00CB23BC"/>
    <w:rsid w:val="00CB28EA"/>
    <w:rsid w:val="00CB316F"/>
    <w:rsid w:val="00CB554B"/>
    <w:rsid w:val="00CB5E0A"/>
    <w:rsid w:val="00CB6CA9"/>
    <w:rsid w:val="00CB79A6"/>
    <w:rsid w:val="00CC1584"/>
    <w:rsid w:val="00CC363B"/>
    <w:rsid w:val="00CC36D1"/>
    <w:rsid w:val="00CC38B2"/>
    <w:rsid w:val="00CC5052"/>
    <w:rsid w:val="00CC525C"/>
    <w:rsid w:val="00CC5DE5"/>
    <w:rsid w:val="00CC786E"/>
    <w:rsid w:val="00CD006D"/>
    <w:rsid w:val="00CD0C79"/>
    <w:rsid w:val="00CD1CC4"/>
    <w:rsid w:val="00CD2C4A"/>
    <w:rsid w:val="00CD3C9E"/>
    <w:rsid w:val="00CD504B"/>
    <w:rsid w:val="00CD689D"/>
    <w:rsid w:val="00CE0499"/>
    <w:rsid w:val="00CE25EF"/>
    <w:rsid w:val="00CE4D7E"/>
    <w:rsid w:val="00CE6F3F"/>
    <w:rsid w:val="00CF3064"/>
    <w:rsid w:val="00CF3370"/>
    <w:rsid w:val="00CF35C8"/>
    <w:rsid w:val="00CF4A4E"/>
    <w:rsid w:val="00CF7C39"/>
    <w:rsid w:val="00D0006F"/>
    <w:rsid w:val="00D01F56"/>
    <w:rsid w:val="00D028D4"/>
    <w:rsid w:val="00D03A9D"/>
    <w:rsid w:val="00D04651"/>
    <w:rsid w:val="00D04C74"/>
    <w:rsid w:val="00D04DFD"/>
    <w:rsid w:val="00D07D5E"/>
    <w:rsid w:val="00D12997"/>
    <w:rsid w:val="00D15E03"/>
    <w:rsid w:val="00D1613B"/>
    <w:rsid w:val="00D179DA"/>
    <w:rsid w:val="00D21EF8"/>
    <w:rsid w:val="00D23C72"/>
    <w:rsid w:val="00D24B11"/>
    <w:rsid w:val="00D25186"/>
    <w:rsid w:val="00D254B2"/>
    <w:rsid w:val="00D25A22"/>
    <w:rsid w:val="00D26C33"/>
    <w:rsid w:val="00D26FE9"/>
    <w:rsid w:val="00D270AB"/>
    <w:rsid w:val="00D27277"/>
    <w:rsid w:val="00D2777F"/>
    <w:rsid w:val="00D30444"/>
    <w:rsid w:val="00D3224D"/>
    <w:rsid w:val="00D330A7"/>
    <w:rsid w:val="00D34913"/>
    <w:rsid w:val="00D372E1"/>
    <w:rsid w:val="00D41100"/>
    <w:rsid w:val="00D4111E"/>
    <w:rsid w:val="00D42D14"/>
    <w:rsid w:val="00D439E2"/>
    <w:rsid w:val="00D44D1F"/>
    <w:rsid w:val="00D45C50"/>
    <w:rsid w:val="00D46ED9"/>
    <w:rsid w:val="00D47256"/>
    <w:rsid w:val="00D501C8"/>
    <w:rsid w:val="00D51E83"/>
    <w:rsid w:val="00D527D2"/>
    <w:rsid w:val="00D52E99"/>
    <w:rsid w:val="00D543CB"/>
    <w:rsid w:val="00D5629D"/>
    <w:rsid w:val="00D56476"/>
    <w:rsid w:val="00D5796E"/>
    <w:rsid w:val="00D60280"/>
    <w:rsid w:val="00D6139C"/>
    <w:rsid w:val="00D617C8"/>
    <w:rsid w:val="00D61E17"/>
    <w:rsid w:val="00D62B1C"/>
    <w:rsid w:val="00D63207"/>
    <w:rsid w:val="00D6322C"/>
    <w:rsid w:val="00D64D21"/>
    <w:rsid w:val="00D6619D"/>
    <w:rsid w:val="00D66B9E"/>
    <w:rsid w:val="00D70A46"/>
    <w:rsid w:val="00D734CE"/>
    <w:rsid w:val="00D73865"/>
    <w:rsid w:val="00D75C72"/>
    <w:rsid w:val="00D77680"/>
    <w:rsid w:val="00D77F51"/>
    <w:rsid w:val="00D800AC"/>
    <w:rsid w:val="00D8054A"/>
    <w:rsid w:val="00D8334E"/>
    <w:rsid w:val="00D835B4"/>
    <w:rsid w:val="00D84A04"/>
    <w:rsid w:val="00D85C27"/>
    <w:rsid w:val="00D865E8"/>
    <w:rsid w:val="00D86BF6"/>
    <w:rsid w:val="00D8796E"/>
    <w:rsid w:val="00D91497"/>
    <w:rsid w:val="00D91F8E"/>
    <w:rsid w:val="00D92ADD"/>
    <w:rsid w:val="00D93A05"/>
    <w:rsid w:val="00DA0110"/>
    <w:rsid w:val="00DA0B47"/>
    <w:rsid w:val="00DA1D18"/>
    <w:rsid w:val="00DA3AD7"/>
    <w:rsid w:val="00DA729C"/>
    <w:rsid w:val="00DA7A60"/>
    <w:rsid w:val="00DB09CA"/>
    <w:rsid w:val="00DB231A"/>
    <w:rsid w:val="00DB34E9"/>
    <w:rsid w:val="00DB3C61"/>
    <w:rsid w:val="00DB4D66"/>
    <w:rsid w:val="00DC396D"/>
    <w:rsid w:val="00DC4204"/>
    <w:rsid w:val="00DC7194"/>
    <w:rsid w:val="00DC74CB"/>
    <w:rsid w:val="00DC7CF9"/>
    <w:rsid w:val="00DD09B2"/>
    <w:rsid w:val="00DD42B1"/>
    <w:rsid w:val="00DD5DEE"/>
    <w:rsid w:val="00DD5E9F"/>
    <w:rsid w:val="00DD6C56"/>
    <w:rsid w:val="00DE17DF"/>
    <w:rsid w:val="00DE1BE2"/>
    <w:rsid w:val="00DE295B"/>
    <w:rsid w:val="00DE2B5F"/>
    <w:rsid w:val="00DE2D30"/>
    <w:rsid w:val="00DE308E"/>
    <w:rsid w:val="00DE7849"/>
    <w:rsid w:val="00DE7A24"/>
    <w:rsid w:val="00DF0FB1"/>
    <w:rsid w:val="00DF1688"/>
    <w:rsid w:val="00DF18CC"/>
    <w:rsid w:val="00DF4954"/>
    <w:rsid w:val="00DF499A"/>
    <w:rsid w:val="00DF5D5F"/>
    <w:rsid w:val="00DF7C2E"/>
    <w:rsid w:val="00E00F39"/>
    <w:rsid w:val="00E01542"/>
    <w:rsid w:val="00E0159D"/>
    <w:rsid w:val="00E01F3E"/>
    <w:rsid w:val="00E03DA4"/>
    <w:rsid w:val="00E04696"/>
    <w:rsid w:val="00E10830"/>
    <w:rsid w:val="00E13D83"/>
    <w:rsid w:val="00E157D7"/>
    <w:rsid w:val="00E20F8D"/>
    <w:rsid w:val="00E2160A"/>
    <w:rsid w:val="00E216B4"/>
    <w:rsid w:val="00E23FCA"/>
    <w:rsid w:val="00E2454F"/>
    <w:rsid w:val="00E248A4"/>
    <w:rsid w:val="00E25DE5"/>
    <w:rsid w:val="00E270E3"/>
    <w:rsid w:val="00E27819"/>
    <w:rsid w:val="00E321E9"/>
    <w:rsid w:val="00E3684E"/>
    <w:rsid w:val="00E37A3C"/>
    <w:rsid w:val="00E4002A"/>
    <w:rsid w:val="00E4048D"/>
    <w:rsid w:val="00E40CEB"/>
    <w:rsid w:val="00E42914"/>
    <w:rsid w:val="00E42D5D"/>
    <w:rsid w:val="00E44DDF"/>
    <w:rsid w:val="00E45B8C"/>
    <w:rsid w:val="00E468D1"/>
    <w:rsid w:val="00E51A35"/>
    <w:rsid w:val="00E52CD2"/>
    <w:rsid w:val="00E539DB"/>
    <w:rsid w:val="00E5502C"/>
    <w:rsid w:val="00E5589F"/>
    <w:rsid w:val="00E6044F"/>
    <w:rsid w:val="00E61228"/>
    <w:rsid w:val="00E646C1"/>
    <w:rsid w:val="00E65316"/>
    <w:rsid w:val="00E66A5B"/>
    <w:rsid w:val="00E66B92"/>
    <w:rsid w:val="00E674C5"/>
    <w:rsid w:val="00E675E6"/>
    <w:rsid w:val="00E73B70"/>
    <w:rsid w:val="00E73CEC"/>
    <w:rsid w:val="00E77365"/>
    <w:rsid w:val="00E7777A"/>
    <w:rsid w:val="00E82F9E"/>
    <w:rsid w:val="00E8306D"/>
    <w:rsid w:val="00E8341E"/>
    <w:rsid w:val="00E837F7"/>
    <w:rsid w:val="00E8385D"/>
    <w:rsid w:val="00E84B12"/>
    <w:rsid w:val="00E85291"/>
    <w:rsid w:val="00E8634E"/>
    <w:rsid w:val="00E87C36"/>
    <w:rsid w:val="00E92947"/>
    <w:rsid w:val="00E93431"/>
    <w:rsid w:val="00E96636"/>
    <w:rsid w:val="00E970F2"/>
    <w:rsid w:val="00EA0863"/>
    <w:rsid w:val="00EA0B37"/>
    <w:rsid w:val="00EA491D"/>
    <w:rsid w:val="00EA6A30"/>
    <w:rsid w:val="00EA6D94"/>
    <w:rsid w:val="00EA78EE"/>
    <w:rsid w:val="00EB0246"/>
    <w:rsid w:val="00EB082F"/>
    <w:rsid w:val="00EB35A1"/>
    <w:rsid w:val="00EB5082"/>
    <w:rsid w:val="00EB51AF"/>
    <w:rsid w:val="00EC187E"/>
    <w:rsid w:val="00EC19B6"/>
    <w:rsid w:val="00EC30B3"/>
    <w:rsid w:val="00EC360F"/>
    <w:rsid w:val="00EC4548"/>
    <w:rsid w:val="00EC45D3"/>
    <w:rsid w:val="00EC4AC8"/>
    <w:rsid w:val="00EC5840"/>
    <w:rsid w:val="00EC6259"/>
    <w:rsid w:val="00EC7820"/>
    <w:rsid w:val="00ED0425"/>
    <w:rsid w:val="00ED39CA"/>
    <w:rsid w:val="00ED3C60"/>
    <w:rsid w:val="00ED4C73"/>
    <w:rsid w:val="00EE11A5"/>
    <w:rsid w:val="00EE3067"/>
    <w:rsid w:val="00EE35D3"/>
    <w:rsid w:val="00EE38D8"/>
    <w:rsid w:val="00EE4906"/>
    <w:rsid w:val="00EE660A"/>
    <w:rsid w:val="00EE6B48"/>
    <w:rsid w:val="00EE6E23"/>
    <w:rsid w:val="00EE72A5"/>
    <w:rsid w:val="00EE7416"/>
    <w:rsid w:val="00EE7AF2"/>
    <w:rsid w:val="00EF0DBE"/>
    <w:rsid w:val="00EF1DC7"/>
    <w:rsid w:val="00EF2924"/>
    <w:rsid w:val="00EF6184"/>
    <w:rsid w:val="00EF73C7"/>
    <w:rsid w:val="00EF74AD"/>
    <w:rsid w:val="00F00FB9"/>
    <w:rsid w:val="00F01AA4"/>
    <w:rsid w:val="00F01F8E"/>
    <w:rsid w:val="00F03D1A"/>
    <w:rsid w:val="00F076F4"/>
    <w:rsid w:val="00F07FB8"/>
    <w:rsid w:val="00F10B1D"/>
    <w:rsid w:val="00F11D4D"/>
    <w:rsid w:val="00F12C17"/>
    <w:rsid w:val="00F13F32"/>
    <w:rsid w:val="00F1428C"/>
    <w:rsid w:val="00F210ED"/>
    <w:rsid w:val="00F21237"/>
    <w:rsid w:val="00F247B6"/>
    <w:rsid w:val="00F25591"/>
    <w:rsid w:val="00F25D23"/>
    <w:rsid w:val="00F2609A"/>
    <w:rsid w:val="00F27CE7"/>
    <w:rsid w:val="00F30B51"/>
    <w:rsid w:val="00F321FB"/>
    <w:rsid w:val="00F32246"/>
    <w:rsid w:val="00F37713"/>
    <w:rsid w:val="00F40D66"/>
    <w:rsid w:val="00F415C8"/>
    <w:rsid w:val="00F416A3"/>
    <w:rsid w:val="00F418D8"/>
    <w:rsid w:val="00F42AA4"/>
    <w:rsid w:val="00F42FDA"/>
    <w:rsid w:val="00F43173"/>
    <w:rsid w:val="00F43747"/>
    <w:rsid w:val="00F44666"/>
    <w:rsid w:val="00F44F41"/>
    <w:rsid w:val="00F45711"/>
    <w:rsid w:val="00F46438"/>
    <w:rsid w:val="00F50153"/>
    <w:rsid w:val="00F50740"/>
    <w:rsid w:val="00F521A9"/>
    <w:rsid w:val="00F5310A"/>
    <w:rsid w:val="00F546DF"/>
    <w:rsid w:val="00F55A0B"/>
    <w:rsid w:val="00F56E70"/>
    <w:rsid w:val="00F61442"/>
    <w:rsid w:val="00F61B7C"/>
    <w:rsid w:val="00F62BB3"/>
    <w:rsid w:val="00F642E6"/>
    <w:rsid w:val="00F645A1"/>
    <w:rsid w:val="00F6535B"/>
    <w:rsid w:val="00F71041"/>
    <w:rsid w:val="00F7184F"/>
    <w:rsid w:val="00F72BE3"/>
    <w:rsid w:val="00F74271"/>
    <w:rsid w:val="00F743F6"/>
    <w:rsid w:val="00F77135"/>
    <w:rsid w:val="00F81112"/>
    <w:rsid w:val="00F838E7"/>
    <w:rsid w:val="00F83CDA"/>
    <w:rsid w:val="00F8596C"/>
    <w:rsid w:val="00F90BF4"/>
    <w:rsid w:val="00F90F3F"/>
    <w:rsid w:val="00F925E7"/>
    <w:rsid w:val="00F9324F"/>
    <w:rsid w:val="00F9418D"/>
    <w:rsid w:val="00F94690"/>
    <w:rsid w:val="00F97223"/>
    <w:rsid w:val="00F974AD"/>
    <w:rsid w:val="00F97B1F"/>
    <w:rsid w:val="00F97B4E"/>
    <w:rsid w:val="00FA1557"/>
    <w:rsid w:val="00FA6238"/>
    <w:rsid w:val="00FA66BD"/>
    <w:rsid w:val="00FB20B2"/>
    <w:rsid w:val="00FB26D2"/>
    <w:rsid w:val="00FB35DC"/>
    <w:rsid w:val="00FB3D65"/>
    <w:rsid w:val="00FB40FA"/>
    <w:rsid w:val="00FB4353"/>
    <w:rsid w:val="00FB46CD"/>
    <w:rsid w:val="00FB5C5B"/>
    <w:rsid w:val="00FB6457"/>
    <w:rsid w:val="00FB69DD"/>
    <w:rsid w:val="00FC511A"/>
    <w:rsid w:val="00FC5BB5"/>
    <w:rsid w:val="00FC6B01"/>
    <w:rsid w:val="00FD00D1"/>
    <w:rsid w:val="00FD218C"/>
    <w:rsid w:val="00FD3BD6"/>
    <w:rsid w:val="00FD65CD"/>
    <w:rsid w:val="00FE191B"/>
    <w:rsid w:val="00FE2126"/>
    <w:rsid w:val="00FE4E5B"/>
    <w:rsid w:val="00FE509E"/>
    <w:rsid w:val="00FE5A44"/>
    <w:rsid w:val="00FE5B90"/>
    <w:rsid w:val="00FE6E2F"/>
    <w:rsid w:val="00FF0E79"/>
    <w:rsid w:val="00FF11A8"/>
    <w:rsid w:val="00FF25D4"/>
    <w:rsid w:val="00FF300D"/>
    <w:rsid w:val="00FF34A4"/>
    <w:rsid w:val="00FF4A29"/>
    <w:rsid w:val="00FF4A79"/>
    <w:rsid w:val="00FF6DD1"/>
    <w:rsid w:val="00FF6ED5"/>
    <w:rsid w:val="00FF726B"/>
    <w:rsid w:val="013A41D7"/>
    <w:rsid w:val="017B65FA"/>
    <w:rsid w:val="019A10AD"/>
    <w:rsid w:val="01A142BB"/>
    <w:rsid w:val="01B00F3D"/>
    <w:rsid w:val="01E76FAE"/>
    <w:rsid w:val="01FC7E4D"/>
    <w:rsid w:val="0224334E"/>
    <w:rsid w:val="02267A69"/>
    <w:rsid w:val="024207E0"/>
    <w:rsid w:val="026A1A70"/>
    <w:rsid w:val="027552F8"/>
    <w:rsid w:val="02C57135"/>
    <w:rsid w:val="02FB6264"/>
    <w:rsid w:val="03262275"/>
    <w:rsid w:val="033049C7"/>
    <w:rsid w:val="03564C06"/>
    <w:rsid w:val="0361254E"/>
    <w:rsid w:val="036E52A2"/>
    <w:rsid w:val="038908D8"/>
    <w:rsid w:val="03F5128D"/>
    <w:rsid w:val="03F82211"/>
    <w:rsid w:val="043E7102"/>
    <w:rsid w:val="04575817"/>
    <w:rsid w:val="0459620E"/>
    <w:rsid w:val="048319D9"/>
    <w:rsid w:val="04BD7B94"/>
    <w:rsid w:val="04E70159"/>
    <w:rsid w:val="04F6345F"/>
    <w:rsid w:val="0520525E"/>
    <w:rsid w:val="05247588"/>
    <w:rsid w:val="052F71DA"/>
    <w:rsid w:val="054B385E"/>
    <w:rsid w:val="057316FE"/>
    <w:rsid w:val="05925CFC"/>
    <w:rsid w:val="05B61C2E"/>
    <w:rsid w:val="05D07899"/>
    <w:rsid w:val="06016563"/>
    <w:rsid w:val="062331DE"/>
    <w:rsid w:val="06343D3A"/>
    <w:rsid w:val="06686EFB"/>
    <w:rsid w:val="06971860"/>
    <w:rsid w:val="069D276F"/>
    <w:rsid w:val="06AB4C7D"/>
    <w:rsid w:val="06D96BE6"/>
    <w:rsid w:val="07020F0F"/>
    <w:rsid w:val="071E7B15"/>
    <w:rsid w:val="07387CF6"/>
    <w:rsid w:val="073D510F"/>
    <w:rsid w:val="07441979"/>
    <w:rsid w:val="07647CAF"/>
    <w:rsid w:val="07770D27"/>
    <w:rsid w:val="0783294E"/>
    <w:rsid w:val="078A140D"/>
    <w:rsid w:val="07A436AD"/>
    <w:rsid w:val="07C74150"/>
    <w:rsid w:val="08072081"/>
    <w:rsid w:val="081A5EF0"/>
    <w:rsid w:val="085B1141"/>
    <w:rsid w:val="086B65AF"/>
    <w:rsid w:val="091420BE"/>
    <w:rsid w:val="09240536"/>
    <w:rsid w:val="094A2AE1"/>
    <w:rsid w:val="09860C2E"/>
    <w:rsid w:val="09945CB6"/>
    <w:rsid w:val="09BD15E2"/>
    <w:rsid w:val="09FD0528"/>
    <w:rsid w:val="0A19386A"/>
    <w:rsid w:val="0A231DB1"/>
    <w:rsid w:val="0A410181"/>
    <w:rsid w:val="0A575703"/>
    <w:rsid w:val="0A993781"/>
    <w:rsid w:val="0AA812B8"/>
    <w:rsid w:val="0ABC55D1"/>
    <w:rsid w:val="0AE10E9A"/>
    <w:rsid w:val="0AFF0051"/>
    <w:rsid w:val="0B4A1814"/>
    <w:rsid w:val="0B564FE9"/>
    <w:rsid w:val="0B565626"/>
    <w:rsid w:val="0B8A281C"/>
    <w:rsid w:val="0B900B10"/>
    <w:rsid w:val="0BC85FF8"/>
    <w:rsid w:val="0BCF786E"/>
    <w:rsid w:val="0BEA2771"/>
    <w:rsid w:val="0BEE67B2"/>
    <w:rsid w:val="0BFF22EB"/>
    <w:rsid w:val="0C053769"/>
    <w:rsid w:val="0C0A65D4"/>
    <w:rsid w:val="0C115AA2"/>
    <w:rsid w:val="0C181306"/>
    <w:rsid w:val="0C1A6669"/>
    <w:rsid w:val="0C1F154E"/>
    <w:rsid w:val="0C60355A"/>
    <w:rsid w:val="0C607048"/>
    <w:rsid w:val="0C994F0D"/>
    <w:rsid w:val="0CD04E93"/>
    <w:rsid w:val="0D032335"/>
    <w:rsid w:val="0D1A6181"/>
    <w:rsid w:val="0D472F27"/>
    <w:rsid w:val="0D523F88"/>
    <w:rsid w:val="0D6C0594"/>
    <w:rsid w:val="0D88432F"/>
    <w:rsid w:val="0DC81F81"/>
    <w:rsid w:val="0DD359BA"/>
    <w:rsid w:val="0E430ED8"/>
    <w:rsid w:val="0E436F73"/>
    <w:rsid w:val="0E4C5A97"/>
    <w:rsid w:val="0EBB7EB6"/>
    <w:rsid w:val="0EE46AFC"/>
    <w:rsid w:val="0EE921C2"/>
    <w:rsid w:val="0F011AB5"/>
    <w:rsid w:val="0F3A28AB"/>
    <w:rsid w:val="0F3F51FE"/>
    <w:rsid w:val="0F4D78D7"/>
    <w:rsid w:val="0F725466"/>
    <w:rsid w:val="0F767B8D"/>
    <w:rsid w:val="0F7A478B"/>
    <w:rsid w:val="0FB66E54"/>
    <w:rsid w:val="0FCD487B"/>
    <w:rsid w:val="0FDC55A1"/>
    <w:rsid w:val="0FE61BA2"/>
    <w:rsid w:val="0FF92B2F"/>
    <w:rsid w:val="0FFF6A5D"/>
    <w:rsid w:val="10041C98"/>
    <w:rsid w:val="10285E8F"/>
    <w:rsid w:val="10645A20"/>
    <w:rsid w:val="10740C17"/>
    <w:rsid w:val="108D6EB8"/>
    <w:rsid w:val="109777C7"/>
    <w:rsid w:val="10B42F4C"/>
    <w:rsid w:val="10CA7BE1"/>
    <w:rsid w:val="11750FAE"/>
    <w:rsid w:val="119C37F2"/>
    <w:rsid w:val="11C46F35"/>
    <w:rsid w:val="11CB7269"/>
    <w:rsid w:val="120D7E59"/>
    <w:rsid w:val="124166C6"/>
    <w:rsid w:val="12444DFF"/>
    <w:rsid w:val="125A7678"/>
    <w:rsid w:val="125C7B40"/>
    <w:rsid w:val="12824DFB"/>
    <w:rsid w:val="12976F0D"/>
    <w:rsid w:val="12A365A3"/>
    <w:rsid w:val="12AC52DA"/>
    <w:rsid w:val="12D84E35"/>
    <w:rsid w:val="12DB5A4E"/>
    <w:rsid w:val="130E5C52"/>
    <w:rsid w:val="13205B6C"/>
    <w:rsid w:val="13237A8B"/>
    <w:rsid w:val="13557521"/>
    <w:rsid w:val="13BD404B"/>
    <w:rsid w:val="13C03917"/>
    <w:rsid w:val="13F04972"/>
    <w:rsid w:val="13F413C8"/>
    <w:rsid w:val="14191607"/>
    <w:rsid w:val="1430239A"/>
    <w:rsid w:val="14517D23"/>
    <w:rsid w:val="1456146C"/>
    <w:rsid w:val="14742D03"/>
    <w:rsid w:val="149669D2"/>
    <w:rsid w:val="149B66DD"/>
    <w:rsid w:val="14A436AB"/>
    <w:rsid w:val="14AC0899"/>
    <w:rsid w:val="14B8020C"/>
    <w:rsid w:val="14CB6E74"/>
    <w:rsid w:val="14D772A8"/>
    <w:rsid w:val="14DA2829"/>
    <w:rsid w:val="14DB7198"/>
    <w:rsid w:val="1518152A"/>
    <w:rsid w:val="15207CEE"/>
    <w:rsid w:val="153C3CB5"/>
    <w:rsid w:val="15B75BB0"/>
    <w:rsid w:val="15E27F21"/>
    <w:rsid w:val="15F22D94"/>
    <w:rsid w:val="160E4080"/>
    <w:rsid w:val="16946EA9"/>
    <w:rsid w:val="16966F76"/>
    <w:rsid w:val="16D207D1"/>
    <w:rsid w:val="16EF28DA"/>
    <w:rsid w:val="176432ED"/>
    <w:rsid w:val="176E173E"/>
    <w:rsid w:val="1777230E"/>
    <w:rsid w:val="17AA1863"/>
    <w:rsid w:val="17AD018C"/>
    <w:rsid w:val="17F00BD7"/>
    <w:rsid w:val="18147C0E"/>
    <w:rsid w:val="18150F13"/>
    <w:rsid w:val="181D705F"/>
    <w:rsid w:val="18235CAA"/>
    <w:rsid w:val="18323DF7"/>
    <w:rsid w:val="18380C05"/>
    <w:rsid w:val="184F3131"/>
    <w:rsid w:val="188A2917"/>
    <w:rsid w:val="18B45EC6"/>
    <w:rsid w:val="18BE6E18"/>
    <w:rsid w:val="18CF677F"/>
    <w:rsid w:val="18DE57E1"/>
    <w:rsid w:val="18EF03F8"/>
    <w:rsid w:val="19125909"/>
    <w:rsid w:val="192919D8"/>
    <w:rsid w:val="192E1B61"/>
    <w:rsid w:val="1937608E"/>
    <w:rsid w:val="19832696"/>
    <w:rsid w:val="19935EED"/>
    <w:rsid w:val="19EC4E14"/>
    <w:rsid w:val="19FC4FA2"/>
    <w:rsid w:val="1A173147"/>
    <w:rsid w:val="1A1E6D69"/>
    <w:rsid w:val="1A487BAE"/>
    <w:rsid w:val="1A633CD2"/>
    <w:rsid w:val="1A7E0088"/>
    <w:rsid w:val="1A864608"/>
    <w:rsid w:val="1A905DA4"/>
    <w:rsid w:val="1A9F64CD"/>
    <w:rsid w:val="1AA0004A"/>
    <w:rsid w:val="1AC91401"/>
    <w:rsid w:val="1AFD2B54"/>
    <w:rsid w:val="1B1D422C"/>
    <w:rsid w:val="1B376DBA"/>
    <w:rsid w:val="1B5C096F"/>
    <w:rsid w:val="1BC0123B"/>
    <w:rsid w:val="1C4A3472"/>
    <w:rsid w:val="1C622C39"/>
    <w:rsid w:val="1C6B3A8E"/>
    <w:rsid w:val="1C8F32EB"/>
    <w:rsid w:val="1C9A0D3F"/>
    <w:rsid w:val="1C9D47FF"/>
    <w:rsid w:val="1C9E0082"/>
    <w:rsid w:val="1CB80C2C"/>
    <w:rsid w:val="1CCF157E"/>
    <w:rsid w:val="1CED5883"/>
    <w:rsid w:val="1CF23C95"/>
    <w:rsid w:val="1D047A26"/>
    <w:rsid w:val="1D1335DB"/>
    <w:rsid w:val="1D5371E3"/>
    <w:rsid w:val="1D894AF5"/>
    <w:rsid w:val="1DAB37B0"/>
    <w:rsid w:val="1DD215EC"/>
    <w:rsid w:val="1DE75A9B"/>
    <w:rsid w:val="1E0B329C"/>
    <w:rsid w:val="1E320D25"/>
    <w:rsid w:val="1E8B65A8"/>
    <w:rsid w:val="1EAD6450"/>
    <w:rsid w:val="1ECB31EA"/>
    <w:rsid w:val="1EF27252"/>
    <w:rsid w:val="1F187491"/>
    <w:rsid w:val="1F1F40FD"/>
    <w:rsid w:val="1F2E3393"/>
    <w:rsid w:val="1F323DD3"/>
    <w:rsid w:val="1F372988"/>
    <w:rsid w:val="1F680515"/>
    <w:rsid w:val="1F921359"/>
    <w:rsid w:val="1FAA130F"/>
    <w:rsid w:val="1FAD0243"/>
    <w:rsid w:val="1FB60244"/>
    <w:rsid w:val="1FE50BC7"/>
    <w:rsid w:val="1FF07174"/>
    <w:rsid w:val="201262EF"/>
    <w:rsid w:val="20217943"/>
    <w:rsid w:val="20235553"/>
    <w:rsid w:val="202408C8"/>
    <w:rsid w:val="204E170C"/>
    <w:rsid w:val="20643282"/>
    <w:rsid w:val="209C508F"/>
    <w:rsid w:val="20AA1008"/>
    <w:rsid w:val="21405261"/>
    <w:rsid w:val="2141361E"/>
    <w:rsid w:val="218336DA"/>
    <w:rsid w:val="2195551C"/>
    <w:rsid w:val="21CE2E82"/>
    <w:rsid w:val="21CE3822"/>
    <w:rsid w:val="21E60529"/>
    <w:rsid w:val="21F94FCB"/>
    <w:rsid w:val="220E19D5"/>
    <w:rsid w:val="22455AE9"/>
    <w:rsid w:val="22D010D5"/>
    <w:rsid w:val="23424069"/>
    <w:rsid w:val="234B6EF7"/>
    <w:rsid w:val="23582989"/>
    <w:rsid w:val="2359040B"/>
    <w:rsid w:val="235C4C12"/>
    <w:rsid w:val="237E3411"/>
    <w:rsid w:val="23834AD2"/>
    <w:rsid w:val="23B665A6"/>
    <w:rsid w:val="23CB2812"/>
    <w:rsid w:val="23E76D75"/>
    <w:rsid w:val="241E6ECF"/>
    <w:rsid w:val="2433202E"/>
    <w:rsid w:val="243335F1"/>
    <w:rsid w:val="24E1067F"/>
    <w:rsid w:val="250F79CE"/>
    <w:rsid w:val="25353CA1"/>
    <w:rsid w:val="253D12DA"/>
    <w:rsid w:val="256F5577"/>
    <w:rsid w:val="25BE2F21"/>
    <w:rsid w:val="25D85FCF"/>
    <w:rsid w:val="25E669D7"/>
    <w:rsid w:val="25EF443E"/>
    <w:rsid w:val="26110984"/>
    <w:rsid w:val="263C3D9D"/>
    <w:rsid w:val="264A0E1E"/>
    <w:rsid w:val="264A2002"/>
    <w:rsid w:val="267B47B0"/>
    <w:rsid w:val="26854550"/>
    <w:rsid w:val="269221D6"/>
    <w:rsid w:val="26981B61"/>
    <w:rsid w:val="26BB52E6"/>
    <w:rsid w:val="26BF290B"/>
    <w:rsid w:val="26E563DD"/>
    <w:rsid w:val="27156F2D"/>
    <w:rsid w:val="271D1DBA"/>
    <w:rsid w:val="278727C0"/>
    <w:rsid w:val="278A496D"/>
    <w:rsid w:val="278E06D5"/>
    <w:rsid w:val="279E140F"/>
    <w:rsid w:val="27AF38A8"/>
    <w:rsid w:val="27D55CE6"/>
    <w:rsid w:val="282B44F6"/>
    <w:rsid w:val="288A4510"/>
    <w:rsid w:val="288A5000"/>
    <w:rsid w:val="288D0D17"/>
    <w:rsid w:val="28AE59C9"/>
    <w:rsid w:val="28D73EE0"/>
    <w:rsid w:val="29261EE7"/>
    <w:rsid w:val="297708E2"/>
    <w:rsid w:val="298D3C4D"/>
    <w:rsid w:val="29B155F7"/>
    <w:rsid w:val="29BD5B86"/>
    <w:rsid w:val="29D76730"/>
    <w:rsid w:val="29DE77EE"/>
    <w:rsid w:val="29EF4BE5"/>
    <w:rsid w:val="2A3C0292"/>
    <w:rsid w:val="2A6922D6"/>
    <w:rsid w:val="2A72178A"/>
    <w:rsid w:val="2A8B03F9"/>
    <w:rsid w:val="2ACE6CEF"/>
    <w:rsid w:val="2AD068A2"/>
    <w:rsid w:val="2AEA2C6A"/>
    <w:rsid w:val="2AF23A05"/>
    <w:rsid w:val="2B38083F"/>
    <w:rsid w:val="2B3F38EE"/>
    <w:rsid w:val="2B6371BC"/>
    <w:rsid w:val="2BBC1573"/>
    <w:rsid w:val="2BD845C2"/>
    <w:rsid w:val="2C043F40"/>
    <w:rsid w:val="2C233D76"/>
    <w:rsid w:val="2C26057E"/>
    <w:rsid w:val="2C64462D"/>
    <w:rsid w:val="2C6922ED"/>
    <w:rsid w:val="2C825415"/>
    <w:rsid w:val="2C950743"/>
    <w:rsid w:val="2CB90155"/>
    <w:rsid w:val="2D212327"/>
    <w:rsid w:val="2D534468"/>
    <w:rsid w:val="2D642184"/>
    <w:rsid w:val="2D6617EA"/>
    <w:rsid w:val="2D756C96"/>
    <w:rsid w:val="2D9649FC"/>
    <w:rsid w:val="2DA27E8B"/>
    <w:rsid w:val="2DA509EF"/>
    <w:rsid w:val="2DA550B9"/>
    <w:rsid w:val="2E0038EB"/>
    <w:rsid w:val="2E16582B"/>
    <w:rsid w:val="2E1732AD"/>
    <w:rsid w:val="2E1F39EA"/>
    <w:rsid w:val="2E265AC6"/>
    <w:rsid w:val="2E2C1BCD"/>
    <w:rsid w:val="2E5C36D3"/>
    <w:rsid w:val="2E612427"/>
    <w:rsid w:val="2E7274D8"/>
    <w:rsid w:val="2EA72B99"/>
    <w:rsid w:val="2ED15F5E"/>
    <w:rsid w:val="2F263690"/>
    <w:rsid w:val="2F4B74EB"/>
    <w:rsid w:val="2FA64CBD"/>
    <w:rsid w:val="2FAB7D57"/>
    <w:rsid w:val="2FEC412C"/>
    <w:rsid w:val="2FF71242"/>
    <w:rsid w:val="30A45AD9"/>
    <w:rsid w:val="30B34A9A"/>
    <w:rsid w:val="310779A6"/>
    <w:rsid w:val="31C33672"/>
    <w:rsid w:val="31C76DC1"/>
    <w:rsid w:val="32026FA4"/>
    <w:rsid w:val="324A066D"/>
    <w:rsid w:val="326A2A76"/>
    <w:rsid w:val="327E3BC9"/>
    <w:rsid w:val="32B676AA"/>
    <w:rsid w:val="32CE2331"/>
    <w:rsid w:val="32EC6C98"/>
    <w:rsid w:val="330A1D07"/>
    <w:rsid w:val="332F00EC"/>
    <w:rsid w:val="33406722"/>
    <w:rsid w:val="335C519B"/>
    <w:rsid w:val="337323F4"/>
    <w:rsid w:val="33762E33"/>
    <w:rsid w:val="3388239A"/>
    <w:rsid w:val="33910AAB"/>
    <w:rsid w:val="339D4E8D"/>
    <w:rsid w:val="33D72119"/>
    <w:rsid w:val="33E936B8"/>
    <w:rsid w:val="33FD503F"/>
    <w:rsid w:val="340C69A8"/>
    <w:rsid w:val="341C2C0D"/>
    <w:rsid w:val="342A4065"/>
    <w:rsid w:val="344D5248"/>
    <w:rsid w:val="34500450"/>
    <w:rsid w:val="34545865"/>
    <w:rsid w:val="34553F71"/>
    <w:rsid w:val="345642BB"/>
    <w:rsid w:val="3480332C"/>
    <w:rsid w:val="349B56DA"/>
    <w:rsid w:val="34A54830"/>
    <w:rsid w:val="34BB6769"/>
    <w:rsid w:val="35041886"/>
    <w:rsid w:val="350C6264"/>
    <w:rsid w:val="352B13DA"/>
    <w:rsid w:val="35571310"/>
    <w:rsid w:val="35586D92"/>
    <w:rsid w:val="356032CA"/>
    <w:rsid w:val="35873E2B"/>
    <w:rsid w:val="358C6F45"/>
    <w:rsid w:val="35964678"/>
    <w:rsid w:val="35A62714"/>
    <w:rsid w:val="35A64880"/>
    <w:rsid w:val="35E656FC"/>
    <w:rsid w:val="36504C52"/>
    <w:rsid w:val="36925815"/>
    <w:rsid w:val="36C05CE8"/>
    <w:rsid w:val="36C37669"/>
    <w:rsid w:val="36CB52F4"/>
    <w:rsid w:val="37034BCF"/>
    <w:rsid w:val="37057D47"/>
    <w:rsid w:val="37926A3C"/>
    <w:rsid w:val="379A3395"/>
    <w:rsid w:val="37D64BA7"/>
    <w:rsid w:val="37E84E7F"/>
    <w:rsid w:val="382A1F61"/>
    <w:rsid w:val="38371749"/>
    <w:rsid w:val="383E3C29"/>
    <w:rsid w:val="38650D51"/>
    <w:rsid w:val="38802E42"/>
    <w:rsid w:val="38CE1C7C"/>
    <w:rsid w:val="38DD60E5"/>
    <w:rsid w:val="39183937"/>
    <w:rsid w:val="392100A9"/>
    <w:rsid w:val="395D1D39"/>
    <w:rsid w:val="398C67F7"/>
    <w:rsid w:val="39985283"/>
    <w:rsid w:val="39CE2B91"/>
    <w:rsid w:val="3A1066E5"/>
    <w:rsid w:val="3A1C5CD8"/>
    <w:rsid w:val="3A1D02E4"/>
    <w:rsid w:val="3A372DB1"/>
    <w:rsid w:val="3A4B38CA"/>
    <w:rsid w:val="3ADC6396"/>
    <w:rsid w:val="3AEA6164"/>
    <w:rsid w:val="3AFA1AB0"/>
    <w:rsid w:val="3B0812B6"/>
    <w:rsid w:val="3B27401A"/>
    <w:rsid w:val="3B4C253B"/>
    <w:rsid w:val="3B5E66F2"/>
    <w:rsid w:val="3B7D6FA7"/>
    <w:rsid w:val="3BA00460"/>
    <w:rsid w:val="3BF20402"/>
    <w:rsid w:val="3BFF1AFF"/>
    <w:rsid w:val="3C1C7DAA"/>
    <w:rsid w:val="3C240A39"/>
    <w:rsid w:val="3C486E74"/>
    <w:rsid w:val="3CB834AB"/>
    <w:rsid w:val="3CFA02F9"/>
    <w:rsid w:val="3D362A91"/>
    <w:rsid w:val="3D53112B"/>
    <w:rsid w:val="3D793569"/>
    <w:rsid w:val="3D801146"/>
    <w:rsid w:val="3D9F5160"/>
    <w:rsid w:val="3DCA206F"/>
    <w:rsid w:val="3DEC17A8"/>
    <w:rsid w:val="3E2C36DC"/>
    <w:rsid w:val="3E461F61"/>
    <w:rsid w:val="3E585156"/>
    <w:rsid w:val="3E65226D"/>
    <w:rsid w:val="3E9B4946"/>
    <w:rsid w:val="3EF91DD5"/>
    <w:rsid w:val="3F3E1133"/>
    <w:rsid w:val="3F4E21EB"/>
    <w:rsid w:val="3F660F7C"/>
    <w:rsid w:val="3F6A5AAC"/>
    <w:rsid w:val="3F87364A"/>
    <w:rsid w:val="4060552B"/>
    <w:rsid w:val="407F4C55"/>
    <w:rsid w:val="409A43B7"/>
    <w:rsid w:val="40CC64C5"/>
    <w:rsid w:val="41063356"/>
    <w:rsid w:val="41346290"/>
    <w:rsid w:val="415A0FC6"/>
    <w:rsid w:val="4188189B"/>
    <w:rsid w:val="41AF06D0"/>
    <w:rsid w:val="41AF64D2"/>
    <w:rsid w:val="41F149BD"/>
    <w:rsid w:val="423B08C0"/>
    <w:rsid w:val="425A2692"/>
    <w:rsid w:val="425A3B35"/>
    <w:rsid w:val="429B4749"/>
    <w:rsid w:val="42BD09F7"/>
    <w:rsid w:val="42CC7BA3"/>
    <w:rsid w:val="42D40833"/>
    <w:rsid w:val="432750C3"/>
    <w:rsid w:val="436E4F7B"/>
    <w:rsid w:val="438A06A5"/>
    <w:rsid w:val="43986F59"/>
    <w:rsid w:val="43B53021"/>
    <w:rsid w:val="43CC2FC9"/>
    <w:rsid w:val="44354FE4"/>
    <w:rsid w:val="4443049C"/>
    <w:rsid w:val="44651EC3"/>
    <w:rsid w:val="44B9194D"/>
    <w:rsid w:val="44C264D6"/>
    <w:rsid w:val="44C91BE7"/>
    <w:rsid w:val="44CE62C8"/>
    <w:rsid w:val="44D60AE5"/>
    <w:rsid w:val="44E86C39"/>
    <w:rsid w:val="45121A6A"/>
    <w:rsid w:val="451A3FB0"/>
    <w:rsid w:val="452138FB"/>
    <w:rsid w:val="452D190C"/>
    <w:rsid w:val="45300692"/>
    <w:rsid w:val="453227CA"/>
    <w:rsid w:val="453B2BD6"/>
    <w:rsid w:val="453F10B5"/>
    <w:rsid w:val="45601559"/>
    <w:rsid w:val="459D0B0F"/>
    <w:rsid w:val="45AE0F60"/>
    <w:rsid w:val="45C2721A"/>
    <w:rsid w:val="45CC3500"/>
    <w:rsid w:val="45DF5066"/>
    <w:rsid w:val="45E41922"/>
    <w:rsid w:val="45F33C53"/>
    <w:rsid w:val="45FC0CDF"/>
    <w:rsid w:val="4619280E"/>
    <w:rsid w:val="463C5640"/>
    <w:rsid w:val="46467368"/>
    <w:rsid w:val="465935F7"/>
    <w:rsid w:val="4664740A"/>
    <w:rsid w:val="46663564"/>
    <w:rsid w:val="466D2298"/>
    <w:rsid w:val="46B13C1E"/>
    <w:rsid w:val="46BB4B20"/>
    <w:rsid w:val="46BC369C"/>
    <w:rsid w:val="46C07EAC"/>
    <w:rsid w:val="46D574B3"/>
    <w:rsid w:val="46DD1652"/>
    <w:rsid w:val="46DD5DCF"/>
    <w:rsid w:val="46EA4B26"/>
    <w:rsid w:val="46FF1807"/>
    <w:rsid w:val="471A02E9"/>
    <w:rsid w:val="471B2723"/>
    <w:rsid w:val="471E20BC"/>
    <w:rsid w:val="472C018C"/>
    <w:rsid w:val="472F311B"/>
    <w:rsid w:val="472F7C42"/>
    <w:rsid w:val="47473280"/>
    <w:rsid w:val="476063A8"/>
    <w:rsid w:val="4763732D"/>
    <w:rsid w:val="47BD0CC0"/>
    <w:rsid w:val="4813491F"/>
    <w:rsid w:val="48BB2944"/>
    <w:rsid w:val="48DC5CCA"/>
    <w:rsid w:val="4913044D"/>
    <w:rsid w:val="492D26B6"/>
    <w:rsid w:val="493B1131"/>
    <w:rsid w:val="49787236"/>
    <w:rsid w:val="49822E47"/>
    <w:rsid w:val="49C05025"/>
    <w:rsid w:val="49C206CD"/>
    <w:rsid w:val="49D36B0E"/>
    <w:rsid w:val="49D670DD"/>
    <w:rsid w:val="49F74AC8"/>
    <w:rsid w:val="4A18309E"/>
    <w:rsid w:val="4A1E174D"/>
    <w:rsid w:val="4A8B1D58"/>
    <w:rsid w:val="4AA1777F"/>
    <w:rsid w:val="4AB06759"/>
    <w:rsid w:val="4AC434D5"/>
    <w:rsid w:val="4AE877A4"/>
    <w:rsid w:val="4AF70C35"/>
    <w:rsid w:val="4B2D1D01"/>
    <w:rsid w:val="4B5932AF"/>
    <w:rsid w:val="4B5B4533"/>
    <w:rsid w:val="4B816DED"/>
    <w:rsid w:val="4BD051D0"/>
    <w:rsid w:val="4BFF1BF1"/>
    <w:rsid w:val="4C18655E"/>
    <w:rsid w:val="4C2373DB"/>
    <w:rsid w:val="4C4724B5"/>
    <w:rsid w:val="4C690BA9"/>
    <w:rsid w:val="4CA24CFE"/>
    <w:rsid w:val="4CA3452B"/>
    <w:rsid w:val="4CC74B53"/>
    <w:rsid w:val="4CC83354"/>
    <w:rsid w:val="4CF94E9B"/>
    <w:rsid w:val="4D1B2CDD"/>
    <w:rsid w:val="4D1D2091"/>
    <w:rsid w:val="4D7366BB"/>
    <w:rsid w:val="4D7A49A9"/>
    <w:rsid w:val="4D8A04C7"/>
    <w:rsid w:val="4D9D16E6"/>
    <w:rsid w:val="4DC8632C"/>
    <w:rsid w:val="4DEC7761"/>
    <w:rsid w:val="4DEE4968"/>
    <w:rsid w:val="4DFB1A7F"/>
    <w:rsid w:val="4E175B2C"/>
    <w:rsid w:val="4E544D8F"/>
    <w:rsid w:val="4E575B77"/>
    <w:rsid w:val="4E657E2A"/>
    <w:rsid w:val="4EC747EB"/>
    <w:rsid w:val="4F2E5FBA"/>
    <w:rsid w:val="4F3A6B88"/>
    <w:rsid w:val="4F746E7D"/>
    <w:rsid w:val="4F805258"/>
    <w:rsid w:val="4FA61ABB"/>
    <w:rsid w:val="4FB92CDA"/>
    <w:rsid w:val="4FFA3F0B"/>
    <w:rsid w:val="500365D1"/>
    <w:rsid w:val="50145364"/>
    <w:rsid w:val="50356977"/>
    <w:rsid w:val="506A2AFE"/>
    <w:rsid w:val="50722181"/>
    <w:rsid w:val="507E179E"/>
    <w:rsid w:val="508E2496"/>
    <w:rsid w:val="50A151D6"/>
    <w:rsid w:val="50DC209F"/>
    <w:rsid w:val="50F04F55"/>
    <w:rsid w:val="517B6BAB"/>
    <w:rsid w:val="51A92185"/>
    <w:rsid w:val="51AE1E90"/>
    <w:rsid w:val="51E56BB2"/>
    <w:rsid w:val="51ED2C7A"/>
    <w:rsid w:val="52172539"/>
    <w:rsid w:val="5218783B"/>
    <w:rsid w:val="52236815"/>
    <w:rsid w:val="522D01E0"/>
    <w:rsid w:val="52463308"/>
    <w:rsid w:val="5253261E"/>
    <w:rsid w:val="52572F32"/>
    <w:rsid w:val="52595082"/>
    <w:rsid w:val="526236D6"/>
    <w:rsid w:val="526C66AB"/>
    <w:rsid w:val="526D6A4B"/>
    <w:rsid w:val="5270048E"/>
    <w:rsid w:val="52701A30"/>
    <w:rsid w:val="52740A63"/>
    <w:rsid w:val="5276328C"/>
    <w:rsid w:val="5290001A"/>
    <w:rsid w:val="52AC1DB3"/>
    <w:rsid w:val="52CD079E"/>
    <w:rsid w:val="52EC2B87"/>
    <w:rsid w:val="52EC6531"/>
    <w:rsid w:val="53135897"/>
    <w:rsid w:val="53431F26"/>
    <w:rsid w:val="53464EED"/>
    <w:rsid w:val="534863AE"/>
    <w:rsid w:val="53537446"/>
    <w:rsid w:val="53711928"/>
    <w:rsid w:val="53A8714F"/>
    <w:rsid w:val="53DA2871"/>
    <w:rsid w:val="53E83D39"/>
    <w:rsid w:val="540D7841"/>
    <w:rsid w:val="54503B87"/>
    <w:rsid w:val="54826618"/>
    <w:rsid w:val="54830856"/>
    <w:rsid w:val="54A65FEA"/>
    <w:rsid w:val="54BE7214"/>
    <w:rsid w:val="54C20D6E"/>
    <w:rsid w:val="55132A70"/>
    <w:rsid w:val="551E1FB5"/>
    <w:rsid w:val="553810DC"/>
    <w:rsid w:val="553F42EB"/>
    <w:rsid w:val="55520103"/>
    <w:rsid w:val="5562539C"/>
    <w:rsid w:val="55722F18"/>
    <w:rsid w:val="55B40A08"/>
    <w:rsid w:val="55C470C4"/>
    <w:rsid w:val="55CB46DC"/>
    <w:rsid w:val="560D20C4"/>
    <w:rsid w:val="56155247"/>
    <w:rsid w:val="56340554"/>
    <w:rsid w:val="563A7F3A"/>
    <w:rsid w:val="56657E8D"/>
    <w:rsid w:val="569671D4"/>
    <w:rsid w:val="56A57B4B"/>
    <w:rsid w:val="56A71EC9"/>
    <w:rsid w:val="56B1674B"/>
    <w:rsid w:val="56D16E45"/>
    <w:rsid w:val="56D63107"/>
    <w:rsid w:val="56D90809"/>
    <w:rsid w:val="56DC178D"/>
    <w:rsid w:val="56DE7F2C"/>
    <w:rsid w:val="57237A4E"/>
    <w:rsid w:val="572558BF"/>
    <w:rsid w:val="572834FF"/>
    <w:rsid w:val="5750754E"/>
    <w:rsid w:val="57836AA3"/>
    <w:rsid w:val="57CC4B4D"/>
    <w:rsid w:val="57E31219"/>
    <w:rsid w:val="58084DD9"/>
    <w:rsid w:val="58156012"/>
    <w:rsid w:val="58255E64"/>
    <w:rsid w:val="58421460"/>
    <w:rsid w:val="585D6312"/>
    <w:rsid w:val="58615B5E"/>
    <w:rsid w:val="58734670"/>
    <w:rsid w:val="58B00989"/>
    <w:rsid w:val="58B8109E"/>
    <w:rsid w:val="58C55C9A"/>
    <w:rsid w:val="58DD032D"/>
    <w:rsid w:val="58E7229C"/>
    <w:rsid w:val="591F64C4"/>
    <w:rsid w:val="59506C22"/>
    <w:rsid w:val="59721475"/>
    <w:rsid w:val="59754E72"/>
    <w:rsid w:val="598F587E"/>
    <w:rsid w:val="59A546D5"/>
    <w:rsid w:val="59C16CBF"/>
    <w:rsid w:val="59D949F9"/>
    <w:rsid w:val="59E81790"/>
    <w:rsid w:val="5A0D7CF5"/>
    <w:rsid w:val="5A2972F6"/>
    <w:rsid w:val="5A3F3E3E"/>
    <w:rsid w:val="5A637ED6"/>
    <w:rsid w:val="5A6F296E"/>
    <w:rsid w:val="5A7E3E82"/>
    <w:rsid w:val="5AD032C0"/>
    <w:rsid w:val="5ADE2E85"/>
    <w:rsid w:val="5ADF64A5"/>
    <w:rsid w:val="5B0630C1"/>
    <w:rsid w:val="5B1C65A1"/>
    <w:rsid w:val="5B296FC7"/>
    <w:rsid w:val="5B412CC6"/>
    <w:rsid w:val="5B625A9C"/>
    <w:rsid w:val="5B9A2661"/>
    <w:rsid w:val="5BA23FE5"/>
    <w:rsid w:val="5BC45C9D"/>
    <w:rsid w:val="5BC47FDA"/>
    <w:rsid w:val="5BD41D02"/>
    <w:rsid w:val="5BDF13FE"/>
    <w:rsid w:val="5C3B6762"/>
    <w:rsid w:val="5C414DE8"/>
    <w:rsid w:val="5C5F7C1B"/>
    <w:rsid w:val="5CA76D0B"/>
    <w:rsid w:val="5CB0091F"/>
    <w:rsid w:val="5CB01B4C"/>
    <w:rsid w:val="5CC1443C"/>
    <w:rsid w:val="5CC42F2A"/>
    <w:rsid w:val="5CD41A74"/>
    <w:rsid w:val="5CE458F6"/>
    <w:rsid w:val="5D211ED7"/>
    <w:rsid w:val="5D281862"/>
    <w:rsid w:val="5D2D376B"/>
    <w:rsid w:val="5D34380B"/>
    <w:rsid w:val="5D61408F"/>
    <w:rsid w:val="5D6E1FD6"/>
    <w:rsid w:val="5D872E41"/>
    <w:rsid w:val="5D9D17D1"/>
    <w:rsid w:val="5DA36975"/>
    <w:rsid w:val="5DC62C11"/>
    <w:rsid w:val="5DD83C04"/>
    <w:rsid w:val="5DE4329A"/>
    <w:rsid w:val="5DE434C3"/>
    <w:rsid w:val="5DFA543E"/>
    <w:rsid w:val="5E0D3F91"/>
    <w:rsid w:val="5E21199C"/>
    <w:rsid w:val="5E5B41DD"/>
    <w:rsid w:val="5EB8432C"/>
    <w:rsid w:val="5ED52822"/>
    <w:rsid w:val="5F060DF3"/>
    <w:rsid w:val="5F074777"/>
    <w:rsid w:val="5F0D2967"/>
    <w:rsid w:val="5F3D1C1A"/>
    <w:rsid w:val="5F4B7DFA"/>
    <w:rsid w:val="5F677B93"/>
    <w:rsid w:val="5FA01640"/>
    <w:rsid w:val="5FAD0307"/>
    <w:rsid w:val="5FAE6FC9"/>
    <w:rsid w:val="5FB823D8"/>
    <w:rsid w:val="5FD45FC8"/>
    <w:rsid w:val="5FE0346F"/>
    <w:rsid w:val="5FEC1758"/>
    <w:rsid w:val="60277E1F"/>
    <w:rsid w:val="60427230"/>
    <w:rsid w:val="605007D6"/>
    <w:rsid w:val="60540BD1"/>
    <w:rsid w:val="609D38C5"/>
    <w:rsid w:val="60A00B94"/>
    <w:rsid w:val="60AE592B"/>
    <w:rsid w:val="60C864D5"/>
    <w:rsid w:val="611445E7"/>
    <w:rsid w:val="61206B42"/>
    <w:rsid w:val="6137458B"/>
    <w:rsid w:val="61672B5B"/>
    <w:rsid w:val="61744BFC"/>
    <w:rsid w:val="61C3722B"/>
    <w:rsid w:val="61C60C17"/>
    <w:rsid w:val="61CA2A76"/>
    <w:rsid w:val="61E664C3"/>
    <w:rsid w:val="62481652"/>
    <w:rsid w:val="627C6DED"/>
    <w:rsid w:val="62957D4A"/>
    <w:rsid w:val="62A06421"/>
    <w:rsid w:val="62D1432C"/>
    <w:rsid w:val="62E06759"/>
    <w:rsid w:val="62F60F4D"/>
    <w:rsid w:val="63055CD6"/>
    <w:rsid w:val="634258D4"/>
    <w:rsid w:val="638013FF"/>
    <w:rsid w:val="63B7170F"/>
    <w:rsid w:val="63DC225A"/>
    <w:rsid w:val="63EF1EC0"/>
    <w:rsid w:val="64022359"/>
    <w:rsid w:val="641117A6"/>
    <w:rsid w:val="64321FE6"/>
    <w:rsid w:val="643543D3"/>
    <w:rsid w:val="643D5F57"/>
    <w:rsid w:val="646335F0"/>
    <w:rsid w:val="647933E3"/>
    <w:rsid w:val="64C85B1D"/>
    <w:rsid w:val="64CB796A"/>
    <w:rsid w:val="64DE0B89"/>
    <w:rsid w:val="65040DC9"/>
    <w:rsid w:val="652A6205"/>
    <w:rsid w:val="65322024"/>
    <w:rsid w:val="65326415"/>
    <w:rsid w:val="65472B37"/>
    <w:rsid w:val="65573321"/>
    <w:rsid w:val="65636BE4"/>
    <w:rsid w:val="656C74F3"/>
    <w:rsid w:val="65A06645"/>
    <w:rsid w:val="65A101C8"/>
    <w:rsid w:val="65B31B1D"/>
    <w:rsid w:val="65BF1FBD"/>
    <w:rsid w:val="65C243B6"/>
    <w:rsid w:val="65EF204B"/>
    <w:rsid w:val="65FB2F71"/>
    <w:rsid w:val="65FF09C9"/>
    <w:rsid w:val="66166E54"/>
    <w:rsid w:val="662B27A0"/>
    <w:rsid w:val="662D1165"/>
    <w:rsid w:val="662F7A4A"/>
    <w:rsid w:val="6674440C"/>
    <w:rsid w:val="668E68BE"/>
    <w:rsid w:val="66B52D0D"/>
    <w:rsid w:val="66E17055"/>
    <w:rsid w:val="6703068D"/>
    <w:rsid w:val="67243A8A"/>
    <w:rsid w:val="676B1EDD"/>
    <w:rsid w:val="67A06955"/>
    <w:rsid w:val="67AB721C"/>
    <w:rsid w:val="67B6480C"/>
    <w:rsid w:val="67D66196"/>
    <w:rsid w:val="68285A2D"/>
    <w:rsid w:val="6832131A"/>
    <w:rsid w:val="6861773D"/>
    <w:rsid w:val="688A6C70"/>
    <w:rsid w:val="688B3024"/>
    <w:rsid w:val="68C03209"/>
    <w:rsid w:val="68C22F3E"/>
    <w:rsid w:val="68C504EF"/>
    <w:rsid w:val="69130404"/>
    <w:rsid w:val="6940194C"/>
    <w:rsid w:val="69526E59"/>
    <w:rsid w:val="695C48DB"/>
    <w:rsid w:val="696141C0"/>
    <w:rsid w:val="69842EAC"/>
    <w:rsid w:val="69984DE2"/>
    <w:rsid w:val="69EB483D"/>
    <w:rsid w:val="69FB3DEF"/>
    <w:rsid w:val="6A1D4C2E"/>
    <w:rsid w:val="6A2244AD"/>
    <w:rsid w:val="6A3938D4"/>
    <w:rsid w:val="6A553CCF"/>
    <w:rsid w:val="6A7B419B"/>
    <w:rsid w:val="6A83288A"/>
    <w:rsid w:val="6A881455"/>
    <w:rsid w:val="6A9929F4"/>
    <w:rsid w:val="6A9E3052"/>
    <w:rsid w:val="6AA35501"/>
    <w:rsid w:val="6ABD60AB"/>
    <w:rsid w:val="6AC27CB6"/>
    <w:rsid w:val="6AD86EAE"/>
    <w:rsid w:val="6B0655A6"/>
    <w:rsid w:val="6B0F392C"/>
    <w:rsid w:val="6B5B2C32"/>
    <w:rsid w:val="6B5C2732"/>
    <w:rsid w:val="6B9F0C1C"/>
    <w:rsid w:val="6BAF4052"/>
    <w:rsid w:val="6BBF6F53"/>
    <w:rsid w:val="6BC05D24"/>
    <w:rsid w:val="6BE03743"/>
    <w:rsid w:val="6BF72930"/>
    <w:rsid w:val="6BFE212F"/>
    <w:rsid w:val="6C4D756A"/>
    <w:rsid w:val="6C6C342B"/>
    <w:rsid w:val="6C8228DD"/>
    <w:rsid w:val="6C8C1292"/>
    <w:rsid w:val="6C8C785C"/>
    <w:rsid w:val="6CAA3C5D"/>
    <w:rsid w:val="6CB978A0"/>
    <w:rsid w:val="6CBB4B25"/>
    <w:rsid w:val="6CC24750"/>
    <w:rsid w:val="6CD27D15"/>
    <w:rsid w:val="6CD9731E"/>
    <w:rsid w:val="6D064CEC"/>
    <w:rsid w:val="6D193D0C"/>
    <w:rsid w:val="6D3237E1"/>
    <w:rsid w:val="6D4379F3"/>
    <w:rsid w:val="6D4444E2"/>
    <w:rsid w:val="6D795FAF"/>
    <w:rsid w:val="6D98205C"/>
    <w:rsid w:val="6E644C28"/>
    <w:rsid w:val="6E7E66B7"/>
    <w:rsid w:val="6EB70A97"/>
    <w:rsid w:val="6EE31F40"/>
    <w:rsid w:val="6EF0505E"/>
    <w:rsid w:val="6F4F392C"/>
    <w:rsid w:val="6F99108D"/>
    <w:rsid w:val="6FCB6AF9"/>
    <w:rsid w:val="6FEC4AAF"/>
    <w:rsid w:val="7008445B"/>
    <w:rsid w:val="703B738C"/>
    <w:rsid w:val="70535758"/>
    <w:rsid w:val="70911B38"/>
    <w:rsid w:val="70D84842"/>
    <w:rsid w:val="70FE5BF1"/>
    <w:rsid w:val="710857EF"/>
    <w:rsid w:val="711F3BA7"/>
    <w:rsid w:val="7125222D"/>
    <w:rsid w:val="713F181B"/>
    <w:rsid w:val="71725BB0"/>
    <w:rsid w:val="71771D98"/>
    <w:rsid w:val="718203C8"/>
    <w:rsid w:val="71826334"/>
    <w:rsid w:val="71C315F5"/>
    <w:rsid w:val="71EA2194"/>
    <w:rsid w:val="71EC41F4"/>
    <w:rsid w:val="71FB5F28"/>
    <w:rsid w:val="71FE01A1"/>
    <w:rsid w:val="72250C3F"/>
    <w:rsid w:val="722978DD"/>
    <w:rsid w:val="727153F4"/>
    <w:rsid w:val="72737994"/>
    <w:rsid w:val="72CC4AA5"/>
    <w:rsid w:val="72F25EDF"/>
    <w:rsid w:val="7325493A"/>
    <w:rsid w:val="73350D1C"/>
    <w:rsid w:val="73360D13"/>
    <w:rsid w:val="7339643E"/>
    <w:rsid w:val="733A3E96"/>
    <w:rsid w:val="73481055"/>
    <w:rsid w:val="7375278D"/>
    <w:rsid w:val="7379242F"/>
    <w:rsid w:val="73874D0C"/>
    <w:rsid w:val="7392284C"/>
    <w:rsid w:val="73B7340A"/>
    <w:rsid w:val="741F3D8E"/>
    <w:rsid w:val="742C18BB"/>
    <w:rsid w:val="743A72BC"/>
    <w:rsid w:val="7444344F"/>
    <w:rsid w:val="74512765"/>
    <w:rsid w:val="747B5B27"/>
    <w:rsid w:val="74830121"/>
    <w:rsid w:val="74B1388C"/>
    <w:rsid w:val="74B34A12"/>
    <w:rsid w:val="74BF2DE5"/>
    <w:rsid w:val="75096690"/>
    <w:rsid w:val="75171229"/>
    <w:rsid w:val="75326747"/>
    <w:rsid w:val="755369CF"/>
    <w:rsid w:val="75832236"/>
    <w:rsid w:val="75856CD3"/>
    <w:rsid w:val="75C46D54"/>
    <w:rsid w:val="762107A3"/>
    <w:rsid w:val="76331D47"/>
    <w:rsid w:val="76352E3E"/>
    <w:rsid w:val="76447844"/>
    <w:rsid w:val="765C3ABF"/>
    <w:rsid w:val="76637BC6"/>
    <w:rsid w:val="76812E2E"/>
    <w:rsid w:val="76C762B1"/>
    <w:rsid w:val="76DF0815"/>
    <w:rsid w:val="76FF6F5C"/>
    <w:rsid w:val="77032C09"/>
    <w:rsid w:val="770D5E61"/>
    <w:rsid w:val="77247C84"/>
    <w:rsid w:val="7728238A"/>
    <w:rsid w:val="774070EB"/>
    <w:rsid w:val="77431C06"/>
    <w:rsid w:val="778B0AE0"/>
    <w:rsid w:val="778E7552"/>
    <w:rsid w:val="77966CBE"/>
    <w:rsid w:val="779934C6"/>
    <w:rsid w:val="77A26354"/>
    <w:rsid w:val="77AE0291"/>
    <w:rsid w:val="77DF4C4D"/>
    <w:rsid w:val="77F11957"/>
    <w:rsid w:val="78000461"/>
    <w:rsid w:val="780F295F"/>
    <w:rsid w:val="78364649"/>
    <w:rsid w:val="78582600"/>
    <w:rsid w:val="78747DEB"/>
    <w:rsid w:val="787C5FBD"/>
    <w:rsid w:val="788A0850"/>
    <w:rsid w:val="78A708A6"/>
    <w:rsid w:val="78B25486"/>
    <w:rsid w:val="78B93105"/>
    <w:rsid w:val="78E26708"/>
    <w:rsid w:val="792D38DD"/>
    <w:rsid w:val="79414D03"/>
    <w:rsid w:val="795D0060"/>
    <w:rsid w:val="79757554"/>
    <w:rsid w:val="79B41146"/>
    <w:rsid w:val="79C51706"/>
    <w:rsid w:val="79FE61B3"/>
    <w:rsid w:val="7A27367F"/>
    <w:rsid w:val="7A5539C0"/>
    <w:rsid w:val="7A8934DE"/>
    <w:rsid w:val="7AAC5052"/>
    <w:rsid w:val="7AB236D8"/>
    <w:rsid w:val="7AB77B60"/>
    <w:rsid w:val="7ACC6629"/>
    <w:rsid w:val="7AD13F8D"/>
    <w:rsid w:val="7AF06E21"/>
    <w:rsid w:val="7B1A49CA"/>
    <w:rsid w:val="7B1C0710"/>
    <w:rsid w:val="7B342B8E"/>
    <w:rsid w:val="7B3F76CC"/>
    <w:rsid w:val="7B9671CE"/>
    <w:rsid w:val="7B9E64CF"/>
    <w:rsid w:val="7BA61D17"/>
    <w:rsid w:val="7BA93D77"/>
    <w:rsid w:val="7BDD1513"/>
    <w:rsid w:val="7BF839F0"/>
    <w:rsid w:val="7C0A6040"/>
    <w:rsid w:val="7C3433D9"/>
    <w:rsid w:val="7C7A0AC6"/>
    <w:rsid w:val="7CEB39AF"/>
    <w:rsid w:val="7D5F45BC"/>
    <w:rsid w:val="7D6D2F93"/>
    <w:rsid w:val="7D830F78"/>
    <w:rsid w:val="7DBB567F"/>
    <w:rsid w:val="7DCF51A7"/>
    <w:rsid w:val="7DF852E9"/>
    <w:rsid w:val="7E32369A"/>
    <w:rsid w:val="7E562A32"/>
    <w:rsid w:val="7EA96B5C"/>
    <w:rsid w:val="7EAD7761"/>
    <w:rsid w:val="7EC0468D"/>
    <w:rsid w:val="7ECC360D"/>
    <w:rsid w:val="7F117485"/>
    <w:rsid w:val="7F3B7C4B"/>
    <w:rsid w:val="7F55743B"/>
    <w:rsid w:val="7F63180E"/>
    <w:rsid w:val="7F8F0C95"/>
    <w:rsid w:val="7FAB11F7"/>
    <w:rsid w:val="7FB73496"/>
    <w:rsid w:val="7FCD0EBD"/>
    <w:rsid w:val="7FEC2C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AutoShape 216"/>
        <o:r id="V:Rule2" type="connector" idref="#AutoShape 213"/>
        <o:r id="V:Rule3" type="connector" idref="#AutoShape 215"/>
        <o:r id="V:Rule4" type="connector" idref="#AutoShape 212"/>
        <o:r id="V:Rule5" type="connector" idref="#自选图形 200"/>
        <o:r id="V:Rule6" type="connector" idref="#自选图形 168"/>
        <o:r id="V:Rule7" type="connector" idref="#自选图形 198"/>
        <o:r id="V:Rule8" type="connector" idref="#自选图形 169"/>
        <o:r id="V:Rule9" type="connector" idref="#自选图形 199"/>
        <o:r id="V:Rule10" type="connector" idref="#自选图形 197"/>
        <o:r id="V:Rule11" type="connector" idref="#自选图形 167"/>
        <o:r id="V:Rule12" type="connector" idref="#自选图形 171"/>
        <o:r id="V:Rule13" type="connector" idref="#自选图形 160"/>
        <o:r id="V:Rule14" type="connector" idref="#自选图形 216"/>
        <o:r id="V:Rule15" type="connector" idref="#自选图形 196"/>
        <o:r id="V:Rule16" type="connector" idref="#自选图形 166"/>
        <o:r id="V:Rule17" type="connector" idref="#自选图形 158"/>
        <o:r id="V:Rule18" type="connector" idref="#自选图形 195"/>
        <o:r id="V:Rule19" type="connector" idref="#自选图形 210"/>
        <o:r id="V:Rule20" type="connector" idref="#自选图形 191"/>
        <o:r id="V:Rule21" type="connector" idref="#自选图形 157"/>
        <o:r id="V:Rule22" type="connector" idref="#自选图形 150"/>
        <o:r id="V:Rule23" type="connector" idref="#自选图形 209"/>
        <o:r id="V:Rule24" type="connector" idref="#自选图形 211"/>
        <o:r id="V:Rule25" type="connector" idref="#自选图形 164"/>
        <o:r id="V:Rule26" type="connector" idref="#自选图形 190"/>
        <o:r id="V:Rule27" type="connector" idref="#自选图形 192"/>
        <o:r id="V:Rule28" type="connector" idref="#自选图形 170"/>
        <o:r id="V:Rule29" type="connector" idref="#自选图形 165"/>
        <o:r id="V:Rule30" type="connector" idref="#AutoShape 191"/>
        <o:r id="V:Rule31" type="connector" idref="#AutoShape 192"/>
        <o:r id="V:Rule32" type="connector" idref="#自选图形 152"/>
        <o:r id="V:Rule33" type="connector" idref="#自选图形 148"/>
        <o:r id="V:Rule34" type="connector" idref="#自选图形 155"/>
        <o:r id="V:Rule35" type="connector" idref="#自选图形 193"/>
        <o:r id="V:Rule36" type="connector" idref="#自选图形 208"/>
        <o:r id="V:Rule37" type="connector" idref="#AutoShape 20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outlineLvl w:val="0"/>
    </w:pPr>
    <w:rPr>
      <w:sz w:val="28"/>
    </w:rPr>
  </w:style>
  <w:style w:type="paragraph" w:styleId="3">
    <w:name w:val="heading 2"/>
    <w:basedOn w:val="1"/>
    <w:next w:val="1"/>
    <w:link w:val="227"/>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84"/>
    <w:qFormat/>
    <w:uiPriority w:val="0"/>
    <w:pPr>
      <w:keepNext/>
      <w:keepLines/>
      <w:spacing w:before="260" w:after="260" w:line="413" w:lineRule="auto"/>
      <w:outlineLvl w:val="2"/>
    </w:pPr>
    <w:rPr>
      <w:b/>
      <w:sz w:val="32"/>
    </w:rPr>
  </w:style>
  <w:style w:type="character" w:default="1" w:styleId="35">
    <w:name w:val="Default Paragraph Font"/>
    <w:unhideWhenUsed/>
    <w:qFormat/>
    <w:uiPriority w:val="1"/>
  </w:style>
  <w:style w:type="table" w:default="1" w:styleId="42">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qFormat/>
    <w:uiPriority w:val="0"/>
    <w:rPr>
      <w:b/>
    </w:rPr>
  </w:style>
  <w:style w:type="paragraph" w:styleId="6">
    <w:name w:val="annotation text"/>
    <w:basedOn w:val="1"/>
    <w:link w:val="100"/>
    <w:qFormat/>
    <w:uiPriority w:val="0"/>
    <w:pPr>
      <w:jc w:val="left"/>
    </w:pPr>
  </w:style>
  <w:style w:type="paragraph" w:styleId="7">
    <w:name w:val="Body Text First Indent"/>
    <w:basedOn w:val="8"/>
    <w:link w:val="93"/>
    <w:qFormat/>
    <w:uiPriority w:val="0"/>
    <w:pPr>
      <w:overflowPunct w:val="0"/>
      <w:autoSpaceDE w:val="0"/>
      <w:autoSpaceDN w:val="0"/>
      <w:adjustRightInd w:val="0"/>
      <w:spacing w:line="360" w:lineRule="auto"/>
      <w:ind w:firstLine="539"/>
      <w:textAlignment w:val="baseline"/>
    </w:pPr>
    <w:rPr>
      <w:kern w:val="0"/>
    </w:rPr>
  </w:style>
  <w:style w:type="paragraph" w:styleId="8">
    <w:name w:val="Body Text"/>
    <w:basedOn w:val="1"/>
    <w:link w:val="81"/>
    <w:qFormat/>
    <w:uiPriority w:val="0"/>
    <w:rPr>
      <w:sz w:val="28"/>
    </w:rPr>
  </w:style>
  <w:style w:type="paragraph" w:styleId="9">
    <w:name w:val="Normal Indent"/>
    <w:basedOn w:val="1"/>
    <w:link w:val="65"/>
    <w:qFormat/>
    <w:uiPriority w:val="0"/>
    <w:pPr>
      <w:adjustRightInd w:val="0"/>
      <w:spacing w:line="312" w:lineRule="atLeast"/>
      <w:textAlignment w:val="baseline"/>
    </w:pPr>
    <w:rPr>
      <w:kern w:val="0"/>
      <w:sz w:val="28"/>
    </w:rPr>
  </w:style>
  <w:style w:type="paragraph" w:styleId="10">
    <w:name w:val="caption"/>
    <w:basedOn w:val="1"/>
    <w:next w:val="1"/>
    <w:qFormat/>
    <w:uiPriority w:val="0"/>
    <w:rPr>
      <w:rFonts w:ascii="Arial" w:hAnsi="Arial" w:eastAsia="黑体"/>
      <w:sz w:val="20"/>
    </w:rPr>
  </w:style>
  <w:style w:type="paragraph" w:styleId="11">
    <w:name w:val="Document Map"/>
    <w:basedOn w:val="1"/>
    <w:qFormat/>
    <w:uiPriority w:val="0"/>
    <w:pPr>
      <w:shd w:val="clear" w:color="auto" w:fill="000080"/>
    </w:pPr>
  </w:style>
  <w:style w:type="paragraph" w:styleId="12">
    <w:name w:val="Salutation"/>
    <w:basedOn w:val="1"/>
    <w:next w:val="1"/>
    <w:qFormat/>
    <w:uiPriority w:val="0"/>
    <w:rPr>
      <w:sz w:val="28"/>
    </w:rPr>
  </w:style>
  <w:style w:type="paragraph" w:styleId="13">
    <w:name w:val="Body Text 3"/>
    <w:basedOn w:val="1"/>
    <w:qFormat/>
    <w:uiPriority w:val="0"/>
    <w:rPr>
      <w:sz w:val="18"/>
    </w:rPr>
  </w:style>
  <w:style w:type="paragraph" w:styleId="14">
    <w:name w:val="Body Text Indent"/>
    <w:basedOn w:val="1"/>
    <w:qFormat/>
    <w:uiPriority w:val="0"/>
    <w:pPr>
      <w:spacing w:line="480" w:lineRule="exact"/>
      <w:ind w:firstLine="560"/>
    </w:pPr>
    <w:rPr>
      <w:rFonts w:ascii="宋体" w:hAnsi="宋体"/>
      <w:sz w:val="28"/>
    </w:rPr>
  </w:style>
  <w:style w:type="paragraph" w:styleId="15">
    <w:name w:val="List 2"/>
    <w:basedOn w:val="1"/>
    <w:qFormat/>
    <w:uiPriority w:val="0"/>
    <w:pPr>
      <w:ind w:left="100" w:leftChars="200" w:hanging="200" w:hangingChars="200"/>
    </w:pPr>
  </w:style>
  <w:style w:type="paragraph" w:styleId="16">
    <w:name w:val="Block Text"/>
    <w:basedOn w:val="1"/>
    <w:qFormat/>
    <w:uiPriority w:val="0"/>
    <w:pPr>
      <w:spacing w:after="120"/>
      <w:ind w:left="1440" w:right="1440"/>
    </w:pPr>
  </w:style>
  <w:style w:type="paragraph" w:styleId="17">
    <w:name w:val="toc 3"/>
    <w:basedOn w:val="1"/>
    <w:next w:val="1"/>
    <w:qFormat/>
    <w:uiPriority w:val="0"/>
    <w:pPr>
      <w:tabs>
        <w:tab w:val="right" w:leader="dot" w:pos="9060"/>
      </w:tabs>
      <w:spacing w:line="360" w:lineRule="auto"/>
      <w:ind w:left="105" w:leftChars="50"/>
    </w:pPr>
  </w:style>
  <w:style w:type="paragraph" w:styleId="18">
    <w:name w:val="Plain Text"/>
    <w:basedOn w:val="1"/>
    <w:link w:val="86"/>
    <w:qFormat/>
    <w:uiPriority w:val="0"/>
    <w:rPr>
      <w:rFonts w:ascii="宋体" w:hAnsi="Courier New"/>
    </w:rPr>
  </w:style>
  <w:style w:type="paragraph" w:styleId="19">
    <w:name w:val="Date"/>
    <w:basedOn w:val="1"/>
    <w:next w:val="1"/>
    <w:qFormat/>
    <w:uiPriority w:val="0"/>
    <w:rPr>
      <w:rFonts w:hint="eastAsia" w:ascii="宋体"/>
      <w:sz w:val="24"/>
    </w:rPr>
  </w:style>
  <w:style w:type="paragraph" w:styleId="20">
    <w:name w:val="Body Text Indent 2"/>
    <w:basedOn w:val="1"/>
    <w:qFormat/>
    <w:uiPriority w:val="0"/>
    <w:pPr>
      <w:spacing w:line="480" w:lineRule="exact"/>
      <w:ind w:firstLine="539"/>
    </w:pPr>
    <w:rPr>
      <w:rFonts w:ascii="宋体" w:hAnsi="宋体"/>
      <w:sz w:val="28"/>
    </w:rPr>
  </w:style>
  <w:style w:type="paragraph" w:styleId="21">
    <w:name w:val="Balloon Text"/>
    <w:basedOn w:val="1"/>
    <w:qFormat/>
    <w:uiPriority w:val="0"/>
    <w:rPr>
      <w:sz w:val="18"/>
    </w:rPr>
  </w:style>
  <w:style w:type="paragraph" w:styleId="22">
    <w:name w:val="footer"/>
    <w:basedOn w:val="1"/>
    <w:link w:val="48"/>
    <w:qFormat/>
    <w:uiPriority w:val="0"/>
    <w:pPr>
      <w:tabs>
        <w:tab w:val="center" w:pos="4153"/>
        <w:tab w:val="right" w:pos="8306"/>
      </w:tabs>
      <w:snapToGrid w:val="0"/>
      <w:jc w:val="left"/>
    </w:pPr>
    <w:rPr>
      <w:sz w:val="18"/>
    </w:rPr>
  </w:style>
  <w:style w:type="paragraph" w:styleId="23">
    <w:name w:val="Body Text First Indent 2"/>
    <w:basedOn w:val="14"/>
    <w:qFormat/>
    <w:uiPriority w:val="0"/>
    <w:pPr>
      <w:spacing w:after="120" w:line="240" w:lineRule="auto"/>
      <w:ind w:left="420" w:leftChars="200" w:firstLine="420" w:firstLineChars="200"/>
    </w:pPr>
    <w:rPr>
      <w:rFonts w:ascii="Times New Roman" w:hAnsi="Times New Roman"/>
      <w:sz w:val="21"/>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rPr>
  </w:style>
  <w:style w:type="paragraph" w:styleId="25">
    <w:name w:val="toc 1"/>
    <w:basedOn w:val="1"/>
    <w:next w:val="1"/>
    <w:qFormat/>
    <w:uiPriority w:val="39"/>
    <w:pPr>
      <w:spacing w:before="120" w:after="120"/>
      <w:jc w:val="left"/>
    </w:pPr>
    <w:rPr>
      <w:rFonts w:ascii="宋体" w:hAnsi="宋体"/>
      <w:caps/>
      <w:sz w:val="24"/>
    </w:rPr>
  </w:style>
  <w:style w:type="paragraph" w:styleId="26">
    <w:name w:val="toc 4"/>
    <w:basedOn w:val="1"/>
    <w:next w:val="1"/>
    <w:qFormat/>
    <w:uiPriority w:val="0"/>
    <w:pPr>
      <w:ind w:left="1260" w:leftChars="600"/>
    </w:pPr>
  </w:style>
  <w:style w:type="paragraph" w:styleId="27">
    <w:name w:val="Subtitle"/>
    <w:basedOn w:val="1"/>
    <w:next w:val="1"/>
    <w:link w:val="52"/>
    <w:qFormat/>
    <w:uiPriority w:val="11"/>
    <w:pPr>
      <w:spacing w:line="300" w:lineRule="auto"/>
      <w:jc w:val="center"/>
      <w:outlineLvl w:val="1"/>
    </w:pPr>
    <w:rPr>
      <w:b/>
      <w:bCs/>
      <w:kern w:val="28"/>
      <w:szCs w:val="32"/>
    </w:rPr>
  </w:style>
  <w:style w:type="paragraph" w:styleId="28">
    <w:name w:val="List"/>
    <w:basedOn w:val="1"/>
    <w:qFormat/>
    <w:uiPriority w:val="0"/>
    <w:pPr>
      <w:spacing w:before="60"/>
      <w:ind w:left="420" w:hanging="420"/>
    </w:pPr>
    <w:rPr>
      <w:rFonts w:ascii="Arial" w:hAnsi="Arial" w:eastAsia="仿宋_GB2312"/>
      <w:kern w:val="0"/>
      <w:sz w:val="24"/>
    </w:rPr>
  </w:style>
  <w:style w:type="paragraph" w:styleId="29">
    <w:name w:val="Body Text Indent 3"/>
    <w:basedOn w:val="1"/>
    <w:qFormat/>
    <w:uiPriority w:val="0"/>
    <w:pPr>
      <w:spacing w:line="460" w:lineRule="exact"/>
      <w:ind w:firstLine="540"/>
    </w:pPr>
    <w:rPr>
      <w:sz w:val="28"/>
    </w:rPr>
  </w:style>
  <w:style w:type="paragraph" w:styleId="30">
    <w:name w:val="toc 2"/>
    <w:basedOn w:val="1"/>
    <w:next w:val="1"/>
    <w:qFormat/>
    <w:uiPriority w:val="0"/>
    <w:pPr>
      <w:ind w:left="420" w:leftChars="200"/>
    </w:pPr>
    <w:rPr>
      <w:sz w:val="32"/>
    </w:rPr>
  </w:style>
  <w:style w:type="paragraph" w:styleId="31">
    <w:name w:val="Body Text 2"/>
    <w:basedOn w:val="1"/>
    <w:link w:val="99"/>
    <w:qFormat/>
    <w:uiPriority w:val="0"/>
    <w:rPr>
      <w:sz w:val="24"/>
    </w:rPr>
  </w:style>
  <w:style w:type="paragraph" w:styleId="3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3">
    <w:name w:val="Normal (Web)"/>
    <w:basedOn w:val="1"/>
    <w:qFormat/>
    <w:uiPriority w:val="0"/>
    <w:pPr>
      <w:widowControl/>
      <w:spacing w:before="100" w:beforeAutospacing="1" w:after="100" w:afterAutospacing="1"/>
      <w:jc w:val="left"/>
    </w:pPr>
    <w:rPr>
      <w:rFonts w:ascii="宋体" w:hAnsi="宋体"/>
      <w:kern w:val="0"/>
      <w:sz w:val="24"/>
    </w:rPr>
  </w:style>
  <w:style w:type="paragraph" w:styleId="34">
    <w:name w:val="index 1"/>
    <w:basedOn w:val="1"/>
    <w:next w:val="1"/>
    <w:qFormat/>
    <w:uiPriority w:val="0"/>
    <w:pPr>
      <w:spacing w:line="520" w:lineRule="exact"/>
    </w:pPr>
    <w:rPr>
      <w:rFonts w:eastAsia="仿宋_GB2312"/>
      <w:sz w:val="24"/>
    </w:rPr>
  </w:style>
  <w:style w:type="character" w:styleId="36">
    <w:name w:val="Strong"/>
    <w:qFormat/>
    <w:uiPriority w:val="0"/>
    <w:rPr>
      <w:b/>
    </w:rPr>
  </w:style>
  <w:style w:type="character" w:styleId="37">
    <w:name w:val="page number"/>
    <w:qFormat/>
    <w:uiPriority w:val="0"/>
    <w:rPr>
      <w:rFonts w:ascii="宋体" w:hAnsi="宋体" w:eastAsia="宋体"/>
    </w:rPr>
  </w:style>
  <w:style w:type="character" w:styleId="38">
    <w:name w:val="FollowedHyperlink"/>
    <w:qFormat/>
    <w:uiPriority w:val="0"/>
    <w:rPr>
      <w:color w:val="800080"/>
      <w:u w:val="single"/>
    </w:rPr>
  </w:style>
  <w:style w:type="character" w:styleId="39">
    <w:name w:val="Emphasis"/>
    <w:qFormat/>
    <w:uiPriority w:val="0"/>
    <w:rPr>
      <w:i/>
    </w:rPr>
  </w:style>
  <w:style w:type="character" w:styleId="40">
    <w:name w:val="Hyperlink"/>
    <w:qFormat/>
    <w:uiPriority w:val="99"/>
    <w:rPr>
      <w:color w:val="3366CC"/>
      <w:u w:val="single"/>
    </w:rPr>
  </w:style>
  <w:style w:type="character" w:styleId="41">
    <w:name w:val="annotation reference"/>
    <w:qFormat/>
    <w:uiPriority w:val="99"/>
    <w:rPr>
      <w:sz w:val="21"/>
    </w:rPr>
  </w:style>
  <w:style w:type="table" w:styleId="43">
    <w:name w:val="Table Grid"/>
    <w:basedOn w:val="42"/>
    <w:unhideWhenUse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44">
    <w:name w:val="font11"/>
    <w:qFormat/>
    <w:uiPriority w:val="0"/>
    <w:rPr>
      <w:rFonts w:hint="eastAsia" w:ascii="宋体" w:hAnsi="宋体" w:eastAsia="宋体" w:cs="宋体"/>
      <w:color w:val="000000"/>
      <w:sz w:val="21"/>
      <w:szCs w:val="21"/>
      <w:u w:val="none"/>
    </w:rPr>
  </w:style>
  <w:style w:type="character" w:customStyle="1" w:styleId="45">
    <w:name w:val="正文文字 Char Char"/>
    <w:link w:val="46"/>
    <w:qFormat/>
    <w:uiPriority w:val="0"/>
    <w:rPr>
      <w:kern w:val="2"/>
      <w:sz w:val="24"/>
    </w:rPr>
  </w:style>
  <w:style w:type="paragraph" w:customStyle="1" w:styleId="46">
    <w:name w:val="正文文字"/>
    <w:basedOn w:val="9"/>
    <w:link w:val="45"/>
    <w:qFormat/>
    <w:uiPriority w:val="0"/>
    <w:pPr>
      <w:snapToGrid w:val="0"/>
      <w:spacing w:line="440" w:lineRule="exact"/>
      <w:ind w:firstLine="200" w:firstLineChars="200"/>
      <w:textAlignment w:val="auto"/>
    </w:pPr>
    <w:rPr>
      <w:kern w:val="2"/>
      <w:sz w:val="24"/>
    </w:rPr>
  </w:style>
  <w:style w:type="character" w:customStyle="1" w:styleId="47">
    <w:name w:val="number"/>
    <w:basedOn w:val="35"/>
    <w:qFormat/>
    <w:uiPriority w:val="0"/>
  </w:style>
  <w:style w:type="character" w:customStyle="1" w:styleId="48">
    <w:name w:val="页脚 Char"/>
    <w:link w:val="22"/>
    <w:qFormat/>
    <w:uiPriority w:val="0"/>
    <w:rPr>
      <w:kern w:val="2"/>
      <w:sz w:val="18"/>
    </w:rPr>
  </w:style>
  <w:style w:type="character" w:customStyle="1" w:styleId="49">
    <w:name w:val="文章正文样式 Char Char Char"/>
    <w:qFormat/>
    <w:uiPriority w:val="0"/>
    <w:rPr>
      <w:rFonts w:ascii="宋体" w:hAnsi="宋体" w:eastAsia="宋体"/>
      <w:kern w:val="2"/>
      <w:sz w:val="24"/>
      <w:lang w:val="en-US" w:eastAsia="zh-CN"/>
    </w:rPr>
  </w:style>
  <w:style w:type="character" w:customStyle="1" w:styleId="50">
    <w:name w:val="text_new"/>
    <w:basedOn w:val="35"/>
    <w:qFormat/>
    <w:uiPriority w:val="0"/>
  </w:style>
  <w:style w:type="character" w:customStyle="1" w:styleId="51">
    <w:name w:val="宗兴正文 Char Char"/>
    <w:qFormat/>
    <w:uiPriority w:val="0"/>
    <w:rPr>
      <w:rFonts w:eastAsia="宋体"/>
      <w:kern w:val="2"/>
      <w:sz w:val="24"/>
      <w:lang w:val="en-US" w:eastAsia="zh-CN"/>
    </w:rPr>
  </w:style>
  <w:style w:type="character" w:customStyle="1" w:styleId="52">
    <w:name w:val="副标题 Char"/>
    <w:link w:val="27"/>
    <w:qFormat/>
    <w:uiPriority w:val="11"/>
    <w:rPr>
      <w:b/>
      <w:bCs/>
      <w:kern w:val="28"/>
      <w:sz w:val="21"/>
      <w:szCs w:val="32"/>
    </w:rPr>
  </w:style>
  <w:style w:type="character" w:customStyle="1" w:styleId="53">
    <w:name w:val="表头 Char"/>
    <w:link w:val="54"/>
    <w:qFormat/>
    <w:uiPriority w:val="0"/>
    <w:rPr>
      <w:rFonts w:eastAsia="黑体"/>
      <w:spacing w:val="-10"/>
      <w:sz w:val="21"/>
    </w:rPr>
  </w:style>
  <w:style w:type="paragraph" w:customStyle="1" w:styleId="54">
    <w:name w:val="表头"/>
    <w:basedOn w:val="55"/>
    <w:link w:val="53"/>
    <w:qFormat/>
    <w:uiPriority w:val="0"/>
    <w:pPr>
      <w:adjustRightInd w:val="0"/>
      <w:spacing w:line="320" w:lineRule="atLeast"/>
      <w:jc w:val="center"/>
      <w:textAlignment w:val="baseline"/>
    </w:pPr>
    <w:rPr>
      <w:rFonts w:eastAsia="黑体"/>
      <w:spacing w:val="-10"/>
      <w:kern w:val="0"/>
      <w:sz w:val="21"/>
    </w:rPr>
  </w:style>
  <w:style w:type="paragraph" w:customStyle="1" w:styleId="55">
    <w:name w:val="报告正文"/>
    <w:basedOn w:val="1"/>
    <w:qFormat/>
    <w:uiPriority w:val="0"/>
    <w:pPr>
      <w:spacing w:line="360" w:lineRule="auto"/>
      <w:ind w:firstLine="200" w:firstLineChars="200"/>
    </w:pPr>
    <w:rPr>
      <w:sz w:val="24"/>
    </w:rPr>
  </w:style>
  <w:style w:type="character" w:customStyle="1" w:styleId="56">
    <w:name w:val="正文01 Char"/>
    <w:link w:val="57"/>
    <w:qFormat/>
    <w:uiPriority w:val="0"/>
    <w:rPr>
      <w:kern w:val="2"/>
      <w:sz w:val="24"/>
    </w:rPr>
  </w:style>
  <w:style w:type="paragraph" w:customStyle="1" w:styleId="57">
    <w:name w:val="正文01"/>
    <w:basedOn w:val="1"/>
    <w:link w:val="56"/>
    <w:qFormat/>
    <w:uiPriority w:val="0"/>
    <w:pPr>
      <w:spacing w:before="60" w:line="460" w:lineRule="exact"/>
      <w:ind w:firstLine="200" w:firstLineChars="200"/>
    </w:pPr>
    <w:rPr>
      <w:sz w:val="24"/>
    </w:rPr>
  </w:style>
  <w:style w:type="character" w:customStyle="1" w:styleId="58">
    <w:name w:val="postbody1"/>
    <w:qFormat/>
    <w:uiPriority w:val="0"/>
    <w:rPr>
      <w:sz w:val="21"/>
    </w:rPr>
  </w:style>
  <w:style w:type="character" w:customStyle="1" w:styleId="59">
    <w:name w:val="标题 2 Char Char"/>
    <w:qFormat/>
    <w:uiPriority w:val="0"/>
    <w:rPr>
      <w:rFonts w:eastAsia="宋体"/>
      <w:b/>
      <w:snapToGrid w:val="0"/>
      <w:kern w:val="24"/>
      <w:sz w:val="28"/>
      <w:lang w:val="en-US" w:eastAsia="zh-CN" w:bidi="ar-SA"/>
    </w:rPr>
  </w:style>
  <w:style w:type="character" w:customStyle="1" w:styleId="60">
    <w:name w:val="岳阳市正文"/>
    <w:qFormat/>
    <w:uiPriority w:val="0"/>
    <w:rPr>
      <w:rFonts w:ascii="宋体" w:hAnsi="宋体" w:eastAsia="宋体"/>
      <w:sz w:val="24"/>
    </w:rPr>
  </w:style>
  <w:style w:type="character" w:customStyle="1" w:styleId="61">
    <w:name w:val="HTML Markup"/>
    <w:qFormat/>
    <w:uiPriority w:val="0"/>
    <w:rPr>
      <w:vanish/>
      <w:color w:val="FF0000"/>
    </w:rPr>
  </w:style>
  <w:style w:type="character" w:customStyle="1" w:styleId="62">
    <w:name w:val="题注 Char Char1 Char Char Char Char C"/>
    <w:qFormat/>
    <w:uiPriority w:val="0"/>
    <w:rPr>
      <w:rFonts w:ascii="Arial" w:hAnsi="Arial" w:eastAsia="宋体"/>
      <w:kern w:val="2"/>
      <w:sz w:val="24"/>
      <w:lang w:val="en-US" w:eastAsia="zh-CN"/>
    </w:rPr>
  </w:style>
  <w:style w:type="character" w:customStyle="1" w:styleId="63">
    <w:name w:val="apple-style-span"/>
    <w:basedOn w:val="35"/>
    <w:qFormat/>
    <w:uiPriority w:val="0"/>
  </w:style>
  <w:style w:type="character" w:customStyle="1" w:styleId="64">
    <w:name w:val="文章正文样式 Char Char"/>
    <w:qFormat/>
    <w:uiPriority w:val="0"/>
    <w:rPr>
      <w:rFonts w:ascii="宋体" w:hAnsi="宋体" w:eastAsia="宋体"/>
      <w:kern w:val="2"/>
      <w:sz w:val="24"/>
      <w:lang w:val="en-US" w:eastAsia="zh-CN"/>
    </w:rPr>
  </w:style>
  <w:style w:type="character" w:customStyle="1" w:styleId="65">
    <w:name w:val="正文缩进 Char"/>
    <w:link w:val="9"/>
    <w:qFormat/>
    <w:uiPriority w:val="0"/>
    <w:rPr>
      <w:rFonts w:eastAsia="宋体"/>
      <w:sz w:val="28"/>
      <w:lang w:val="en-US" w:eastAsia="zh-CN"/>
    </w:rPr>
  </w:style>
  <w:style w:type="character" w:customStyle="1" w:styleId="66">
    <w:name w:val="font71"/>
    <w:qFormat/>
    <w:uiPriority w:val="0"/>
    <w:rPr>
      <w:rFonts w:hint="eastAsia" w:ascii="宋体" w:hAnsi="宋体" w:eastAsia="宋体" w:cs="宋体"/>
      <w:color w:val="000000"/>
      <w:sz w:val="21"/>
      <w:szCs w:val="21"/>
      <w:u w:val="none"/>
    </w:rPr>
  </w:style>
  <w:style w:type="character" w:customStyle="1" w:styleId="67">
    <w:name w:val="font01"/>
    <w:qFormat/>
    <w:uiPriority w:val="0"/>
    <w:rPr>
      <w:rFonts w:hint="default" w:ascii="Times New Roman" w:hAnsi="Times New Roman" w:cs="Times New Roman"/>
      <w:color w:val="000000"/>
      <w:sz w:val="21"/>
      <w:szCs w:val="21"/>
      <w:u w:val="none"/>
    </w:rPr>
  </w:style>
  <w:style w:type="character" w:customStyle="1" w:styleId="68">
    <w:name w:val="font21"/>
    <w:qFormat/>
    <w:uiPriority w:val="0"/>
    <w:rPr>
      <w:rFonts w:hint="default" w:ascii="Times New Roman" w:hAnsi="Times New Roman" w:cs="Times New Roman"/>
      <w:color w:val="000000"/>
      <w:sz w:val="21"/>
      <w:szCs w:val="21"/>
      <w:u w:val="none"/>
    </w:rPr>
  </w:style>
  <w:style w:type="character" w:customStyle="1" w:styleId="69">
    <w:name w:val="font61"/>
    <w:qFormat/>
    <w:uiPriority w:val="0"/>
    <w:rPr>
      <w:rFonts w:hint="eastAsia" w:ascii="宋体" w:hAnsi="宋体" w:eastAsia="宋体" w:cs="宋体"/>
      <w:b/>
      <w:color w:val="000000"/>
      <w:sz w:val="20"/>
      <w:szCs w:val="20"/>
      <w:u w:val="none"/>
    </w:rPr>
  </w:style>
  <w:style w:type="character" w:customStyle="1" w:styleId="70">
    <w:name w:val="真宗兴正文 Char Char"/>
    <w:qFormat/>
    <w:uiPriority w:val="0"/>
    <w:rPr>
      <w:rFonts w:eastAsia="宋体"/>
      <w:kern w:val="2"/>
      <w:sz w:val="24"/>
      <w:lang w:val="en-US" w:eastAsia="zh-CN"/>
    </w:rPr>
  </w:style>
  <w:style w:type="character" w:customStyle="1" w:styleId="71">
    <w:name w:val="ww1"/>
    <w:basedOn w:val="35"/>
    <w:qFormat/>
    <w:uiPriority w:val="0"/>
  </w:style>
  <w:style w:type="character" w:customStyle="1" w:styleId="72">
    <w:name w:val="表名 Char Char"/>
    <w:qFormat/>
    <w:uiPriority w:val="0"/>
    <w:rPr>
      <w:rFonts w:eastAsia="黑体"/>
      <w:sz w:val="24"/>
    </w:rPr>
  </w:style>
  <w:style w:type="character" w:customStyle="1" w:styleId="73">
    <w:name w:val="Char Char Char Char1"/>
    <w:qFormat/>
    <w:uiPriority w:val="0"/>
    <w:rPr>
      <w:rFonts w:ascii="宋体" w:hAnsi="宋体" w:eastAsia="宋体"/>
      <w:kern w:val="2"/>
      <w:sz w:val="24"/>
      <w:lang w:val="en-US" w:eastAsia="zh-CN"/>
    </w:rPr>
  </w:style>
  <w:style w:type="character" w:customStyle="1" w:styleId="74">
    <w:name w:val="li_正文 Char Char Char Char"/>
    <w:qFormat/>
    <w:uiPriority w:val="0"/>
    <w:rPr>
      <w:rFonts w:eastAsia="宋体"/>
      <w:kern w:val="2"/>
      <w:sz w:val="28"/>
      <w:lang w:val="en-US" w:eastAsia="zh-CN"/>
    </w:rPr>
  </w:style>
  <w:style w:type="character" w:customStyle="1" w:styleId="75">
    <w:name w:val="font1"/>
    <w:basedOn w:val="35"/>
    <w:qFormat/>
    <w:uiPriority w:val="0"/>
  </w:style>
  <w:style w:type="character" w:customStyle="1" w:styleId="76">
    <w:name w:val="报告表  段 Char Char"/>
    <w:qFormat/>
    <w:uiPriority w:val="0"/>
    <w:rPr>
      <w:rFonts w:ascii="宋体" w:eastAsia="宋体"/>
      <w:sz w:val="24"/>
      <w:lang w:val="en-US" w:eastAsia="zh-CN"/>
    </w:rPr>
  </w:style>
  <w:style w:type="character" w:customStyle="1" w:styleId="77">
    <w:name w:val="报告 Char1"/>
    <w:qFormat/>
    <w:uiPriority w:val="0"/>
    <w:rPr>
      <w:rFonts w:eastAsia="宋体"/>
      <w:sz w:val="24"/>
      <w:lang w:val="en-US" w:eastAsia="zh-CN"/>
    </w:rPr>
  </w:style>
  <w:style w:type="character" w:customStyle="1" w:styleId="78">
    <w:name w:val="段落 Char2"/>
    <w:qFormat/>
    <w:uiPriority w:val="0"/>
    <w:rPr>
      <w:rFonts w:ascii="宋体" w:hAnsi="宋体" w:eastAsia="宋体"/>
      <w:b/>
      <w:sz w:val="24"/>
      <w:lang w:val="en-US" w:eastAsia="zh-CN"/>
    </w:rPr>
  </w:style>
  <w:style w:type="character" w:customStyle="1" w:styleId="79">
    <w:name w:val="Char Char Char Char Char Char Char Char Char Char Char Char Char"/>
    <w:qFormat/>
    <w:uiPriority w:val="0"/>
    <w:rPr>
      <w:rFonts w:ascii="宋体" w:hAnsi="Courier New"/>
      <w:kern w:val="2"/>
      <w:sz w:val="21"/>
    </w:rPr>
  </w:style>
  <w:style w:type="character" w:customStyle="1" w:styleId="80">
    <w:name w:val="unnamed21"/>
    <w:basedOn w:val="35"/>
    <w:qFormat/>
    <w:uiPriority w:val="0"/>
  </w:style>
  <w:style w:type="character" w:customStyle="1" w:styleId="81">
    <w:name w:val="正文文本 Char"/>
    <w:link w:val="8"/>
    <w:qFormat/>
    <w:uiPriority w:val="0"/>
    <w:rPr>
      <w:rFonts w:eastAsia="宋体"/>
      <w:kern w:val="2"/>
      <w:sz w:val="28"/>
      <w:lang w:val="en-US" w:eastAsia="zh-CN"/>
    </w:rPr>
  </w:style>
  <w:style w:type="character" w:customStyle="1" w:styleId="82">
    <w:name w:val="apple-converted-space"/>
    <w:basedOn w:val="35"/>
    <w:qFormat/>
    <w:uiPriority w:val="0"/>
  </w:style>
  <w:style w:type="character" w:customStyle="1" w:styleId="83">
    <w:name w:val="表格文字 Char Char"/>
    <w:qFormat/>
    <w:uiPriority w:val="0"/>
    <w:rPr>
      <w:rFonts w:eastAsia="宋体"/>
      <w:kern w:val="2"/>
      <w:sz w:val="24"/>
      <w:lang w:val="en-US" w:eastAsia="zh-CN"/>
    </w:rPr>
  </w:style>
  <w:style w:type="character" w:customStyle="1" w:styleId="84">
    <w:name w:val="标题 3 Char"/>
    <w:link w:val="4"/>
    <w:qFormat/>
    <w:uiPriority w:val="0"/>
    <w:rPr>
      <w:rFonts w:eastAsia="宋体"/>
      <w:b/>
      <w:kern w:val="2"/>
      <w:sz w:val="32"/>
      <w:lang w:val="en-US" w:eastAsia="zh-CN"/>
    </w:rPr>
  </w:style>
  <w:style w:type="character" w:customStyle="1" w:styleId="85">
    <w:name w:val="报告表 段 Char Char"/>
    <w:qFormat/>
    <w:uiPriority w:val="0"/>
    <w:rPr>
      <w:rFonts w:ascii="宋体" w:eastAsia="宋体"/>
      <w:kern w:val="2"/>
      <w:sz w:val="24"/>
      <w:lang w:val="en-US" w:eastAsia="zh-CN"/>
    </w:rPr>
  </w:style>
  <w:style w:type="character" w:customStyle="1" w:styleId="86">
    <w:name w:val="纯文本 Char"/>
    <w:link w:val="18"/>
    <w:qFormat/>
    <w:uiPriority w:val="0"/>
    <w:rPr>
      <w:rFonts w:ascii="宋体" w:hAnsi="Courier New" w:eastAsia="宋体"/>
      <w:kern w:val="2"/>
      <w:sz w:val="21"/>
      <w:lang w:val="en-US" w:eastAsia="zh-CN"/>
    </w:rPr>
  </w:style>
  <w:style w:type="character" w:customStyle="1" w:styleId="87">
    <w:name w:val="font31"/>
    <w:qFormat/>
    <w:uiPriority w:val="0"/>
    <w:rPr>
      <w:rFonts w:hint="eastAsia" w:ascii="宋体" w:hAnsi="宋体" w:eastAsia="宋体" w:cs="宋体"/>
      <w:b/>
      <w:color w:val="000000"/>
      <w:sz w:val="21"/>
      <w:szCs w:val="21"/>
      <w:u w:val="none"/>
    </w:rPr>
  </w:style>
  <w:style w:type="character" w:customStyle="1" w:styleId="88">
    <w:name w:val="articlebody3"/>
    <w:qFormat/>
    <w:uiPriority w:val="0"/>
    <w:rPr>
      <w:sz w:val="21"/>
    </w:rPr>
  </w:style>
  <w:style w:type="character" w:customStyle="1" w:styleId="89">
    <w:name w:val="表格标题 Char"/>
    <w:qFormat/>
    <w:uiPriority w:val="0"/>
    <w:rPr>
      <w:rFonts w:eastAsia="黑体"/>
      <w:kern w:val="2"/>
      <w:sz w:val="24"/>
    </w:rPr>
  </w:style>
  <w:style w:type="character" w:customStyle="1" w:styleId="90">
    <w:name w:val="表内文字 Char"/>
    <w:link w:val="91"/>
    <w:qFormat/>
    <w:uiPriority w:val="0"/>
    <w:rPr>
      <w:kern w:val="2"/>
      <w:sz w:val="21"/>
    </w:rPr>
  </w:style>
  <w:style w:type="paragraph" w:customStyle="1" w:styleId="91">
    <w:name w:val="表内文字"/>
    <w:basedOn w:val="1"/>
    <w:link w:val="90"/>
    <w:qFormat/>
    <w:uiPriority w:val="0"/>
    <w:pPr>
      <w:spacing w:line="440" w:lineRule="exact"/>
      <w:jc w:val="center"/>
    </w:pPr>
  </w:style>
  <w:style w:type="character" w:customStyle="1" w:styleId="92">
    <w:name w:val="ziti31"/>
    <w:qFormat/>
    <w:uiPriority w:val="0"/>
    <w:rPr>
      <w:rFonts w:hint="default" w:ascii="ˎ̥" w:hAnsi="ˎ̥"/>
      <w:sz w:val="26"/>
    </w:rPr>
  </w:style>
  <w:style w:type="character" w:customStyle="1" w:styleId="93">
    <w:name w:val="正文首行缩进 Char"/>
    <w:link w:val="7"/>
    <w:qFormat/>
    <w:uiPriority w:val="0"/>
    <w:rPr>
      <w:sz w:val="28"/>
    </w:rPr>
  </w:style>
  <w:style w:type="character" w:customStyle="1" w:styleId="94">
    <w:name w:val="正文文本_"/>
    <w:link w:val="95"/>
    <w:qFormat/>
    <w:locked/>
    <w:uiPriority w:val="0"/>
    <w:rPr>
      <w:rFonts w:ascii="宋体"/>
      <w:kern w:val="2"/>
      <w:sz w:val="21"/>
      <w:shd w:val="clear" w:color="auto" w:fill="FFFFFF"/>
      <w:lang w:val="en-US" w:eastAsia="zh-CN" w:bidi="ar-SA"/>
    </w:rPr>
  </w:style>
  <w:style w:type="paragraph" w:customStyle="1" w:styleId="95">
    <w:name w:val="正文文本1"/>
    <w:link w:val="94"/>
    <w:qFormat/>
    <w:uiPriority w:val="0"/>
    <w:pPr>
      <w:shd w:val="clear" w:color="auto" w:fill="FFFFFF"/>
      <w:spacing w:line="464" w:lineRule="exact"/>
      <w:ind w:hanging="420"/>
      <w:jc w:val="distribute"/>
    </w:pPr>
    <w:rPr>
      <w:rFonts w:ascii="宋体" w:hAnsi="Times New Roman" w:eastAsia="宋体" w:cs="Times New Roman"/>
      <w:kern w:val="2"/>
      <w:sz w:val="21"/>
      <w:lang w:val="en-US" w:eastAsia="zh-CN" w:bidi="ar-SA"/>
    </w:rPr>
  </w:style>
  <w:style w:type="character" w:customStyle="1" w:styleId="96">
    <w:name w:val="正文用的 Char Char"/>
    <w:qFormat/>
    <w:uiPriority w:val="0"/>
    <w:rPr>
      <w:rFonts w:eastAsia="宋体"/>
      <w:kern w:val="2"/>
      <w:sz w:val="24"/>
      <w:lang w:val="en-US" w:eastAsia="zh-CN"/>
    </w:rPr>
  </w:style>
  <w:style w:type="character" w:customStyle="1" w:styleId="97">
    <w:name w:val="无间隔 Char"/>
    <w:link w:val="98"/>
    <w:qFormat/>
    <w:uiPriority w:val="1"/>
    <w:rPr>
      <w:kern w:val="2"/>
      <w:sz w:val="21"/>
      <w:szCs w:val="22"/>
      <w:lang w:val="en-US" w:eastAsia="zh-CN" w:bidi="ar-SA"/>
    </w:rPr>
  </w:style>
  <w:style w:type="paragraph" w:styleId="98">
    <w:name w:val="No Spacing"/>
    <w:link w:val="97"/>
    <w:qFormat/>
    <w:uiPriority w:val="1"/>
    <w:pPr>
      <w:widowControl w:val="0"/>
      <w:jc w:val="center"/>
    </w:pPr>
    <w:rPr>
      <w:rFonts w:ascii="Times New Roman" w:hAnsi="Times New Roman" w:eastAsia="宋体" w:cs="Times New Roman"/>
      <w:kern w:val="2"/>
      <w:sz w:val="21"/>
      <w:szCs w:val="22"/>
      <w:lang w:val="en-US" w:eastAsia="zh-CN" w:bidi="ar-SA"/>
    </w:rPr>
  </w:style>
  <w:style w:type="character" w:customStyle="1" w:styleId="99">
    <w:name w:val="正文文本 2 Char"/>
    <w:link w:val="31"/>
    <w:qFormat/>
    <w:uiPriority w:val="0"/>
    <w:rPr>
      <w:rFonts w:eastAsia="宋体"/>
      <w:kern w:val="2"/>
      <w:sz w:val="24"/>
      <w:lang w:val="en-US" w:eastAsia="zh-CN"/>
    </w:rPr>
  </w:style>
  <w:style w:type="character" w:customStyle="1" w:styleId="100">
    <w:name w:val="批注文字 Char"/>
    <w:link w:val="6"/>
    <w:qFormat/>
    <w:uiPriority w:val="0"/>
    <w:rPr>
      <w:rFonts w:eastAsia="宋体"/>
      <w:kern w:val="2"/>
      <w:sz w:val="21"/>
      <w:lang w:val="en-US" w:eastAsia="zh-CN"/>
    </w:rPr>
  </w:style>
  <w:style w:type="character" w:customStyle="1" w:styleId="101">
    <w:name w:val="headline-content"/>
    <w:basedOn w:val="35"/>
    <w:qFormat/>
    <w:uiPriority w:val="0"/>
  </w:style>
  <w:style w:type="paragraph" w:customStyle="1" w:styleId="102">
    <w:name w:val="居中正文"/>
    <w:basedOn w:val="7"/>
    <w:qFormat/>
    <w:uiPriority w:val="0"/>
    <w:pPr>
      <w:spacing w:before="120"/>
      <w:ind w:firstLine="0"/>
      <w:jc w:val="center"/>
    </w:pPr>
    <w:rPr>
      <w:rFonts w:ascii="宋体"/>
      <w:kern w:val="28"/>
      <w:sz w:val="24"/>
    </w:rPr>
  </w:style>
  <w:style w:type="paragraph" w:customStyle="1" w:styleId="103">
    <w:name w:val="1文章"/>
    <w:basedOn w:val="1"/>
    <w:qFormat/>
    <w:uiPriority w:val="0"/>
    <w:pPr>
      <w:snapToGrid w:val="0"/>
      <w:spacing w:line="360" w:lineRule="auto"/>
      <w:ind w:firstLine="573"/>
    </w:pPr>
    <w:rPr>
      <w:rFonts w:eastAsia="仿宋_GB2312"/>
      <w:sz w:val="28"/>
    </w:rPr>
  </w:style>
  <w:style w:type="paragraph" w:customStyle="1" w:styleId="104">
    <w:name w:val="Char Char Char Char Char Char Char Char Char1 Char Char Char Char Char Char2 Char Char Char1 Char Char Char Char Char Char Char Char Char Char Char Char Char"/>
    <w:basedOn w:val="1"/>
    <w:qFormat/>
    <w:uiPriority w:val="0"/>
  </w:style>
  <w:style w:type="paragraph" w:customStyle="1" w:styleId="105">
    <w:name w:val="报告表  段"/>
    <w:basedOn w:val="1"/>
    <w:qFormat/>
    <w:uiPriority w:val="0"/>
    <w:pPr>
      <w:adjustRightInd w:val="0"/>
      <w:spacing w:line="360" w:lineRule="auto"/>
      <w:ind w:firstLine="505"/>
      <w:textAlignment w:val="baseline"/>
    </w:pPr>
    <w:rPr>
      <w:rFonts w:ascii="宋体"/>
      <w:sz w:val="24"/>
    </w:rPr>
  </w:style>
  <w:style w:type="paragraph" w:customStyle="1" w:styleId="106">
    <w:name w:val="表题"/>
    <w:basedOn w:val="1"/>
    <w:qFormat/>
    <w:uiPriority w:val="0"/>
    <w:pPr>
      <w:tabs>
        <w:tab w:val="left" w:pos="940"/>
      </w:tabs>
      <w:snapToGrid w:val="0"/>
      <w:jc w:val="center"/>
    </w:pPr>
    <w:rPr>
      <w:rFonts w:eastAsia="黑体"/>
      <w:sz w:val="24"/>
    </w:rPr>
  </w:style>
  <w:style w:type="paragraph" w:customStyle="1" w:styleId="107">
    <w:name w:val="段落"/>
    <w:basedOn w:val="1"/>
    <w:qFormat/>
    <w:uiPriority w:val="0"/>
    <w:pPr>
      <w:tabs>
        <w:tab w:val="left" w:pos="1021"/>
      </w:tabs>
      <w:adjustRightInd w:val="0"/>
      <w:snapToGrid w:val="0"/>
      <w:spacing w:beforeLines="50" w:line="360" w:lineRule="auto"/>
    </w:pPr>
    <w:rPr>
      <w:rFonts w:ascii="宋体" w:hAnsi="宋体"/>
      <w:b/>
      <w:sz w:val="24"/>
    </w:rPr>
  </w:style>
  <w:style w:type="paragraph" w:customStyle="1" w:styleId="108">
    <w:name w:val="T正文"/>
    <w:qFormat/>
    <w:uiPriority w:val="0"/>
    <w:pPr>
      <w:widowControl w:val="0"/>
      <w:adjustRightInd w:val="0"/>
      <w:snapToGrid w:val="0"/>
      <w:spacing w:line="360" w:lineRule="auto"/>
      <w:ind w:firstLine="200" w:firstLineChars="200"/>
      <w:jc w:val="both"/>
    </w:pPr>
    <w:rPr>
      <w:rFonts w:ascii="Times New Roman" w:hAnsi="Times New Roman" w:eastAsia="仿宋_GB2312" w:cs="Times New Roman"/>
      <w:sz w:val="28"/>
      <w:lang w:val="en-US" w:eastAsia="zh-CN" w:bidi="ar-SA"/>
    </w:rPr>
  </w:style>
  <w:style w:type="paragraph" w:customStyle="1" w:styleId="109">
    <w:name w:val="正文 New New New New New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paragraph" w:customStyle="1" w:styleId="110">
    <w:name w:val="Char Char Char Char Char Char Char Char Char1 Char Char Char Char Char Char2 Char Char Char"/>
    <w:basedOn w:val="1"/>
    <w:qFormat/>
    <w:uiPriority w:val="0"/>
  </w:style>
  <w:style w:type="paragraph" w:customStyle="1" w:styleId="111">
    <w:name w:val="图名字"/>
    <w:basedOn w:val="1"/>
    <w:qFormat/>
    <w:uiPriority w:val="0"/>
    <w:pPr>
      <w:adjustRightInd w:val="0"/>
      <w:snapToGrid w:val="0"/>
      <w:jc w:val="center"/>
    </w:pPr>
    <w:rPr>
      <w:b/>
      <w:sz w:val="24"/>
    </w:rPr>
  </w:style>
  <w:style w:type="paragraph" w:customStyle="1" w:styleId="112">
    <w:name w:val="Char1 Char Char Char Char Char Char1 Char Char Char"/>
    <w:basedOn w:val="1"/>
    <w:qFormat/>
    <w:uiPriority w:val="0"/>
  </w:style>
  <w:style w:type="paragraph" w:customStyle="1" w:styleId="113">
    <w:name w:val="报告表格"/>
    <w:basedOn w:val="1"/>
    <w:qFormat/>
    <w:uiPriority w:val="0"/>
    <w:pPr>
      <w:autoSpaceDE w:val="0"/>
      <w:autoSpaceDN w:val="0"/>
      <w:adjustRightInd w:val="0"/>
      <w:spacing w:before="40" w:after="40"/>
      <w:jc w:val="center"/>
      <w:textAlignment w:val="baseline"/>
    </w:pPr>
    <w:rPr>
      <w:kern w:val="0"/>
    </w:rPr>
  </w:style>
  <w:style w:type="paragraph" w:customStyle="1" w:styleId="114">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
    <w:name w:val="Char Char Char Char Char Char Char Char Char Char"/>
    <w:basedOn w:val="1"/>
    <w:qFormat/>
    <w:uiPriority w:val="0"/>
    <w:pPr>
      <w:spacing w:line="240" w:lineRule="exact"/>
      <w:ind w:firstLine="200" w:firstLineChars="200"/>
    </w:pPr>
    <w:rPr>
      <w:rFonts w:ascii="宋体" w:hAnsi="宋体"/>
      <w:sz w:val="24"/>
    </w:rPr>
  </w:style>
  <w:style w:type="paragraph" w:customStyle="1" w:styleId="116">
    <w:name w:val="1"/>
    <w:basedOn w:val="1"/>
    <w:next w:val="8"/>
    <w:qFormat/>
    <w:uiPriority w:val="0"/>
    <w:rPr>
      <w:rFonts w:ascii="Wingdings" w:hAnsi="Wingdings"/>
      <w:b/>
      <w:sz w:val="44"/>
    </w:rPr>
  </w:style>
  <w:style w:type="paragraph" w:customStyle="1" w:styleId="117">
    <w:name w:val="zhang正文"/>
    <w:basedOn w:val="1"/>
    <w:next w:val="1"/>
    <w:qFormat/>
    <w:uiPriority w:val="0"/>
    <w:pPr>
      <w:autoSpaceDE w:val="0"/>
      <w:autoSpaceDN w:val="0"/>
      <w:adjustRightInd w:val="0"/>
      <w:snapToGrid w:val="0"/>
      <w:spacing w:line="500" w:lineRule="exact"/>
      <w:ind w:firstLine="539"/>
      <w:textAlignment w:val="baseline"/>
    </w:pPr>
    <w:rPr>
      <w:rFonts w:eastAsia="楷体_GB2312"/>
      <w:kern w:val="0"/>
      <w:sz w:val="28"/>
    </w:rPr>
  </w:style>
  <w:style w:type="paragraph" w:customStyle="1" w:styleId="118">
    <w:name w:val="Char1"/>
    <w:basedOn w:val="1"/>
    <w:qFormat/>
    <w:uiPriority w:val="0"/>
    <w:pPr>
      <w:keepNext/>
      <w:keepLines/>
      <w:tabs>
        <w:tab w:val="left" w:pos="2160"/>
      </w:tabs>
      <w:adjustRightInd w:val="0"/>
      <w:snapToGrid w:val="0"/>
      <w:spacing w:before="120" w:after="120" w:line="360" w:lineRule="auto"/>
      <w:ind w:left="2160" w:hanging="420"/>
      <w:outlineLvl w:val="3"/>
    </w:pPr>
    <w:rPr>
      <w:rFonts w:ascii="Arial" w:hAnsi="Arial"/>
      <w:kern w:val="0"/>
      <w:sz w:val="28"/>
    </w:rPr>
  </w:style>
  <w:style w:type="paragraph" w:customStyle="1" w:styleId="11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0">
    <w:name w:val="Char Char Char Char Char Char Char Char Char1 Char Char Char Char"/>
    <w:basedOn w:val="1"/>
    <w:qFormat/>
    <w:uiPriority w:val="0"/>
  </w:style>
  <w:style w:type="paragraph" w:customStyle="1" w:styleId="121">
    <w:name w:val="Char Char Char Char Char Char Char Char Char Char Char Char Char Char Char Char Char Char Char"/>
    <w:basedOn w:val="1"/>
    <w:qFormat/>
    <w:uiPriority w:val="0"/>
    <w:pPr>
      <w:tabs>
        <w:tab w:val="left" w:pos="907"/>
      </w:tabs>
      <w:ind w:left="907" w:hanging="453"/>
    </w:pPr>
    <w:rPr>
      <w:sz w:val="24"/>
    </w:rPr>
  </w:style>
  <w:style w:type="paragraph" w:customStyle="1" w:styleId="122">
    <w:name w:val="正文用的"/>
    <w:basedOn w:val="1"/>
    <w:qFormat/>
    <w:uiPriority w:val="0"/>
    <w:pPr>
      <w:spacing w:line="360" w:lineRule="auto"/>
      <w:ind w:firstLine="480" w:firstLineChars="200"/>
    </w:pPr>
    <w:rPr>
      <w:sz w:val="24"/>
    </w:rPr>
  </w:style>
  <w:style w:type="paragraph" w:customStyle="1" w:styleId="123">
    <w:name w:val="表格文字"/>
    <w:basedOn w:val="1"/>
    <w:qFormat/>
    <w:uiPriority w:val="0"/>
    <w:pPr>
      <w:spacing w:line="0" w:lineRule="atLeast"/>
      <w:jc w:val="center"/>
    </w:pPr>
    <w:rPr>
      <w:sz w:val="24"/>
    </w:rPr>
  </w:style>
  <w:style w:type="paragraph" w:customStyle="1" w:styleId="124">
    <w:name w:val="正文修改"/>
    <w:basedOn w:val="1"/>
    <w:qFormat/>
    <w:uiPriority w:val="0"/>
    <w:pPr>
      <w:ind w:firstLine="480"/>
    </w:pPr>
    <w:rPr>
      <w:sz w:val="24"/>
    </w:rPr>
  </w:style>
  <w:style w:type="paragraph" w:customStyle="1" w:styleId="125">
    <w:name w:val="Char Char Char1"/>
    <w:basedOn w:val="1"/>
    <w:qFormat/>
    <w:uiPriority w:val="0"/>
    <w:pPr>
      <w:spacing w:line="360" w:lineRule="auto"/>
      <w:ind w:firstLine="200" w:firstLineChars="200"/>
    </w:pPr>
    <w:rPr>
      <w:rFonts w:ascii="宋体" w:hAnsi="宋体"/>
      <w:sz w:val="24"/>
    </w:rPr>
  </w:style>
  <w:style w:type="paragraph" w:customStyle="1" w:styleId="126">
    <w:name w:val="Char Char Char Char Char Char Char Char Char1 Char Char Char Char Char Char2 Char Char Char1 Char"/>
    <w:basedOn w:val="1"/>
    <w:qFormat/>
    <w:uiPriority w:val="0"/>
  </w:style>
  <w:style w:type="paragraph" w:customStyle="1" w:styleId="127">
    <w:name w:val="环正文"/>
    <w:basedOn w:val="1"/>
    <w:qFormat/>
    <w:uiPriority w:val="0"/>
    <w:pPr>
      <w:tabs>
        <w:tab w:val="left" w:pos="1620"/>
        <w:tab w:val="left" w:pos="5187"/>
      </w:tabs>
      <w:adjustRightInd w:val="0"/>
      <w:snapToGrid w:val="0"/>
      <w:spacing w:line="324" w:lineRule="auto"/>
      <w:ind w:firstLine="560" w:firstLineChars="200"/>
      <w:textAlignment w:val="baseline"/>
    </w:pPr>
    <w:rPr>
      <w:rFonts w:ascii="仿宋_GB2312" w:hAnsi="宋体" w:eastAsia="仿宋_GB2312"/>
      <w:kern w:val="0"/>
      <w:sz w:val="28"/>
      <w:szCs w:val="22"/>
    </w:rPr>
  </w:style>
  <w:style w:type="paragraph" w:customStyle="1" w:styleId="128">
    <w:name w:val="Char Char Char Char Char Char Char Char Char1 Char Char Char Char Char Char2 Char Char Char1 Char Char Char Char Char Char Char Char Char Char Char"/>
    <w:basedOn w:val="1"/>
    <w:qFormat/>
    <w:uiPriority w:val="0"/>
  </w:style>
  <w:style w:type="paragraph" w:customStyle="1" w:styleId="129">
    <w:name w:val="正文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0">
    <w:name w:val="文本"/>
    <w:basedOn w:val="1"/>
    <w:qFormat/>
    <w:uiPriority w:val="0"/>
    <w:pPr>
      <w:snapToGrid w:val="0"/>
      <w:spacing w:line="360" w:lineRule="auto"/>
      <w:ind w:firstLine="200" w:firstLineChars="200"/>
    </w:pPr>
    <w:rPr>
      <w:rFonts w:eastAsia="仿宋_GB2312"/>
      <w:sz w:val="28"/>
    </w:rPr>
  </w:style>
  <w:style w:type="paragraph" w:customStyle="1" w:styleId="131">
    <w:name w:val="Char Char Char Char Char Char Char Char Char"/>
    <w:basedOn w:val="1"/>
    <w:qFormat/>
    <w:uiPriority w:val="0"/>
  </w:style>
  <w:style w:type="paragraph" w:customStyle="1" w:styleId="132">
    <w:name w:val="_Style 30"/>
    <w:basedOn w:val="1"/>
    <w:qFormat/>
    <w:uiPriority w:val="0"/>
  </w:style>
  <w:style w:type="paragraph" w:customStyle="1" w:styleId="133">
    <w:name w:val="Char Char Char Char Char Char Char"/>
    <w:basedOn w:val="1"/>
    <w:qFormat/>
    <w:uiPriority w:val="0"/>
  </w:style>
  <w:style w:type="paragraph" w:customStyle="1" w:styleId="134">
    <w:name w:val="xl26"/>
    <w:basedOn w:val="1"/>
    <w:qFormat/>
    <w:uiPriority w:val="0"/>
    <w:pPr>
      <w:widowControl/>
      <w:spacing w:before="100" w:after="100"/>
      <w:jc w:val="center"/>
    </w:pPr>
    <w:rPr>
      <w:rFonts w:ascii="宋体"/>
      <w:kern w:val="0"/>
      <w:sz w:val="24"/>
    </w:rPr>
  </w:style>
  <w:style w:type="paragraph" w:customStyle="1" w:styleId="135">
    <w:name w:val="正文 New New New New New New New New New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paragraph" w:customStyle="1" w:styleId="136">
    <w:name w:val="报告表格内文"/>
    <w:basedOn w:val="16"/>
    <w:qFormat/>
    <w:uiPriority w:val="0"/>
    <w:pPr>
      <w:tabs>
        <w:tab w:val="left" w:pos="0"/>
      </w:tabs>
      <w:adjustRightInd w:val="0"/>
      <w:spacing w:after="0" w:line="440" w:lineRule="exact"/>
      <w:ind w:left="0" w:right="0"/>
      <w:jc w:val="center"/>
    </w:pPr>
    <w:rPr>
      <w:color w:val="000000"/>
    </w:rPr>
  </w:style>
  <w:style w:type="paragraph" w:customStyle="1" w:styleId="137">
    <w:name w:val="xl23"/>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38">
    <w:name w:val="样式 (符号) 宋体 小四 行距: 1.5 倍行距"/>
    <w:basedOn w:val="1"/>
    <w:qFormat/>
    <w:uiPriority w:val="0"/>
    <w:pPr>
      <w:spacing w:line="360" w:lineRule="auto"/>
      <w:ind w:firstLine="480" w:firstLineChars="200"/>
    </w:pPr>
    <w:rPr>
      <w:rFonts w:hAnsi="宋体"/>
      <w:sz w:val="24"/>
    </w:rPr>
  </w:style>
  <w:style w:type="paragraph" w:customStyle="1" w:styleId="139">
    <w:name w:val="正文缩进1"/>
    <w:basedOn w:val="1"/>
    <w:qFormat/>
    <w:uiPriority w:val="0"/>
    <w:pPr>
      <w:ind w:firstLine="420" w:firstLineChars="200"/>
    </w:pPr>
    <w:rPr>
      <w:sz w:val="28"/>
    </w:rPr>
  </w:style>
  <w:style w:type="paragraph" w:customStyle="1" w:styleId="140">
    <w:name w:val="_Style 16"/>
    <w:basedOn w:val="1"/>
    <w:next w:val="14"/>
    <w:qFormat/>
    <w:uiPriority w:val="0"/>
    <w:pPr>
      <w:spacing w:line="480" w:lineRule="exact"/>
      <w:ind w:firstLine="540"/>
    </w:pPr>
    <w:rPr>
      <w:sz w:val="24"/>
    </w:rPr>
  </w:style>
  <w:style w:type="paragraph" w:customStyle="1" w:styleId="141">
    <w:name w:val="样式 正文文本缩进 2正文文字缩进 2 + 小四 左侧:  0 厘米 段后: 0 磅 行距: 1.5 倍行距"/>
    <w:basedOn w:val="20"/>
    <w:qFormat/>
    <w:uiPriority w:val="0"/>
    <w:pPr>
      <w:spacing w:line="360" w:lineRule="auto"/>
      <w:ind w:firstLine="480" w:firstLineChars="200"/>
    </w:pPr>
    <w:rPr>
      <w:rFonts w:ascii="Times New Roman" w:hAnsi="Times New Roman"/>
      <w:sz w:val="24"/>
    </w:rPr>
  </w:style>
  <w:style w:type="paragraph" w:customStyle="1" w:styleId="142">
    <w:name w:val="Char Char Char Char Char Char Char Char Char1 Char Char Char Char Char Char"/>
    <w:basedOn w:val="1"/>
    <w:qFormat/>
    <w:uiPriority w:val="0"/>
  </w:style>
  <w:style w:type="paragraph" w:customStyle="1" w:styleId="1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44">
    <w:name w:val="宗兴正文"/>
    <w:basedOn w:val="1"/>
    <w:qFormat/>
    <w:uiPriority w:val="0"/>
    <w:pPr>
      <w:spacing w:before="93" w:after="93" w:line="360" w:lineRule="auto"/>
      <w:ind w:firstLine="480" w:firstLineChars="200"/>
      <w:jc w:val="left"/>
    </w:pPr>
    <w:rPr>
      <w:sz w:val="24"/>
    </w:rPr>
  </w:style>
  <w:style w:type="paragraph" w:customStyle="1" w:styleId="145">
    <w:name w:val="报告表 段"/>
    <w:basedOn w:val="1"/>
    <w:qFormat/>
    <w:uiPriority w:val="0"/>
    <w:pPr>
      <w:snapToGrid w:val="0"/>
      <w:spacing w:line="360" w:lineRule="auto"/>
      <w:ind w:firstLine="505"/>
    </w:pPr>
    <w:rPr>
      <w:rFonts w:ascii="宋体"/>
      <w:sz w:val="24"/>
    </w:rPr>
  </w:style>
  <w:style w:type="paragraph" w:customStyle="1" w:styleId="146">
    <w:name w:val="表格内文字格式"/>
    <w:basedOn w:val="1"/>
    <w:next w:val="1"/>
    <w:qFormat/>
    <w:uiPriority w:val="0"/>
    <w:pPr>
      <w:widowControl/>
      <w:spacing w:line="360" w:lineRule="exact"/>
      <w:jc w:val="center"/>
      <w:textAlignment w:val="baseline"/>
    </w:pPr>
    <w:rPr>
      <w:rFonts w:ascii="宋体" w:hAnsi="宋体"/>
    </w:rPr>
  </w:style>
  <w:style w:type="paragraph" w:customStyle="1" w:styleId="147">
    <w:name w:val="Char3 Char Char Char Char Char Char"/>
    <w:basedOn w:val="1"/>
    <w:qFormat/>
    <w:uiPriority w:val="0"/>
  </w:style>
  <w:style w:type="paragraph" w:customStyle="1" w:styleId="148">
    <w:name w:val="Char Char1"/>
    <w:basedOn w:val="1"/>
    <w:qFormat/>
    <w:uiPriority w:val="0"/>
    <w:pPr>
      <w:spacing w:line="360" w:lineRule="auto"/>
      <w:ind w:firstLine="200" w:firstLineChars="200"/>
    </w:pPr>
    <w:rPr>
      <w:rFonts w:ascii="宋体" w:hAnsi="宋体"/>
      <w:sz w:val="24"/>
    </w:rPr>
  </w:style>
  <w:style w:type="paragraph" w:customStyle="1" w:styleId="149">
    <w:name w:val="我的标题1"/>
    <w:basedOn w:val="1"/>
    <w:qFormat/>
    <w:uiPriority w:val="0"/>
    <w:pPr>
      <w:ind w:firstLine="538" w:firstLineChars="168"/>
    </w:pPr>
    <w:rPr>
      <w:rFonts w:eastAsia="黑体"/>
      <w:sz w:val="32"/>
    </w:rPr>
  </w:style>
  <w:style w:type="paragraph" w:customStyle="1" w:styleId="150">
    <w:name w:val="表文字"/>
    <w:basedOn w:val="1"/>
    <w:qFormat/>
    <w:uiPriority w:val="0"/>
    <w:pPr>
      <w:overflowPunct w:val="0"/>
      <w:autoSpaceDE w:val="0"/>
      <w:autoSpaceDN w:val="0"/>
      <w:adjustRightInd w:val="0"/>
      <w:spacing w:line="240" w:lineRule="atLeast"/>
      <w:textAlignment w:val="baseline"/>
    </w:pPr>
    <w:rPr>
      <w:kern w:val="0"/>
      <w:sz w:val="24"/>
    </w:rPr>
  </w:style>
  <w:style w:type="paragraph" w:customStyle="1" w:styleId="151">
    <w:name w:val="Char Char Char Char Char Char Char Char Char Char Char Char Char Char Char Char Char Char Char1"/>
    <w:basedOn w:val="1"/>
    <w:qFormat/>
    <w:uiPriority w:val="0"/>
    <w:pPr>
      <w:spacing w:line="360" w:lineRule="auto"/>
      <w:ind w:firstLine="200" w:firstLineChars="200"/>
    </w:pPr>
  </w:style>
  <w:style w:type="paragraph" w:customStyle="1" w:styleId="152">
    <w:name w:val="常用正文样式"/>
    <w:basedOn w:val="1"/>
    <w:qFormat/>
    <w:uiPriority w:val="0"/>
    <w:pPr>
      <w:spacing w:line="360" w:lineRule="auto"/>
      <w:ind w:firstLine="480" w:firstLineChars="200"/>
    </w:pPr>
    <w:rPr>
      <w:rFonts w:ascii="宋体" w:hAnsi="宋体"/>
      <w:kern w:val="28"/>
      <w:sz w:val="24"/>
    </w:rPr>
  </w:style>
  <w:style w:type="paragraph" w:customStyle="1" w:styleId="153">
    <w:name w:val="正文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4">
    <w:name w:val="图目"/>
    <w:basedOn w:val="1"/>
    <w:qFormat/>
    <w:uiPriority w:val="0"/>
    <w:pPr>
      <w:jc w:val="center"/>
    </w:pPr>
    <w:rPr>
      <w:rFonts w:hAnsi="宋体"/>
      <w:sz w:val="24"/>
    </w:rPr>
  </w:style>
  <w:style w:type="paragraph" w:customStyle="1" w:styleId="155">
    <w:name w:val="CJ 文本111"/>
    <w:basedOn w:val="14"/>
    <w:qFormat/>
    <w:uiPriority w:val="0"/>
    <w:pPr>
      <w:spacing w:line="360" w:lineRule="auto"/>
      <w:ind w:firstLine="200" w:firstLineChars="200"/>
      <w:jc w:val="left"/>
    </w:pPr>
    <w:rPr>
      <w:rFonts w:eastAsia="楷体_GB2312"/>
      <w:sz w:val="24"/>
    </w:rPr>
  </w:style>
  <w:style w:type="paragraph" w:customStyle="1" w:styleId="156">
    <w:name w:val="Char Char Char Char Char Char Char Char Char1 Char Char Char Char Char Char2 Char Char Char1 Char Char Char Char Char Char Char Char Char"/>
    <w:basedOn w:val="1"/>
    <w:qFormat/>
    <w:uiPriority w:val="0"/>
  </w:style>
  <w:style w:type="paragraph" w:customStyle="1" w:styleId="157">
    <w:name w:val="报告表正文"/>
    <w:basedOn w:val="1"/>
    <w:qFormat/>
    <w:uiPriority w:val="0"/>
    <w:pPr>
      <w:adjustRightInd w:val="0"/>
      <w:spacing w:line="312" w:lineRule="auto"/>
      <w:ind w:left="113" w:right="113" w:firstLine="482"/>
      <w:jc w:val="left"/>
      <w:textAlignment w:val="baseline"/>
    </w:pPr>
    <w:rPr>
      <w:kern w:val="0"/>
      <w:sz w:val="24"/>
    </w:rPr>
  </w:style>
  <w:style w:type="paragraph" w:customStyle="1" w:styleId="158">
    <w:name w:val="报告书正文"/>
    <w:basedOn w:val="1"/>
    <w:qFormat/>
    <w:uiPriority w:val="0"/>
    <w:pPr>
      <w:adjustRightInd w:val="0"/>
      <w:snapToGrid w:val="0"/>
      <w:spacing w:line="360" w:lineRule="auto"/>
      <w:ind w:firstLine="480" w:firstLineChars="200"/>
    </w:pPr>
    <w:rPr>
      <w:rFonts w:ascii="宋体" w:hAnsi="宋体"/>
      <w:sz w:val="24"/>
    </w:rPr>
  </w:style>
  <w:style w:type="paragraph" w:customStyle="1" w:styleId="159">
    <w:name w:val="brdrw15brsp20 tqctx4153t"/>
    <w:qFormat/>
    <w:uiPriority w:val="0"/>
    <w:pPr>
      <w:widowControl w:val="0"/>
      <w:pBdr>
        <w:bottom w:val="single" w:color="auto" w:sz="6" w:space="0"/>
      </w:pBdr>
      <w:adjustRightInd w:val="0"/>
      <w:spacing w:line="312" w:lineRule="atLeast"/>
      <w:jc w:val="center"/>
    </w:pPr>
    <w:rPr>
      <w:rFonts w:ascii="Times New Roman" w:hAnsi="Times New Roman" w:eastAsia="宋体" w:cs="Times New Roman"/>
      <w:sz w:val="21"/>
      <w:lang w:val="en-US" w:eastAsia="zh-CN" w:bidi="ar-SA"/>
    </w:rPr>
  </w:style>
  <w:style w:type="paragraph" w:customStyle="1" w:styleId="160">
    <w:name w:val="Char1 Char Char Char1"/>
    <w:basedOn w:val="1"/>
    <w:qFormat/>
    <w:uiPriority w:val="0"/>
  </w:style>
  <w:style w:type="paragraph" w:customStyle="1" w:styleId="161">
    <w:name w:val="法规"/>
    <w:basedOn w:val="1"/>
    <w:qFormat/>
    <w:uiPriority w:val="0"/>
    <w:pPr>
      <w:tabs>
        <w:tab w:val="left" w:pos="400"/>
      </w:tabs>
      <w:spacing w:line="440" w:lineRule="exact"/>
      <w:ind w:firstLine="400"/>
    </w:pPr>
    <w:rPr>
      <w:sz w:val="25"/>
    </w:rPr>
  </w:style>
  <w:style w:type="paragraph" w:customStyle="1" w:styleId="162">
    <w:name w:val="样式 自动设置"/>
    <w:basedOn w:val="1"/>
    <w:qFormat/>
    <w:uiPriority w:val="0"/>
    <w:pPr>
      <w:autoSpaceDE w:val="0"/>
      <w:autoSpaceDN w:val="0"/>
      <w:adjustRightInd w:val="0"/>
      <w:snapToGrid w:val="0"/>
      <w:spacing w:beforeLines="50" w:line="288" w:lineRule="auto"/>
      <w:ind w:firstLine="200" w:firstLineChars="200"/>
    </w:pPr>
    <w:rPr>
      <w:sz w:val="24"/>
    </w:rPr>
  </w:style>
  <w:style w:type="paragraph" w:customStyle="1" w:styleId="163">
    <w:name w:val="Char Char Char"/>
    <w:basedOn w:val="11"/>
    <w:qFormat/>
    <w:uiPriority w:val="0"/>
    <w:pPr>
      <w:spacing w:beforeLines="50" w:afterLines="50" w:line="360" w:lineRule="auto"/>
    </w:pPr>
    <w:rPr>
      <w:rFonts w:ascii="Tahoma" w:hAnsi="Tahoma"/>
      <w:sz w:val="24"/>
    </w:rPr>
  </w:style>
  <w:style w:type="paragraph" w:customStyle="1" w:styleId="164">
    <w:name w:val="Char Char Char2 Char Char Char Char"/>
    <w:basedOn w:val="1"/>
    <w:qFormat/>
    <w:uiPriority w:val="0"/>
    <w:pPr>
      <w:tabs>
        <w:tab w:val="left" w:pos="360"/>
      </w:tabs>
      <w:ind w:firstLine="420"/>
    </w:pPr>
    <w:rPr>
      <w:rFonts w:ascii="Arial" w:hAnsi="Arial"/>
      <w:sz w:val="20"/>
    </w:rPr>
  </w:style>
  <w:style w:type="paragraph" w:customStyle="1" w:styleId="165">
    <w:name w:val="表格五号字"/>
    <w:basedOn w:val="1"/>
    <w:qFormat/>
    <w:uiPriority w:val="0"/>
    <w:pPr>
      <w:adjustRightInd w:val="0"/>
      <w:snapToGrid w:val="0"/>
      <w:jc w:val="center"/>
    </w:pPr>
    <w:rPr>
      <w:rFonts w:eastAsia="仿宋_GB2312"/>
    </w:rPr>
  </w:style>
  <w:style w:type="paragraph" w:customStyle="1" w:styleId="166">
    <w:name w:val="图题"/>
    <w:basedOn w:val="55"/>
    <w:qFormat/>
    <w:uiPriority w:val="0"/>
    <w:pPr>
      <w:spacing w:line="240" w:lineRule="auto"/>
      <w:ind w:firstLine="0" w:firstLineChars="0"/>
      <w:jc w:val="center"/>
    </w:pPr>
    <w:rPr>
      <w:b/>
      <w:sz w:val="21"/>
    </w:rPr>
  </w:style>
  <w:style w:type="paragraph" w:customStyle="1" w:styleId="167">
    <w:name w:val="正文1"/>
    <w:qFormat/>
    <w:uiPriority w:val="0"/>
    <w:pPr>
      <w:widowControl w:val="0"/>
      <w:suppressAutoHyphens/>
      <w:spacing w:line="520" w:lineRule="atLeast"/>
      <w:ind w:firstLine="680"/>
      <w:jc w:val="both"/>
    </w:pPr>
    <w:rPr>
      <w:rFonts w:ascii="Times New Roman" w:hAnsi="Times New Roman" w:eastAsia="方正楷体简体" w:cs="Times New Roman"/>
      <w:spacing w:val="18"/>
      <w:sz w:val="32"/>
      <w:lang w:val="en-US" w:eastAsia="zh-CN" w:bidi="ar-SA"/>
    </w:rPr>
  </w:style>
  <w:style w:type="paragraph" w:customStyle="1" w:styleId="168">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69">
    <w:name w:val="默认段落字体 Para Char"/>
    <w:basedOn w:val="1"/>
    <w:qFormat/>
    <w:uiPriority w:val="0"/>
  </w:style>
  <w:style w:type="paragraph" w:customStyle="1" w:styleId="170">
    <w:name w:val="正文 New New New New New New New New New New New New New New New New New New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paragraph" w:customStyle="1" w:styleId="171">
    <w:name w:val="Char Char Char Char Char Char Char Char Char1 Char Char Char Char Char Char2 Char"/>
    <w:basedOn w:val="1"/>
    <w:qFormat/>
    <w:uiPriority w:val="0"/>
  </w:style>
  <w:style w:type="paragraph" w:customStyle="1" w:styleId="172">
    <w:name w:val="Char Char Char Char Char Char Char Char Char1 Char Char Char Char Char Char2 Char Char Char1 Char Char Char Char Char Char Char Char Char Char Char Char Char Char Char Char Char Char Char Char Char Char"/>
    <w:basedOn w:val="1"/>
    <w:qFormat/>
    <w:uiPriority w:val="0"/>
  </w:style>
  <w:style w:type="paragraph" w:customStyle="1" w:styleId="173">
    <w:name w:val="xl33"/>
    <w:basedOn w:val="1"/>
    <w:qFormat/>
    <w:uiPriority w:val="0"/>
    <w:pPr>
      <w:widowControl/>
      <w:pBdr>
        <w:bottom w:val="single" w:color="auto" w:sz="4" w:space="0"/>
        <w:right w:val="single" w:color="auto" w:sz="4" w:space="0"/>
      </w:pBdr>
      <w:spacing w:before="100" w:beforeAutospacing="1" w:after="100" w:afterAutospacing="1"/>
    </w:pPr>
    <w:rPr>
      <w:rFonts w:ascii="Arial Unicode MS" w:eastAsia="Arial Unicode MS"/>
      <w:kern w:val="0"/>
    </w:rPr>
  </w:style>
  <w:style w:type="paragraph" w:customStyle="1" w:styleId="174">
    <w:name w:val="表名"/>
    <w:basedOn w:val="1"/>
    <w:qFormat/>
    <w:uiPriority w:val="0"/>
    <w:pPr>
      <w:adjustRightInd w:val="0"/>
      <w:spacing w:beforeLines="50" w:afterLines="50" w:line="400" w:lineRule="atLeast"/>
      <w:ind w:firstLine="425"/>
      <w:jc w:val="center"/>
      <w:textAlignment w:val="baseline"/>
    </w:pPr>
    <w:rPr>
      <w:rFonts w:eastAsia="黑体"/>
      <w:kern w:val="0"/>
      <w:sz w:val="24"/>
    </w:rPr>
  </w:style>
  <w:style w:type="paragraph" w:customStyle="1" w:styleId="175">
    <w:name w:val="样式 正文（首行缩进两字） + 行距: 固定值 20 磅"/>
    <w:basedOn w:val="9"/>
    <w:qFormat/>
    <w:uiPriority w:val="0"/>
    <w:pPr>
      <w:adjustRightInd/>
      <w:spacing w:afterLines="20" w:line="400" w:lineRule="exact"/>
      <w:ind w:firstLine="480" w:firstLineChars="200"/>
      <w:textAlignment w:val="auto"/>
    </w:pPr>
    <w:rPr>
      <w:sz w:val="24"/>
    </w:rPr>
  </w:style>
  <w:style w:type="paragraph" w:customStyle="1" w:styleId="176">
    <w:name w:val="Char Char Char Char Char Char Char Char Char1 Char Char Char Char Char Char1"/>
    <w:basedOn w:val="1"/>
    <w:qFormat/>
    <w:uiPriority w:val="0"/>
  </w:style>
  <w:style w:type="paragraph" w:customStyle="1" w:styleId="177">
    <w:name w:val="我的正文"/>
    <w:basedOn w:val="1"/>
    <w:qFormat/>
    <w:uiPriority w:val="0"/>
    <w:pPr>
      <w:ind w:firstLine="538" w:firstLineChars="192"/>
    </w:pPr>
    <w:rPr>
      <w:sz w:val="28"/>
    </w:rPr>
  </w:style>
  <w:style w:type="paragraph" w:customStyle="1" w:styleId="178">
    <w:name w:val="1表格"/>
    <w:basedOn w:val="1"/>
    <w:qFormat/>
    <w:uiPriority w:val="0"/>
    <w:pPr>
      <w:snapToGrid w:val="0"/>
      <w:spacing w:line="160" w:lineRule="atLeast"/>
      <w:jc w:val="center"/>
    </w:pPr>
    <w:rPr>
      <w:rFonts w:eastAsia="仿宋_GB2312"/>
    </w:rPr>
  </w:style>
  <w:style w:type="paragraph" w:customStyle="1" w:styleId="179">
    <w:name w:val="Table Paragraph"/>
    <w:basedOn w:val="1"/>
    <w:qFormat/>
    <w:uiPriority w:val="1"/>
    <w:pPr>
      <w:jc w:val="left"/>
    </w:pPr>
    <w:rPr>
      <w:rFonts w:ascii="Calibri" w:hAnsi="Calibri"/>
      <w:kern w:val="0"/>
      <w:sz w:val="22"/>
      <w:szCs w:val="22"/>
      <w:lang w:eastAsia="en-US"/>
    </w:rPr>
  </w:style>
  <w:style w:type="paragraph" w:customStyle="1" w:styleId="180">
    <w:name w:val="Char"/>
    <w:basedOn w:val="1"/>
    <w:qFormat/>
    <w:uiPriority w:val="0"/>
    <w:rPr>
      <w:sz w:val="24"/>
    </w:rPr>
  </w:style>
  <w:style w:type="paragraph" w:customStyle="1" w:styleId="181">
    <w:name w:val="表内"/>
    <w:basedOn w:val="1"/>
    <w:qFormat/>
    <w:uiPriority w:val="0"/>
    <w:pPr>
      <w:spacing w:line="360" w:lineRule="exact"/>
      <w:jc w:val="center"/>
    </w:pPr>
    <w:rPr>
      <w:rFonts w:ascii="宋体" w:hAnsi="宋体"/>
      <w:kern w:val="0"/>
    </w:rPr>
  </w:style>
  <w:style w:type="paragraph" w:customStyle="1" w:styleId="182">
    <w:name w:val="pic-info"/>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3">
    <w:name w:val="p0"/>
    <w:basedOn w:val="1"/>
    <w:qFormat/>
    <w:uiPriority w:val="0"/>
    <w:pPr>
      <w:widowControl/>
    </w:pPr>
    <w:rPr>
      <w:rFonts w:ascii="Calibri" w:hAnsi="Calibri"/>
      <w:kern w:val="0"/>
    </w:rPr>
  </w:style>
  <w:style w:type="paragraph" w:customStyle="1" w:styleId="184">
    <w:name w:val="报告书"/>
    <w:basedOn w:val="1"/>
    <w:qFormat/>
    <w:uiPriority w:val="0"/>
    <w:pPr>
      <w:adjustRightInd w:val="0"/>
      <w:snapToGrid w:val="0"/>
      <w:spacing w:line="440" w:lineRule="atLeast"/>
      <w:ind w:firstLine="482"/>
      <w:textAlignment w:val="baseline"/>
    </w:pPr>
    <w:rPr>
      <w:rFonts w:ascii="宋体"/>
      <w:kern w:val="24"/>
      <w:sz w:val="24"/>
    </w:rPr>
  </w:style>
  <w:style w:type="paragraph" w:customStyle="1" w:styleId="185">
    <w:name w:val="默认段落字体 Para Char Char Char Char"/>
    <w:basedOn w:val="1"/>
    <w:qFormat/>
    <w:uiPriority w:val="0"/>
    <w:rPr>
      <w:sz w:val="24"/>
    </w:rPr>
  </w:style>
  <w:style w:type="paragraph" w:customStyle="1" w:styleId="186">
    <w:name w:val="xl24"/>
    <w:basedOn w:val="1"/>
    <w:qFormat/>
    <w:uiPriority w:val="0"/>
    <w:pPr>
      <w:widowControl/>
      <w:pBdr>
        <w:bottom w:val="single" w:color="auto" w:sz="4" w:space="0"/>
        <w:right w:val="single" w:color="auto" w:sz="4" w:space="0"/>
      </w:pBdr>
      <w:spacing w:before="100" w:beforeAutospacing="1" w:after="100" w:afterAutospacing="1"/>
      <w:jc w:val="center"/>
    </w:pPr>
    <w:rPr>
      <w:kern w:val="0"/>
    </w:rPr>
  </w:style>
  <w:style w:type="paragraph" w:customStyle="1" w:styleId="187">
    <w:name w:val="标准"/>
    <w:basedOn w:val="1"/>
    <w:qFormat/>
    <w:uiPriority w:val="0"/>
    <w:pPr>
      <w:adjustRightInd w:val="0"/>
      <w:spacing w:line="312" w:lineRule="atLeast"/>
      <w:jc w:val="center"/>
      <w:textAlignment w:val="baseline"/>
    </w:pPr>
    <w:rPr>
      <w:kern w:val="0"/>
    </w:rPr>
  </w:style>
  <w:style w:type="paragraph" w:customStyle="1" w:styleId="188">
    <w:name w:val="表格中文字信用"/>
    <w:basedOn w:val="1"/>
    <w:qFormat/>
    <w:uiPriority w:val="0"/>
    <w:pPr>
      <w:jc w:val="center"/>
    </w:pPr>
  </w:style>
  <w:style w:type="paragraph" w:customStyle="1" w:styleId="189">
    <w:name w:val="真宗兴正文"/>
    <w:basedOn w:val="1"/>
    <w:qFormat/>
    <w:uiPriority w:val="0"/>
    <w:pPr>
      <w:overflowPunct w:val="0"/>
      <w:autoSpaceDE w:val="0"/>
      <w:autoSpaceDN w:val="0"/>
      <w:adjustRightInd w:val="0"/>
      <w:snapToGrid w:val="0"/>
      <w:spacing w:beforeLines="30" w:afterLines="30" w:line="360" w:lineRule="auto"/>
      <w:ind w:firstLine="480" w:firstLineChars="200"/>
      <w:textAlignment w:val="baseline"/>
    </w:pPr>
    <w:rPr>
      <w:sz w:val="24"/>
    </w:rPr>
  </w:style>
  <w:style w:type="paragraph" w:customStyle="1" w:styleId="190">
    <w:name w:val="Char Char Char Char Char Char Char Char Char Char Char"/>
    <w:basedOn w:val="1"/>
    <w:qFormat/>
    <w:uiPriority w:val="0"/>
  </w:style>
  <w:style w:type="paragraph" w:customStyle="1" w:styleId="191">
    <w:name w:val="样式1"/>
    <w:basedOn w:val="1"/>
    <w:qFormat/>
    <w:uiPriority w:val="0"/>
    <w:pPr>
      <w:tabs>
        <w:tab w:val="left" w:pos="8820"/>
      </w:tabs>
    </w:pPr>
    <w:rPr>
      <w:sz w:val="30"/>
    </w:rPr>
  </w:style>
  <w:style w:type="paragraph" w:customStyle="1" w:styleId="192">
    <w:name w:val="_Style 23"/>
    <w:basedOn w:val="1"/>
    <w:next w:val="18"/>
    <w:qFormat/>
    <w:uiPriority w:val="0"/>
    <w:rPr>
      <w:rFonts w:ascii="宋体" w:hAnsi="Courier New"/>
      <w:kern w:val="28"/>
    </w:rPr>
  </w:style>
  <w:style w:type="paragraph" w:customStyle="1" w:styleId="193">
    <w:name w:val="样式 四号 黑色 行距: 1.5 倍行距 首行缩进:  2 字符"/>
    <w:basedOn w:val="1"/>
    <w:qFormat/>
    <w:uiPriority w:val="0"/>
    <w:pPr>
      <w:spacing w:line="360" w:lineRule="auto"/>
      <w:ind w:firstLine="560" w:firstLineChars="200"/>
    </w:pPr>
    <w:rPr>
      <w:rFonts w:ascii="宋体" w:hAnsi="宋体" w:eastAsia="仿宋_GB2312"/>
      <w:color w:val="000000"/>
      <w:sz w:val="28"/>
    </w:rPr>
  </w:style>
  <w:style w:type="paragraph" w:customStyle="1" w:styleId="194">
    <w:name w:val="表格"/>
    <w:basedOn w:val="1"/>
    <w:qFormat/>
    <w:uiPriority w:val="0"/>
    <w:pPr>
      <w:jc w:val="center"/>
    </w:pPr>
    <w:rPr>
      <w:sz w:val="24"/>
    </w:rPr>
  </w:style>
  <w:style w:type="paragraph" w:customStyle="1" w:styleId="195">
    <w:name w:val="正文 New New New New New New New New New New New New New New New New New New New New New New New New New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paragraph" w:customStyle="1" w:styleId="196">
    <w:name w:val="表头文字"/>
    <w:basedOn w:val="1"/>
    <w:qFormat/>
    <w:uiPriority w:val="0"/>
    <w:pPr>
      <w:spacing w:beforeLines="100" w:line="400" w:lineRule="exact"/>
      <w:jc w:val="center"/>
    </w:pPr>
    <w:rPr>
      <w:rFonts w:ascii="黑体" w:hAnsi="宋体" w:eastAsia="黑体"/>
    </w:rPr>
  </w:style>
  <w:style w:type="paragraph" w:customStyle="1" w:styleId="197">
    <w:name w:val="Char1 Char Char Char Char Char1 Char"/>
    <w:basedOn w:val="1"/>
    <w:qFormat/>
    <w:uiPriority w:val="0"/>
  </w:style>
  <w:style w:type="paragraph" w:customStyle="1" w:styleId="198">
    <w:name w:val="环科院正文"/>
    <w:basedOn w:val="1"/>
    <w:qFormat/>
    <w:uiPriority w:val="0"/>
    <w:pPr>
      <w:ind w:left="5" w:leftChars="2" w:firstLine="473" w:firstLineChars="197"/>
    </w:pPr>
    <w:rPr>
      <w:rFonts w:eastAsia="仿宋_GB2312"/>
      <w:sz w:val="24"/>
    </w:rPr>
  </w:style>
  <w:style w:type="paragraph" w:customStyle="1" w:styleId="199">
    <w:name w:val="文章正文样式"/>
    <w:basedOn w:val="1"/>
    <w:qFormat/>
    <w:uiPriority w:val="0"/>
    <w:pPr>
      <w:spacing w:line="520" w:lineRule="exact"/>
      <w:ind w:firstLine="480" w:firstLineChars="200"/>
      <w:jc w:val="left"/>
    </w:pPr>
    <w:rPr>
      <w:rFonts w:ascii="宋体" w:hAnsi="宋体"/>
      <w:sz w:val="24"/>
    </w:rPr>
  </w:style>
  <w:style w:type="paragraph" w:customStyle="1" w:styleId="200">
    <w:name w:val="Char Char Char Char Char Char Char Char Char1 Char Char Char Char Char Char2 Char Char Char1 Char Char Char Char Char Char Char Char Char Char Char Char Char Char Char Char Char Char Char Char"/>
    <w:basedOn w:val="1"/>
    <w:qFormat/>
    <w:uiPriority w:val="0"/>
  </w:style>
  <w:style w:type="paragraph" w:customStyle="1" w:styleId="201">
    <w:name w:val="样式 小四 行距: 1.5 倍行距 首行缩进:  2 字符"/>
    <w:basedOn w:val="1"/>
    <w:qFormat/>
    <w:uiPriority w:val="0"/>
    <w:pPr>
      <w:adjustRightInd w:val="0"/>
      <w:spacing w:line="480" w:lineRule="exact"/>
      <w:ind w:firstLine="200" w:firstLineChars="200"/>
    </w:pPr>
    <w:rPr>
      <w:rFonts w:cs="宋体"/>
      <w:sz w:val="24"/>
    </w:rPr>
  </w:style>
  <w:style w:type="paragraph" w:customStyle="1" w:styleId="202">
    <w:name w:val="表格 New"/>
    <w:basedOn w:val="129"/>
    <w:qFormat/>
    <w:uiPriority w:val="0"/>
    <w:pPr>
      <w:widowControl/>
      <w:spacing w:line="300" w:lineRule="exact"/>
      <w:jc w:val="center"/>
    </w:pPr>
    <w:rPr>
      <w:kern w:val="0"/>
    </w:rPr>
  </w:style>
  <w:style w:type="paragraph" w:customStyle="1" w:styleId="203">
    <w:name w:val="正文 New New New New New New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paragraph" w:customStyle="1" w:styleId="204">
    <w:name w:val="样式 正文首行缩进正文首行缩进 Char + 首行缩进:  2 字符"/>
    <w:basedOn w:val="7"/>
    <w:qFormat/>
    <w:uiPriority w:val="0"/>
    <w:pPr>
      <w:widowControl/>
      <w:tabs>
        <w:tab w:val="left" w:pos="1021"/>
        <w:tab w:val="left" w:pos="1440"/>
      </w:tabs>
      <w:adjustRightInd/>
      <w:snapToGrid w:val="0"/>
      <w:spacing w:line="324" w:lineRule="auto"/>
      <w:ind w:firstLine="200" w:firstLineChars="200"/>
      <w:textAlignment w:val="auto"/>
    </w:pPr>
    <w:rPr>
      <w:color w:val="000000"/>
      <w:w w:val="105"/>
      <w:kern w:val="2"/>
      <w:sz w:val="24"/>
    </w:rPr>
  </w:style>
  <w:style w:type="paragraph" w:customStyle="1" w:styleId="205">
    <w:name w:val="Char1 Char Char Char Char Char Char"/>
    <w:basedOn w:val="1"/>
    <w:qFormat/>
    <w:uiPriority w:val="0"/>
  </w:style>
  <w:style w:type="paragraph" w:customStyle="1" w:styleId="206">
    <w:name w:val="xl47"/>
    <w:basedOn w:val="1"/>
    <w:qFormat/>
    <w:uiPriority w:val="0"/>
    <w:pPr>
      <w:widowControl/>
      <w:pBdr>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207">
    <w:name w:val="常用原表字体"/>
    <w:basedOn w:val="1"/>
    <w:next w:val="1"/>
    <w:qFormat/>
    <w:uiPriority w:val="0"/>
    <w:pPr>
      <w:jc w:val="left"/>
    </w:pPr>
    <w:rPr>
      <w:rFonts w:ascii="宋体" w:hAnsi="宋体"/>
      <w:b/>
      <w:kern w:val="28"/>
      <w:sz w:val="24"/>
    </w:rPr>
  </w:style>
  <w:style w:type="paragraph" w:customStyle="1" w:styleId="208">
    <w:name w:val="报告"/>
    <w:basedOn w:val="1"/>
    <w:qFormat/>
    <w:uiPriority w:val="0"/>
    <w:pPr>
      <w:overflowPunct w:val="0"/>
      <w:autoSpaceDE w:val="0"/>
      <w:autoSpaceDN w:val="0"/>
      <w:adjustRightInd w:val="0"/>
      <w:spacing w:beforeLines="30" w:afterLines="30" w:line="400" w:lineRule="atLeast"/>
      <w:ind w:left="400" w:leftChars="400"/>
      <w:textAlignment w:val="baseline"/>
    </w:pPr>
    <w:rPr>
      <w:kern w:val="0"/>
      <w:sz w:val="24"/>
    </w:rPr>
  </w:style>
  <w:style w:type="paragraph" w:customStyle="1" w:styleId="209">
    <w:name w:val="105v"/>
    <w:basedOn w:val="1"/>
    <w:qFormat/>
    <w:uiPriority w:val="0"/>
    <w:pPr>
      <w:widowControl/>
      <w:spacing w:before="100" w:beforeAutospacing="1" w:after="100" w:afterAutospacing="1"/>
      <w:jc w:val="left"/>
    </w:pPr>
    <w:rPr>
      <w:rFonts w:ascii="Arial Unicode MS" w:hAnsi="Arial Unicode MS" w:eastAsia="Arial Unicode MS"/>
      <w:kern w:val="0"/>
    </w:rPr>
  </w:style>
  <w:style w:type="paragraph" w:customStyle="1" w:styleId="210">
    <w:name w:val="修订1"/>
    <w:qFormat/>
    <w:uiPriority w:val="0"/>
    <w:rPr>
      <w:rFonts w:ascii="Times New Roman" w:hAnsi="Times New Roman" w:eastAsia="宋体" w:cs="Times New Roman"/>
      <w:kern w:val="2"/>
      <w:sz w:val="21"/>
      <w:lang w:val="en-US" w:eastAsia="zh-CN" w:bidi="ar-SA"/>
    </w:rPr>
  </w:style>
  <w:style w:type="paragraph" w:customStyle="1" w:styleId="211">
    <w:name w:val="li－节"/>
    <w:basedOn w:val="1"/>
    <w:next w:val="1"/>
    <w:qFormat/>
    <w:uiPriority w:val="0"/>
    <w:pPr>
      <w:tabs>
        <w:tab w:val="left" w:pos="3000"/>
      </w:tabs>
      <w:spacing w:beforeLines="50" w:afterLines="50" w:line="360" w:lineRule="auto"/>
      <w:jc w:val="center"/>
      <w:outlineLvl w:val="1"/>
    </w:pPr>
    <w:rPr>
      <w:rFonts w:ascii="黑体" w:eastAsia="黑体"/>
      <w:b/>
      <w:sz w:val="30"/>
    </w:rPr>
  </w:style>
  <w:style w:type="paragraph" w:customStyle="1" w:styleId="212">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rPr>
  </w:style>
  <w:style w:type="paragraph" w:customStyle="1" w:styleId="213">
    <w:name w:val="0"/>
    <w:basedOn w:val="1"/>
    <w:qFormat/>
    <w:uiPriority w:val="0"/>
    <w:pPr>
      <w:widowControl/>
      <w:snapToGrid w:val="0"/>
    </w:pPr>
    <w:rPr>
      <w:rFonts w:eastAsia="Arial Unicode MS"/>
      <w:kern w:val="0"/>
    </w:rPr>
  </w:style>
  <w:style w:type="paragraph" w:customStyle="1" w:styleId="214">
    <w:name w:val="Char Char Char Char Char Char Char1"/>
    <w:basedOn w:val="1"/>
    <w:qFormat/>
    <w:uiPriority w:val="0"/>
  </w:style>
  <w:style w:type="paragraph" w:customStyle="1" w:styleId="215">
    <w:name w:val="xl28"/>
    <w:basedOn w:val="1"/>
    <w:qFormat/>
    <w:uiPriority w:val="0"/>
    <w:pPr>
      <w:widowControl/>
      <w:pBdr>
        <w:bottom w:val="single" w:color="auto" w:sz="4" w:space="0"/>
        <w:right w:val="single" w:color="auto" w:sz="4" w:space="0"/>
      </w:pBdr>
      <w:spacing w:before="100" w:beforeAutospacing="1" w:after="100" w:afterAutospacing="1"/>
      <w:jc w:val="center"/>
    </w:pPr>
    <w:rPr>
      <w:rFonts w:eastAsia="Arial Unicode MS"/>
      <w:kern w:val="0"/>
    </w:rPr>
  </w:style>
  <w:style w:type="paragraph" w:customStyle="1" w:styleId="216">
    <w:name w:val="样式 样式 (符号) 宋体 小四 行距: 1.5 倍行距 + (符号) Times New Roman 上标"/>
    <w:basedOn w:val="1"/>
    <w:qFormat/>
    <w:uiPriority w:val="0"/>
    <w:pPr>
      <w:spacing w:line="480" w:lineRule="exact"/>
      <w:ind w:firstLine="200" w:firstLineChars="200"/>
    </w:pPr>
    <w:rPr>
      <w:rFonts w:cs="宋体"/>
      <w:sz w:val="24"/>
    </w:rPr>
  </w:style>
  <w:style w:type="paragraph" w:customStyle="1" w:styleId="217">
    <w:name w:val="az"/>
    <w:basedOn w:val="1"/>
    <w:qFormat/>
    <w:uiPriority w:val="0"/>
    <w:pPr>
      <w:jc w:val="center"/>
    </w:pPr>
    <w:rPr>
      <w:color w:val="000000"/>
    </w:rPr>
  </w:style>
  <w:style w:type="paragraph" w:customStyle="1" w:styleId="218">
    <w:name w:val="报告文本"/>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219">
    <w:name w:val="表格一"/>
    <w:basedOn w:val="1"/>
    <w:qFormat/>
    <w:uiPriority w:val="0"/>
    <w:pPr>
      <w:adjustRightInd w:val="0"/>
      <w:snapToGrid w:val="0"/>
      <w:jc w:val="center"/>
    </w:pPr>
    <w:rPr>
      <w:rFonts w:hAnsi="宋体"/>
      <w:bCs/>
      <w:snapToGrid w:val="0"/>
      <w:color w:val="FF0000"/>
      <w:szCs w:val="21"/>
    </w:rPr>
  </w:style>
  <w:style w:type="paragraph" w:customStyle="1" w:styleId="220">
    <w:name w:val="xl39"/>
    <w:basedOn w:val="1"/>
    <w:qFormat/>
    <w:uiPriority w:val="0"/>
    <w:pPr>
      <w:widowControl/>
      <w:pBdr>
        <w:bottom w:val="single" w:color="auto" w:sz="8" w:space="0"/>
      </w:pBdr>
      <w:spacing w:before="100" w:beforeAutospacing="1" w:after="100" w:afterAutospacing="1"/>
      <w:jc w:val="center"/>
    </w:pPr>
    <w:rPr>
      <w:rFonts w:ascii="Arial Unicode MS" w:hAnsi="Arial Unicode MS" w:eastAsia="Arial Unicode MS"/>
      <w:kern w:val="0"/>
      <w:sz w:val="24"/>
    </w:rPr>
  </w:style>
  <w:style w:type="paragraph" w:customStyle="1" w:styleId="221">
    <w:name w:val="xl37"/>
    <w:basedOn w:val="1"/>
    <w:qFormat/>
    <w:uiPriority w:val="0"/>
    <w:pPr>
      <w:widowControl/>
      <w:spacing w:before="100" w:beforeAutospacing="1" w:after="100" w:afterAutospacing="1"/>
      <w:jc w:val="center"/>
    </w:pPr>
    <w:rPr>
      <w:rFonts w:ascii="宋体" w:hAnsi="宋体" w:eastAsia="仿宋_GB2312"/>
      <w:kern w:val="0"/>
      <w:sz w:val="24"/>
    </w:rPr>
  </w:style>
  <w:style w:type="paragraph" w:customStyle="1" w:styleId="222">
    <w:name w:val="Char2 Char Char Char"/>
    <w:basedOn w:val="1"/>
    <w:qFormat/>
    <w:uiPriority w:val="0"/>
    <w:pPr>
      <w:spacing w:line="360" w:lineRule="auto"/>
      <w:ind w:firstLine="200" w:firstLineChars="200"/>
    </w:pPr>
    <w:rPr>
      <w:rFonts w:ascii="宋体" w:hAnsi="宋体"/>
      <w:sz w:val="24"/>
    </w:rPr>
  </w:style>
  <w:style w:type="paragraph" w:customStyle="1" w:styleId="223">
    <w:name w:val="Char Char Char Char Char Char Char2"/>
    <w:basedOn w:val="1"/>
    <w:qFormat/>
    <w:uiPriority w:val="0"/>
  </w:style>
  <w:style w:type="paragraph" w:customStyle="1" w:styleId="224">
    <w:name w:val="li_正文"/>
    <w:basedOn w:val="1"/>
    <w:qFormat/>
    <w:uiPriority w:val="0"/>
    <w:pPr>
      <w:ind w:firstLine="200" w:firstLineChars="200"/>
      <w:jc w:val="left"/>
    </w:pPr>
    <w:rPr>
      <w:sz w:val="28"/>
    </w:rPr>
  </w:style>
  <w:style w:type="paragraph" w:customStyle="1" w:styleId="2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226">
    <w:name w:val="网格型1"/>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7">
    <w:name w:val="标题 2 Char"/>
    <w:basedOn w:val="35"/>
    <w:link w:val="3"/>
    <w:qFormat/>
    <w:uiPriority w:val="0"/>
    <w:rPr>
      <w:rFonts w:ascii="Arial" w:hAnsi="Arial" w:eastAsia="黑体"/>
      <w:b/>
      <w:kern w:val="2"/>
      <w:sz w:val="32"/>
    </w:rPr>
  </w:style>
  <w:style w:type="paragraph" w:customStyle="1" w:styleId="228">
    <w:name w:val="图居中"/>
    <w:basedOn w:val="1"/>
    <w:next w:val="1"/>
    <w:qFormat/>
    <w:uiPriority w:val="99"/>
    <w:pPr>
      <w:jc w:val="center"/>
    </w:pPr>
    <w:rPr>
      <w:szCs w:val="21"/>
    </w:rPr>
  </w:style>
  <w:style w:type="character" w:customStyle="1" w:styleId="229">
    <w:name w:val="正文文本 + MingLiU"/>
    <w:qFormat/>
    <w:uiPriority w:val="0"/>
    <w:rPr>
      <w:rFonts w:hint="default" w:ascii="MingLiU" w:hAnsi="MingLiU" w:eastAsia="MingLiU"/>
      <w:spacing w:val="-10"/>
      <w:lang w:val="en-US" w:eastAsia="en-US" w:bidi="ar-SA"/>
    </w:rPr>
  </w:style>
  <w:style w:type="paragraph" w:customStyle="1" w:styleId="230">
    <w:name w:val="表"/>
    <w:basedOn w:val="1"/>
    <w:qFormat/>
    <w:uiPriority w:val="0"/>
    <w:pPr>
      <w:snapToGrid w:val="0"/>
      <w:jc w:val="center"/>
    </w:pPr>
    <w:rPr>
      <w:spacing w:val="2"/>
    </w:rPr>
  </w:style>
  <w:style w:type="character" w:customStyle="1" w:styleId="231">
    <w:name w:val="表格居中 Char Char"/>
    <w:link w:val="232"/>
    <w:qFormat/>
    <w:uiPriority w:val="0"/>
    <w:rPr>
      <w:rFonts w:ascii="宋体" w:hAnsi="宋体"/>
      <w:szCs w:val="24"/>
    </w:rPr>
  </w:style>
  <w:style w:type="paragraph" w:customStyle="1" w:styleId="232">
    <w:name w:val="表格居中"/>
    <w:basedOn w:val="1"/>
    <w:link w:val="231"/>
    <w:qFormat/>
    <w:uiPriority w:val="0"/>
    <w:pPr>
      <w:autoSpaceDE w:val="0"/>
      <w:autoSpaceDN w:val="0"/>
      <w:adjustRightInd w:val="0"/>
      <w:spacing w:line="360" w:lineRule="exact"/>
      <w:jc w:val="center"/>
    </w:pPr>
    <w:rPr>
      <w:rFonts w:ascii="宋体" w:hAnsi="宋体"/>
      <w:kern w:val="0"/>
      <w:sz w:val="20"/>
      <w:szCs w:val="24"/>
    </w:rPr>
  </w:style>
  <w:style w:type="character" w:customStyle="1" w:styleId="233">
    <w:name w:val="正文文本 + MingLiU10"/>
    <w:unhideWhenUsed/>
    <w:qFormat/>
    <w:uiPriority w:val="99"/>
    <w:rPr>
      <w:rFonts w:hint="default" w:ascii="MingLiU" w:hAnsi="MingLiU" w:eastAsia="MingLiU"/>
      <w:spacing w:val="-10"/>
      <w:lang w:val="en-US" w:eastAsia="en-US" w:bidi="ar-SA"/>
    </w:rPr>
  </w:style>
  <w:style w:type="character" w:customStyle="1" w:styleId="234">
    <w:name w:val="正文文本 + Times New Roman"/>
    <w:qFormat/>
    <w:uiPriority w:val="0"/>
    <w:rPr>
      <w:rFonts w:hint="eastAsia" w:ascii="Times New Roman" w:hAnsi="Times New Roman" w:eastAsia="Times New Roman"/>
      <w:sz w:val="18"/>
      <w:lang w:val="en-US" w:eastAsia="en-US" w:bidi="ar-SA"/>
    </w:rPr>
  </w:style>
  <w:style w:type="character" w:customStyle="1" w:styleId="235">
    <w:name w:val="正文文本 + Times New Roman6"/>
    <w:unhideWhenUsed/>
    <w:qFormat/>
    <w:uiPriority w:val="99"/>
    <w:rPr>
      <w:rFonts w:hint="eastAsia" w:ascii="Times New Roman" w:hAnsi="Times New Roman" w:eastAsia="Times New Roman"/>
      <w:sz w:val="18"/>
      <w:lang w:val="en-US" w:eastAsia="en-US" w:bidi="ar-SA"/>
    </w:rPr>
  </w:style>
  <w:style w:type="character" w:customStyle="1" w:styleId="236">
    <w:name w:val="正文文本 (8)_"/>
    <w:link w:val="237"/>
    <w:qFormat/>
    <w:uiPriority w:val="0"/>
    <w:rPr>
      <w:rFonts w:ascii="MingLiU" w:hAnsi="MingLiU" w:eastAsia="MingLiU"/>
      <w:spacing w:val="-10"/>
      <w:shd w:val="clear" w:color="auto" w:fill="FFFFFF"/>
      <w:lang w:eastAsia="en-US"/>
    </w:rPr>
  </w:style>
  <w:style w:type="paragraph" w:customStyle="1" w:styleId="237">
    <w:name w:val="正文文本 (8)"/>
    <w:basedOn w:val="1"/>
    <w:link w:val="236"/>
    <w:qFormat/>
    <w:uiPriority w:val="0"/>
    <w:pPr>
      <w:shd w:val="clear" w:color="auto" w:fill="FFFFFF"/>
      <w:spacing w:before="180" w:after="120" w:line="240" w:lineRule="atLeast"/>
      <w:jc w:val="center"/>
    </w:pPr>
    <w:rPr>
      <w:rFonts w:ascii="MingLiU" w:hAnsi="MingLiU" w:eastAsia="MingLiU"/>
      <w:spacing w:val="-10"/>
      <w:kern w:val="0"/>
      <w:sz w:val="20"/>
      <w:lang w:eastAsia="en-US"/>
    </w:rPr>
  </w:style>
  <w:style w:type="character" w:customStyle="1" w:styleId="238">
    <w:name w:val="正文文本 (5)_"/>
    <w:link w:val="239"/>
    <w:qFormat/>
    <w:uiPriority w:val="0"/>
    <w:rPr>
      <w:rFonts w:ascii="MingLiU" w:hAnsi="MingLiU" w:eastAsia="MingLiU"/>
      <w:sz w:val="23"/>
      <w:shd w:val="clear" w:color="auto" w:fill="FFFFFF"/>
    </w:rPr>
  </w:style>
  <w:style w:type="paragraph" w:customStyle="1" w:styleId="239">
    <w:name w:val="正文文本 (5)"/>
    <w:basedOn w:val="1"/>
    <w:link w:val="238"/>
    <w:qFormat/>
    <w:uiPriority w:val="0"/>
    <w:pPr>
      <w:shd w:val="clear" w:color="auto" w:fill="FFFFFF"/>
      <w:spacing w:after="60" w:line="240" w:lineRule="atLeast"/>
      <w:jc w:val="center"/>
    </w:pPr>
    <w:rPr>
      <w:rFonts w:ascii="MingLiU" w:hAnsi="MingLiU" w:eastAsia="MingLiU"/>
      <w:kern w:val="0"/>
      <w:sz w:val="23"/>
    </w:rPr>
  </w:style>
  <w:style w:type="character" w:customStyle="1" w:styleId="240">
    <w:name w:val="正文文本 + MingLiU2"/>
    <w:unhideWhenUsed/>
    <w:qFormat/>
    <w:uiPriority w:val="99"/>
    <w:rPr>
      <w:rFonts w:hint="eastAsia" w:ascii="MingLiU" w:hAnsi="MingLiU" w:eastAsia="MingLiU"/>
      <w:sz w:val="23"/>
      <w:lang w:bidi="ar-SA"/>
    </w:rPr>
  </w:style>
  <w:style w:type="character" w:customStyle="1" w:styleId="241">
    <w:name w:val="表格标题 (3) + 间距 -1 pt"/>
    <w:qFormat/>
    <w:uiPriority w:val="0"/>
    <w:rPr>
      <w:rFonts w:hint="default" w:ascii="MingLiU" w:hAnsi="MingLiU" w:eastAsia="MingLiU"/>
      <w:spacing w:val="-20"/>
      <w:sz w:val="23"/>
      <w:lang w:val="en-US" w:eastAsia="en-US" w:bidi="ar-SA"/>
    </w:rPr>
  </w:style>
  <w:style w:type="character" w:customStyle="1" w:styleId="242">
    <w:name w:val="正文文本 (5) + 间距 -1 pt"/>
    <w:qFormat/>
    <w:uiPriority w:val="0"/>
    <w:rPr>
      <w:rFonts w:hint="default" w:ascii="MingLiU" w:hAnsi="MingLiU" w:eastAsia="MingLiU"/>
      <w:spacing w:val="-20"/>
      <w:sz w:val="23"/>
      <w:lang w:val="en-US" w:eastAsia="en-US" w:bidi="ar-SA"/>
    </w:rPr>
  </w:style>
  <w:style w:type="character" w:customStyle="1" w:styleId="243">
    <w:name w:val="正文文本 + MingLiU9"/>
    <w:unhideWhenUsed/>
    <w:qFormat/>
    <w:uiPriority w:val="99"/>
    <w:rPr>
      <w:rFonts w:hint="default" w:ascii="MingLiU" w:hAnsi="MingLiU" w:eastAsia="MingLiU"/>
      <w:spacing w:val="-20"/>
      <w:sz w:val="23"/>
      <w:lang w:val="en-US" w:eastAsia="en-US" w:bidi="ar-SA"/>
    </w:rPr>
  </w:style>
  <w:style w:type="character" w:customStyle="1" w:styleId="244">
    <w:name w:val="表格标题 (3)_"/>
    <w:link w:val="245"/>
    <w:qFormat/>
    <w:uiPriority w:val="0"/>
    <w:rPr>
      <w:rFonts w:ascii="MingLiU" w:hAnsi="MingLiU" w:eastAsia="MingLiU"/>
      <w:sz w:val="23"/>
      <w:shd w:val="clear" w:color="auto" w:fill="FFFFFF"/>
    </w:rPr>
  </w:style>
  <w:style w:type="paragraph" w:customStyle="1" w:styleId="245">
    <w:name w:val="表格标题 (3)"/>
    <w:basedOn w:val="1"/>
    <w:link w:val="244"/>
    <w:qFormat/>
    <w:uiPriority w:val="0"/>
    <w:pPr>
      <w:shd w:val="clear" w:color="auto" w:fill="FFFFFF"/>
      <w:spacing w:line="240" w:lineRule="atLeast"/>
    </w:pPr>
    <w:rPr>
      <w:rFonts w:ascii="MingLiU" w:hAnsi="MingLiU" w:eastAsia="MingLiU"/>
      <w:kern w:val="0"/>
      <w:sz w:val="23"/>
    </w:rPr>
  </w:style>
  <w:style w:type="character" w:customStyle="1" w:styleId="246">
    <w:name w:val="正文文本 + MingLiU4"/>
    <w:unhideWhenUsed/>
    <w:qFormat/>
    <w:uiPriority w:val="99"/>
    <w:rPr>
      <w:rFonts w:hint="eastAsia" w:ascii="MingLiU" w:hAnsi="MingLiU" w:eastAsia="MingLiU"/>
      <w:spacing w:val="-10"/>
      <w:lang w:bidi="ar-SA"/>
    </w:rPr>
  </w:style>
  <w:style w:type="character" w:customStyle="1" w:styleId="247">
    <w:name w:val="Char Char1 Char Char Char Char Char Char Char Char Char Char Char Char Char Char Char Char Char Char Char Char1 Char Char"/>
    <w:link w:val="248"/>
    <w:qFormat/>
    <w:locked/>
    <w:uiPriority w:val="0"/>
    <w:rPr>
      <w:rFonts w:ascii="宋体" w:hAnsi="宋体" w:cs="宋体"/>
      <w:kern w:val="2"/>
      <w:sz w:val="24"/>
      <w:szCs w:val="24"/>
    </w:rPr>
  </w:style>
  <w:style w:type="paragraph" w:customStyle="1" w:styleId="248">
    <w:name w:val="Char Char1 Char Char Char Char Char Char Char Char Char Char Char Char Char Char Char Char Char Char Char Char1 Char"/>
    <w:basedOn w:val="1"/>
    <w:link w:val="247"/>
    <w:qFormat/>
    <w:uiPriority w:val="0"/>
    <w:pPr>
      <w:spacing w:line="360" w:lineRule="auto"/>
      <w:ind w:firstLine="200" w:firstLineChars="200"/>
    </w:pPr>
    <w:rPr>
      <w:rFonts w:ascii="宋体" w:hAnsi="宋体"/>
      <w:sz w:val="24"/>
      <w:szCs w:val="24"/>
    </w:rPr>
  </w:style>
  <w:style w:type="character" w:customStyle="1" w:styleId="249">
    <w:name w:val="页眉或页脚 + MingLiU"/>
    <w:qFormat/>
    <w:uiPriority w:val="99"/>
    <w:rPr>
      <w:rFonts w:hint="default" w:ascii="MingLiU" w:hAnsi="MingLiU" w:eastAsia="MingLiU"/>
      <w:lang w:val="en-US" w:eastAsia="en-US" w:bidi="ar-SA"/>
    </w:rPr>
  </w:style>
  <w:style w:type="paragraph" w:customStyle="1" w:styleId="250">
    <w:name w:val="4"/>
    <w:basedOn w:val="1"/>
    <w:next w:val="14"/>
    <w:qFormat/>
    <w:uiPriority w:val="0"/>
    <w:pPr>
      <w:spacing w:after="120"/>
      <w:ind w:left="420" w:leftChars="200"/>
    </w:pPr>
    <w:rPr>
      <w:szCs w:val="24"/>
    </w:rPr>
  </w:style>
  <w:style w:type="character" w:customStyle="1" w:styleId="251">
    <w:name w:val="正文文本 (8) + 12.5 pt"/>
    <w:qFormat/>
    <w:uiPriority w:val="99"/>
    <w:rPr>
      <w:rFonts w:ascii="MingLiU" w:hAnsi="MingLiU" w:eastAsia="MingLiU" w:cs="MingLiU"/>
      <w:spacing w:val="0"/>
      <w:sz w:val="25"/>
      <w:szCs w:val="25"/>
      <w:lang w:val="en-US" w:eastAsia="en-US"/>
    </w:rPr>
  </w:style>
  <w:style w:type="character" w:customStyle="1" w:styleId="252">
    <w:name w:val="正文文本 (8) + SimSun"/>
    <w:qFormat/>
    <w:uiPriority w:val="99"/>
    <w:rPr>
      <w:rFonts w:ascii="宋体" w:hAnsi="宋体" w:eastAsia="宋体" w:cs="宋体"/>
      <w:spacing w:val="0"/>
      <w:lang w:val="en-US" w:eastAsia="en-US"/>
    </w:rPr>
  </w:style>
  <w:style w:type="paragraph" w:customStyle="1" w:styleId="253">
    <w:name w:val="简单回函地址"/>
    <w:basedOn w:val="1"/>
    <w:qFormat/>
    <w:uiPriority w:val="0"/>
    <w:pPr>
      <w:adjustRightInd w:val="0"/>
      <w:spacing w:line="312" w:lineRule="atLeast"/>
    </w:pPr>
    <w:rPr>
      <w:kern w:val="0"/>
    </w:rPr>
  </w:style>
  <w:style w:type="character" w:customStyle="1" w:styleId="254">
    <w:name w:val="正文文本 + 11.5 pt"/>
    <w:qFormat/>
    <w:uiPriority w:val="0"/>
    <w:rPr>
      <w:rFonts w:ascii="宋体" w:hAnsi="宋体" w:eastAsia="宋体"/>
      <w:b/>
      <w:sz w:val="23"/>
      <w:lang w:bidi="ar-SA"/>
    </w:rPr>
  </w:style>
  <w:style w:type="paragraph" w:customStyle="1" w:styleId="255">
    <w:name w:val="Char3"/>
    <w:basedOn w:val="1"/>
    <w:qFormat/>
    <w:uiPriority w:val="0"/>
    <w:rPr>
      <w:szCs w:val="24"/>
    </w:rPr>
  </w:style>
  <w:style w:type="paragraph" w:customStyle="1" w:styleId="256">
    <w:name w:val="Revision"/>
    <w:hidden/>
    <w:unhideWhenUsed/>
    <w:uiPriority w:val="99"/>
    <w:rPr>
      <w:rFonts w:ascii="Times New Roman" w:hAnsi="Times New Roman" w:eastAsia="宋体" w:cs="Times New Roman"/>
      <w:kern w:val="2"/>
      <w:sz w:val="21"/>
      <w:lang w:val="en-US" w:eastAsia="zh-CN" w:bidi="ar-SA"/>
    </w:rPr>
  </w:style>
  <w:style w:type="paragraph" w:customStyle="1" w:styleId="257">
    <w:name w:val="样式 (符号) 宋体 小四 行距: 固定值 26 磅"/>
    <w:basedOn w:val="1"/>
    <w:qFormat/>
    <w:uiPriority w:val="0"/>
    <w:pPr>
      <w:spacing w:line="520" w:lineRule="exact"/>
      <w:ind w:firstLine="480" w:firstLineChars="200"/>
    </w:pPr>
    <w:rPr>
      <w:rFonts w:hAnsi="宋体" w:eastAsia="宋体" w:cs="宋体"/>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wmf"/><Relationship Id="rId16" Type="http://schemas.openxmlformats.org/officeDocument/2006/relationships/oleObject" Target="embeddings/oleObject1.bin"/><Relationship Id="rId15" Type="http://schemas.openxmlformats.org/officeDocument/2006/relationships/image" Target="media/image3.wmf"/><Relationship Id="rId14" Type="http://schemas.openxmlformats.org/officeDocument/2006/relationships/image" Target="media/image2.wmf"/><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111"/>
    <customShpInfo spid="_x0000_s1110"/>
    <customShpInfo spid="_x0000_s1027"/>
    <customShpInfo spid="_x0000_s1109"/>
    <customShpInfo spid="_x0000_s1028"/>
    <customShpInfo spid="_x0000_s1029"/>
    <customShpInfo spid="_x0000_s1108"/>
    <customShpInfo spid="_x0000_s1107"/>
    <customShpInfo spid="_x0000_s1106"/>
    <customShpInfo spid="_x0000_s1030"/>
    <customShpInfo spid="_x0000_s1031"/>
    <customShpInfo spid="_x0000_s1105"/>
    <customShpInfo spid="_x0000_s1104"/>
    <customShpInfo spid="_x0000_s1103"/>
    <customShpInfo spid="_x0000_s1102"/>
    <customShpInfo spid="_x0000_s1101"/>
    <customShpInfo spid="_x0000_s1032"/>
    <customShpInfo spid="_x0000_s1033"/>
    <customShpInfo spid="_x0000_s1034"/>
    <customShpInfo spid="_x0000_s1035"/>
    <customShpInfo spid="_x0000_s1100"/>
    <customShpInfo spid="_x0000_s1036"/>
    <customShpInfo spid="_x0000_s1037"/>
    <customShpInfo spid="_x0000_s1038"/>
    <customShpInfo spid="_x0000_s1039"/>
    <customShpInfo spid="_x0000_s1040"/>
    <customShpInfo spid="_x0000_s1041"/>
    <customShpInfo spid="_x0000_s1042"/>
    <customShpInfo spid="_x0000_s1043"/>
    <customShpInfo spid="_x0000_s1099"/>
    <customShpInfo spid="_x0000_s1098"/>
    <customShpInfo spid="_x0000_s1044"/>
    <customShpInfo spid="_x0000_s1097"/>
    <customShpInfo spid="_x0000_s1096"/>
    <customShpInfo spid="_x0000_s1095"/>
    <customShpInfo spid="_x0000_s1094"/>
    <customShpInfo spid="_x0000_s1045"/>
    <customShpInfo spid="_x0000_s1093"/>
    <customShpInfo spid="_x0000_s1046"/>
    <customShpInfo spid="_x0000_s1047"/>
    <customShpInfo spid="_x0000_s1092"/>
    <customShpInfo spid="_x0000_s1091"/>
    <customShpInfo spid="_x0000_s1048"/>
    <customShpInfo spid="_x0000_s1049"/>
    <customShpInfo spid="_x0000_s1050"/>
    <customShpInfo spid="_x0000_s1051"/>
    <customShpInfo spid="_x0000_s1090"/>
    <customShpInfo spid="_x0000_s1089"/>
    <customShpInfo spid="_x0000_s1052"/>
    <customShpInfo spid="_x0000_s1053"/>
    <customShpInfo spid="_x0000_s1054"/>
    <customShpInfo spid="_x0000_s1088"/>
    <customShpInfo spid="_x0000_s1055"/>
    <customShpInfo spid="_x0000_s1087"/>
    <customShpInfo spid="_x0000_s1086"/>
    <customShpInfo spid="_x0000_s1056"/>
    <customShpInfo spid="_x0000_s1057"/>
    <customShpInfo spid="_x0000_s1058"/>
    <customShpInfo spid="_x0000_s1059"/>
    <customShpInfo spid="_x0000_s1085"/>
    <customShpInfo spid="_x0000_s1084"/>
    <customShpInfo spid="_x0000_s1060"/>
    <customShpInfo spid="_x0000_s1061"/>
    <customShpInfo spid="_x0000_s1062"/>
    <customShpInfo spid="_x0000_s1083"/>
    <customShpInfo spid="_x0000_s1082"/>
    <customShpInfo spid="_x0000_s1063"/>
    <customShpInfo spid="_x0000_s1081"/>
    <customShpInfo spid="_x0000_s1064"/>
    <customShpInfo spid="_x0000_s1065"/>
    <customShpInfo spid="_x0000_s1066"/>
    <customShpInfo spid="_x0000_s1080"/>
    <customShpInfo spid="_x0000_s1067"/>
    <customShpInfo spid="_x0000_s1079"/>
    <customShpInfo spid="_x0000_s1078"/>
    <customShpInfo spid="_x0000_s1077"/>
    <customShpInfo spid="_x0000_s1076"/>
    <customShpInfo spid="_x0000_s1075"/>
    <customShpInfo spid="_x0000_s1068"/>
    <customShpInfo spid="_x0000_s1074"/>
    <customShpInfo spid="_x0000_s1069"/>
    <customShpInfo spid="_x0000_s1073"/>
    <customShpInfo spid="_x0000_s1072"/>
    <customShpInfo spid="_x0000_s107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103F8-DCBA-4CC9-9196-AED625EC774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48</Pages>
  <Words>29404</Words>
  <Characters>33561</Characters>
  <Lines>258</Lines>
  <Paragraphs>72</Paragraphs>
  <ScaleCrop>false</ScaleCrop>
  <LinksUpToDate>false</LinksUpToDate>
  <CharactersWithSpaces>34251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2018-05-02T06:35:00Z</dcterms:created>
  <dc:creator>微软用户</dc:creator>
  <cp:lastModifiedBy>hp</cp:lastModifiedBy>
  <cp:lastPrinted>2017-06-06T02:55:00Z</cp:lastPrinted>
  <dcterms:modified xsi:type="dcterms:W3CDTF">2018-05-02T13:12:42Z</dcterms:modified>
  <dc:title>建设项目环境影响报告表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