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8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黑体" w:hAnsi="黑体" w:eastAsia="黑体" w:cs="黑体"/>
          <w:i w:val="0"/>
          <w:iCs w:val="0"/>
          <w:caps w:val="0"/>
          <w:color w:val="000000"/>
          <w:spacing w:val="0"/>
          <w:sz w:val="40"/>
          <w:szCs w:val="40"/>
          <w:shd w:val="clear" w:fill="FFFFFF"/>
          <w:lang w:val="en-US" w:eastAsia="zh-CN"/>
        </w:rPr>
      </w:pPr>
      <w:bookmarkStart w:id="0" w:name="_GoBack"/>
      <w:r>
        <w:rPr>
          <w:rFonts w:hint="eastAsia" w:ascii="黑体" w:hAnsi="黑体" w:eastAsia="黑体" w:cs="黑体"/>
          <w:i w:val="0"/>
          <w:iCs w:val="0"/>
          <w:caps w:val="0"/>
          <w:color w:val="000000"/>
          <w:spacing w:val="0"/>
          <w:sz w:val="40"/>
          <w:szCs w:val="40"/>
          <w:shd w:val="clear" w:fill="FFFFFF"/>
          <w:lang w:val="en-US" w:eastAsia="zh-CN"/>
        </w:rPr>
        <w:t>2024年度怀化市生态环境局洪江市分局</w:t>
      </w:r>
    </w:p>
    <w:p w14:paraId="537CC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黑体" w:hAnsi="黑体" w:eastAsia="黑体" w:cs="黑体"/>
          <w:i w:val="0"/>
          <w:iCs w:val="0"/>
          <w:caps w:val="0"/>
          <w:color w:val="000000"/>
          <w:spacing w:val="0"/>
          <w:sz w:val="40"/>
          <w:szCs w:val="40"/>
          <w:shd w:val="clear" w:fill="FFFFFF"/>
          <w:lang w:val="en-US" w:eastAsia="zh-CN"/>
        </w:rPr>
      </w:pPr>
      <w:r>
        <w:rPr>
          <w:rFonts w:hint="eastAsia" w:ascii="黑体" w:hAnsi="黑体" w:eastAsia="黑体" w:cs="黑体"/>
          <w:i w:val="0"/>
          <w:iCs w:val="0"/>
          <w:caps w:val="0"/>
          <w:color w:val="000000"/>
          <w:spacing w:val="0"/>
          <w:sz w:val="40"/>
          <w:szCs w:val="40"/>
          <w:shd w:val="clear" w:fill="FFFFFF"/>
          <w:lang w:val="en-US" w:eastAsia="zh-CN"/>
        </w:rPr>
        <w:t>整体支出绩效自评报告</w:t>
      </w:r>
      <w:bookmarkEnd w:id="0"/>
    </w:p>
    <w:p w14:paraId="31D1EBC1">
      <w:pPr>
        <w:pStyle w:val="6"/>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lang w:val="en-US" w:eastAsia="zh-CN"/>
        </w:rPr>
      </w:pPr>
    </w:p>
    <w:p w14:paraId="665FCA0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3EFBC8F3">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02013EEA">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3421F1C1">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生态环境局洪江市分局作为怀化市生态环境局的二级部门预算单位，内设科室为：办公室、法制宣传股、环保督察协调股、行政审批股、污染防治股；二级机构为：怀化市洪江市生态环境综合行政执法大队、怀化市洪江市生态环境监测站。</w:t>
      </w:r>
    </w:p>
    <w:p w14:paraId="6542D71F">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3EED63A0">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本单位2024年编制数34人，年末实有在编在岗人数31人。</w:t>
      </w:r>
    </w:p>
    <w:p w14:paraId="72BB90B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w:t>
      </w:r>
    </w:p>
    <w:p w14:paraId="3C4AF8E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（1）贯彻执行国家生态环境基本制度。会同同级有关部门拟定生态环境保护规划、规范、制度，经批准后组织实施；会同同级有关部门编制并监督实施重点区域、流域、饮用水源地生态环境规划和水功能区划。</w:t>
      </w:r>
    </w:p>
    <w:p w14:paraId="397F69E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（2）负责统筹协调和监督管理生态环境保护工作。组织协调环境污染事故和生态破坏事件的调查处理，指导协调突发生态环境事件的应急、预警工作，参与实施生态环境损害赔偿制度。</w:t>
      </w:r>
    </w:p>
    <w:p w14:paraId="499976A2">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3F47493C">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4BE635A1">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17360D1A">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02E18A04">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（7）负责生态环境准入的监督管理。组织实施生态环境准入清单；按规定审批或审查开发建设区域、规划、项目环境影响评价文件。</w:t>
      </w:r>
    </w:p>
    <w:p w14:paraId="1864B57F">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（8）负责生态环境监测工作。组织实施生态环境执法监测、应急监测、环境质量监测、污染源监测。</w:t>
      </w:r>
    </w:p>
    <w:p w14:paraId="05731E10">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请提问责。</w:t>
      </w:r>
    </w:p>
    <w:p w14:paraId="624F883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（10）统一负责生态环境保护综合行政执法。组织开展生态环境保护执法检查活动，查处生态环境违法问题。</w:t>
      </w:r>
    </w:p>
    <w:p w14:paraId="4382883F">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（11）组织指导和协调生态环境宣传教育工作。推动社会组织和公众参与生态环境保护；开展生态环境科技工作，组织生态环境重大科学研究和技术工程示范。</w:t>
      </w:r>
    </w:p>
    <w:p w14:paraId="6AD10D7C">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（12）完成市生态环境局和县市区委、区政府交办的其他工作。</w:t>
      </w:r>
    </w:p>
    <w:p w14:paraId="1840FAE4">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0221434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spacing w:val="-2"/>
          <w:sz w:val="32"/>
          <w:szCs w:val="32"/>
          <w:highlight w:val="none"/>
          <w:lang w:val="en-US" w:eastAsia="zh-CN"/>
        </w:rPr>
      </w:pPr>
      <w:r>
        <w:rPr>
          <w:rFonts w:hint="eastAsia" w:ascii="仿宋" w:hAnsi="仿宋" w:eastAsia="仿宋" w:cs="仿宋"/>
          <w:color w:val="auto"/>
          <w:sz w:val="32"/>
          <w:szCs w:val="32"/>
          <w:highlight w:val="none"/>
          <w:lang w:val="en-US" w:eastAsia="zh-CN"/>
        </w:rPr>
        <w:t>2024年本单位年初整体支出预算405.77万元，其中，基本支出405.77万元；2024年度本单位实际整体支出为1969.55万元，其中：基本支出660.3万元，项目支出1309.25万元。较年初预算增加1563.78元，增长385.38%，原因是本单位为怀化市派驻洪江市二级机构，为市级</w:t>
      </w:r>
      <w:r>
        <w:rPr>
          <w:rFonts w:hint="eastAsia" w:ascii="仿宋" w:hAnsi="仿宋" w:eastAsia="仿宋"/>
          <w:spacing w:val="-2"/>
          <w:sz w:val="32"/>
          <w:szCs w:val="32"/>
          <w:highlight w:val="none"/>
          <w:lang w:val="en-US" w:eastAsia="zh-CN"/>
        </w:rPr>
        <w:t>部门预算单位，洪江市（县级）财政拨人员及项目资金未纳入年初预算。</w:t>
      </w:r>
    </w:p>
    <w:p w14:paraId="3240C72C">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2024年单位整体支出</w:t>
      </w:r>
      <w:r>
        <w:rPr>
          <w:rFonts w:hint="eastAsia" w:ascii="仿宋" w:hAnsi="仿宋" w:eastAsia="仿宋"/>
          <w:spacing w:val="-2"/>
          <w:sz w:val="32"/>
          <w:szCs w:val="32"/>
          <w:highlight w:val="none"/>
          <w:lang w:val="en-US" w:eastAsia="zh-CN"/>
        </w:rPr>
        <w:t>主要用于节能环保支出、社会保障和就业支出、城乡社区支出、其他支出。其中基本支出主要为在职及离退休人员经费和公用经费；项目支出主要用于第二轮省生态环境保护督察工作经费、国家重点生态功能区县域生态环境质量监测外委服务费、大气自动监测站设备更新资金、省级流域生态保护补偿资金、省级环保专项资金、中央土壤污染防治资金、双溪社区蒋家冲石煤矿遗留治理、德坤污水处理站扩容改造项目、真抓实干、乡村振兴、清江湖河滨缓冲带项目、双溪社区黑水池整治、农村环境综合整治项目等方面。</w:t>
      </w:r>
    </w:p>
    <w:p w14:paraId="3955EA3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76B2B5C7">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2FCC3DF5">
      <w:pPr>
        <w:keepNext w:val="0"/>
        <w:keepLines w:val="0"/>
        <w:pageBreakBefore w:val="0"/>
        <w:widowControl/>
        <w:shd w:val="clear" w:color="auto" w:fill="FFFFFF"/>
        <w:kinsoku/>
        <w:wordWrap/>
        <w:overflowPunct/>
        <w:topLinePunct w:val="0"/>
        <w:autoSpaceDE/>
        <w:autoSpaceDN/>
        <w:bidi w:val="0"/>
        <w:adjustRightInd/>
        <w:spacing w:line="640" w:lineRule="exact"/>
        <w:ind w:left="0" w:right="0" w:firstLine="640"/>
        <w:textAlignment w:val="auto"/>
        <w:outlineLvl w:val="9"/>
        <w:rPr>
          <w:rFonts w:hint="eastAsia" w:ascii="仿宋" w:hAnsi="仿宋" w:eastAsia="仿宋" w:cs="Times New Roman"/>
          <w:spacing w:val="-2"/>
          <w:sz w:val="32"/>
          <w:szCs w:val="32"/>
          <w:lang w:val="en-US" w:eastAsia="zh-CN"/>
        </w:rPr>
      </w:pPr>
      <w:r>
        <w:rPr>
          <w:rFonts w:ascii="仿宋" w:hAnsi="仿宋" w:eastAsia="仿宋" w:cs="仿宋"/>
          <w:color w:val="auto"/>
          <w:spacing w:val="-2"/>
          <w:kern w:val="2"/>
          <w:sz w:val="32"/>
          <w:szCs w:val="32"/>
          <w:lang w:val="en-US" w:eastAsia="zh-CN" w:bidi="ar-SA"/>
        </w:rPr>
        <w:t>基本支出系保障</w:t>
      </w:r>
      <w:r>
        <w:rPr>
          <w:rFonts w:hint="eastAsia" w:ascii="仿宋" w:hAnsi="仿宋" w:eastAsia="仿宋" w:cs="仿宋"/>
          <w:color w:val="auto"/>
          <w:spacing w:val="-2"/>
          <w:kern w:val="2"/>
          <w:sz w:val="32"/>
          <w:szCs w:val="32"/>
          <w:lang w:val="en-US" w:eastAsia="zh-CN" w:bidi="ar-SA"/>
        </w:rPr>
        <w:t>我单位</w:t>
      </w:r>
      <w:r>
        <w:rPr>
          <w:rFonts w:ascii="仿宋" w:hAnsi="仿宋" w:eastAsia="仿宋" w:cs="仿宋"/>
          <w:color w:val="auto"/>
          <w:spacing w:val="-2"/>
          <w:kern w:val="2"/>
          <w:sz w:val="32"/>
          <w:szCs w:val="32"/>
          <w:lang w:val="en-US" w:eastAsia="zh-CN" w:bidi="ar-SA"/>
        </w:rPr>
        <w:t>正常运转、完成日常工作任务而发生的</w:t>
      </w:r>
      <w:r>
        <w:rPr>
          <w:rFonts w:hint="eastAsia" w:ascii="仿宋" w:hAnsi="仿宋" w:eastAsia="仿宋" w:cs="仿宋"/>
          <w:color w:val="auto"/>
          <w:spacing w:val="-2"/>
          <w:kern w:val="2"/>
          <w:sz w:val="32"/>
          <w:szCs w:val="21"/>
          <w:lang w:val="en-US" w:eastAsia="zh-CN" w:bidi="ar-SA"/>
        </w:rPr>
        <w:t>人员经费和日常公用经费。</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年基本支出</w:t>
      </w:r>
      <w:r>
        <w:rPr>
          <w:rFonts w:hint="eastAsia" w:ascii="仿宋" w:hAnsi="仿宋" w:eastAsia="仿宋"/>
          <w:spacing w:val="-2"/>
          <w:sz w:val="32"/>
          <w:szCs w:val="32"/>
          <w:highlight w:val="none"/>
          <w:lang w:val="en-US" w:eastAsia="zh-CN"/>
        </w:rPr>
        <w:t>660.3</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lang w:val="en-US" w:eastAsia="zh-CN"/>
        </w:rPr>
        <w:t xml:space="preserve">具体如下： </w:t>
      </w:r>
    </w:p>
    <w:p w14:paraId="7EAAFAE8">
      <w:pPr>
        <w:keepNext w:val="0"/>
        <w:keepLines w:val="0"/>
        <w:pageBreakBefore w:val="0"/>
        <w:widowControl/>
        <w:numPr>
          <w:ilvl w:val="0"/>
          <w:numId w:val="1"/>
        </w:numPr>
        <w:shd w:val="clear" w:color="auto" w:fill="FFFFFF"/>
        <w:kinsoku/>
        <w:wordWrap/>
        <w:overflowPunct/>
        <w:topLinePunct w:val="0"/>
        <w:autoSpaceDE/>
        <w:autoSpaceDN/>
        <w:bidi w:val="0"/>
        <w:adjustRightInd/>
        <w:spacing w:line="640" w:lineRule="exact"/>
        <w:ind w:left="0" w:right="0" w:firstLine="640"/>
        <w:textAlignment w:val="auto"/>
        <w:outlineLvl w:val="9"/>
        <w:rPr>
          <w:rFonts w:hint="eastAsia" w:ascii="仿宋" w:hAnsi="仿宋" w:eastAsia="仿宋" w:cs="仿宋"/>
          <w:spacing w:val="-2"/>
          <w:sz w:val="32"/>
          <w:szCs w:val="32"/>
          <w:lang w:eastAsia="zh-CN"/>
        </w:rPr>
      </w:pPr>
      <w:r>
        <w:rPr>
          <w:rFonts w:hint="eastAsia" w:ascii="仿宋" w:hAnsi="仿宋" w:eastAsia="仿宋" w:cs="仿宋"/>
          <w:spacing w:val="-2"/>
          <w:sz w:val="32"/>
          <w:szCs w:val="32"/>
        </w:rPr>
        <w:t>人员经费。人员经费</w:t>
      </w:r>
      <w:r>
        <w:rPr>
          <w:rFonts w:hint="eastAsia" w:ascii="仿宋" w:hAnsi="仿宋" w:eastAsia="仿宋" w:cs="仿宋"/>
          <w:color w:val="auto"/>
          <w:spacing w:val="-2"/>
          <w:kern w:val="2"/>
          <w:sz w:val="32"/>
          <w:szCs w:val="32"/>
          <w:lang w:val="en-US" w:eastAsia="zh-CN" w:bidi="ar-SA"/>
        </w:rPr>
        <w:t>454.66万</w:t>
      </w:r>
      <w:r>
        <w:rPr>
          <w:rFonts w:hint="eastAsia" w:ascii="仿宋" w:hAnsi="仿宋" w:eastAsia="仿宋" w:cs="仿宋"/>
          <w:spacing w:val="-2"/>
          <w:sz w:val="32"/>
          <w:szCs w:val="32"/>
        </w:rPr>
        <w:t>元，占基本支出的</w:t>
      </w:r>
      <w:r>
        <w:rPr>
          <w:rFonts w:hint="eastAsia" w:ascii="仿宋" w:hAnsi="仿宋" w:eastAsia="仿宋" w:cs="仿宋"/>
          <w:color w:val="auto"/>
          <w:spacing w:val="-2"/>
          <w:kern w:val="2"/>
          <w:sz w:val="32"/>
          <w:szCs w:val="32"/>
          <w:lang w:val="en-US" w:eastAsia="zh-CN" w:bidi="ar-SA"/>
        </w:rPr>
        <w:t>68.86</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p>
    <w:p w14:paraId="3203F844">
      <w:pPr>
        <w:keepNext w:val="0"/>
        <w:keepLines w:val="0"/>
        <w:pageBreakBefore w:val="0"/>
        <w:widowControl/>
        <w:numPr>
          <w:ilvl w:val="0"/>
          <w:numId w:val="0"/>
        </w:numPr>
        <w:shd w:val="clear" w:color="auto" w:fill="FFFFFF"/>
        <w:kinsoku/>
        <w:wordWrap/>
        <w:overflowPunct/>
        <w:topLinePunct w:val="0"/>
        <w:autoSpaceDE/>
        <w:autoSpaceDN/>
        <w:bidi w:val="0"/>
        <w:adjustRightInd/>
        <w:spacing w:line="640" w:lineRule="exact"/>
        <w:ind w:right="0" w:rightChars="0" w:firstLine="632" w:firstLineChars="200"/>
        <w:textAlignment w:val="auto"/>
        <w:outlineLvl w:val="9"/>
        <w:rPr>
          <w:rFonts w:hint="eastAsia" w:hAnsi="仿宋" w:eastAsia="仿宋"/>
          <w:spacing w:val="-2"/>
          <w:sz w:val="32"/>
          <w:szCs w:val="32"/>
          <w:lang w:eastAsia="zh-CN"/>
        </w:rPr>
      </w:pPr>
      <w:r>
        <w:rPr>
          <w:rFonts w:hint="eastAsia" w:ascii="仿宋" w:hAnsi="仿宋" w:eastAsia="仿宋" w:cs="仿宋"/>
          <w:spacing w:val="-2"/>
          <w:sz w:val="32"/>
          <w:szCs w:val="32"/>
        </w:rPr>
        <w:t>①工资福利支出</w:t>
      </w:r>
      <w:r>
        <w:rPr>
          <w:rFonts w:hint="eastAsia" w:ascii="仿宋" w:hAnsi="仿宋" w:eastAsia="仿宋" w:cs="仿宋"/>
          <w:color w:val="auto"/>
          <w:spacing w:val="-2"/>
          <w:kern w:val="2"/>
          <w:sz w:val="32"/>
          <w:szCs w:val="32"/>
          <w:lang w:val="en-US" w:eastAsia="zh-CN" w:bidi="ar-SA"/>
        </w:rPr>
        <w:t>438.62</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w:t>
      </w:r>
      <w:r>
        <w:rPr>
          <w:rFonts w:hint="eastAsia" w:hAnsi="仿宋" w:eastAsia="仿宋"/>
          <w:spacing w:val="-2"/>
          <w:sz w:val="32"/>
          <w:szCs w:val="32"/>
        </w:rPr>
        <w:t>绩效工资</w:t>
      </w:r>
      <w:r>
        <w:rPr>
          <w:rFonts w:hint="eastAsia" w:hAnsi="仿宋" w:eastAsia="仿宋"/>
          <w:spacing w:val="-2"/>
          <w:sz w:val="32"/>
          <w:szCs w:val="32"/>
          <w:lang w:eastAsia="zh-CN"/>
        </w:rPr>
        <w:t>、</w:t>
      </w:r>
      <w:r>
        <w:rPr>
          <w:rFonts w:hAnsi="仿宋" w:eastAsia="仿宋"/>
          <w:spacing w:val="-2"/>
          <w:sz w:val="32"/>
          <w:szCs w:val="32"/>
        </w:rPr>
        <w:t>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rPr>
        <w:t>住房公积金</w:t>
      </w:r>
      <w:r>
        <w:rPr>
          <w:rFonts w:hint="eastAsia" w:hAnsi="仿宋" w:eastAsia="仿宋"/>
          <w:spacing w:val="-2"/>
          <w:sz w:val="32"/>
          <w:szCs w:val="32"/>
          <w:lang w:eastAsia="zh-CN"/>
        </w:rPr>
        <w:t>、</w:t>
      </w:r>
      <w:r>
        <w:rPr>
          <w:rFonts w:hint="eastAsia" w:hAnsi="仿宋" w:eastAsia="仿宋"/>
          <w:spacing w:val="-2"/>
          <w:sz w:val="32"/>
          <w:szCs w:val="32"/>
          <w:lang w:val="en-US" w:eastAsia="zh-CN"/>
        </w:rPr>
        <w:t>其他工资福利等支出</w:t>
      </w:r>
      <w:r>
        <w:rPr>
          <w:rFonts w:hint="eastAsia" w:hAnsi="仿宋" w:eastAsia="仿宋"/>
          <w:spacing w:val="-2"/>
          <w:sz w:val="32"/>
          <w:szCs w:val="32"/>
          <w:lang w:eastAsia="zh-CN"/>
        </w:rPr>
        <w:t>。</w:t>
      </w:r>
    </w:p>
    <w:p w14:paraId="3FA1F754">
      <w:pPr>
        <w:keepNext w:val="0"/>
        <w:keepLines w:val="0"/>
        <w:pageBreakBefore w:val="0"/>
        <w:widowControl/>
        <w:shd w:val="clear" w:color="auto" w:fill="FFFFFF"/>
        <w:kinsoku/>
        <w:wordWrap/>
        <w:overflowPunct/>
        <w:topLinePunct w:val="0"/>
        <w:autoSpaceDE/>
        <w:autoSpaceDN/>
        <w:bidi w:val="0"/>
        <w:adjustRightInd/>
        <w:spacing w:line="640" w:lineRule="exact"/>
        <w:ind w:left="0" w:right="0" w:firstLine="640"/>
        <w:textAlignment w:val="auto"/>
        <w:outlineLvl w:val="9"/>
      </w:pPr>
      <w:r>
        <w:rPr>
          <w:rFonts w:hint="eastAsia" w:ascii="仿宋" w:hAnsi="仿宋" w:eastAsia="仿宋" w:cs="仿宋"/>
          <w:spacing w:val="-2"/>
          <w:sz w:val="32"/>
          <w:szCs w:val="32"/>
        </w:rPr>
        <w:t>②对个人和家庭补助支出</w:t>
      </w:r>
      <w:r>
        <w:rPr>
          <w:rFonts w:hint="eastAsia" w:ascii="仿宋" w:hAnsi="仿宋" w:eastAsia="仿宋" w:cs="仿宋"/>
          <w:color w:val="auto"/>
          <w:spacing w:val="-2"/>
          <w:kern w:val="2"/>
          <w:sz w:val="32"/>
          <w:szCs w:val="32"/>
          <w:lang w:val="en-US" w:eastAsia="zh-CN" w:bidi="ar-SA"/>
        </w:rPr>
        <w:t>16.04</w:t>
      </w:r>
      <w:r>
        <w:rPr>
          <w:rFonts w:hint="eastAsia" w:ascii="仿宋" w:hAnsi="仿宋" w:eastAsia="仿宋" w:cs="仿宋"/>
          <w:spacing w:val="-2"/>
          <w:sz w:val="32"/>
          <w:szCs w:val="32"/>
        </w:rPr>
        <w:t>万元。主要包括生活补助、</w:t>
      </w:r>
      <w:r>
        <w:rPr>
          <w:rFonts w:hint="eastAsia" w:ascii="仿宋" w:hAnsi="仿宋" w:eastAsia="仿宋" w:cs="仿宋"/>
          <w:spacing w:val="-2"/>
          <w:sz w:val="32"/>
          <w:szCs w:val="32"/>
          <w:lang w:eastAsia="zh-CN"/>
        </w:rPr>
        <w:t>奖励金</w:t>
      </w:r>
      <w:r>
        <w:rPr>
          <w:rFonts w:hint="eastAsia" w:ascii="仿宋" w:hAnsi="仿宋" w:eastAsia="仿宋" w:cs="仿宋"/>
          <w:spacing w:val="-2"/>
          <w:sz w:val="32"/>
          <w:szCs w:val="32"/>
        </w:rPr>
        <w:t>等支出。</w:t>
      </w:r>
    </w:p>
    <w:p w14:paraId="45FF33F7">
      <w:pPr>
        <w:keepNext w:val="0"/>
        <w:keepLines w:val="0"/>
        <w:pageBreakBefore w:val="0"/>
        <w:widowControl/>
        <w:numPr>
          <w:ilvl w:val="0"/>
          <w:numId w:val="1"/>
        </w:numPr>
        <w:shd w:val="clear" w:color="auto" w:fill="FFFFFF"/>
        <w:kinsoku/>
        <w:wordWrap/>
        <w:overflowPunct/>
        <w:topLinePunct w:val="0"/>
        <w:autoSpaceDE/>
        <w:autoSpaceDN/>
        <w:bidi w:val="0"/>
        <w:adjustRightInd/>
        <w:spacing w:line="640" w:lineRule="exact"/>
        <w:ind w:left="0" w:leftChars="0" w:right="0" w:rightChars="0" w:firstLine="640" w:firstLineChars="0"/>
        <w:textAlignment w:val="auto"/>
        <w:outlineLvl w:val="9"/>
        <w:rPr>
          <w:rFonts w:hint="eastAsia" w:ascii="仿宋" w:hAnsi="仿宋" w:eastAsia="仿宋" w:cs="仿宋"/>
          <w:spacing w:val="-2"/>
          <w:sz w:val="32"/>
          <w:szCs w:val="32"/>
        </w:rPr>
      </w:pPr>
      <w:r>
        <w:rPr>
          <w:rFonts w:hint="eastAsia" w:ascii="仿宋" w:hAnsi="仿宋" w:eastAsia="仿宋" w:cs="仿宋"/>
          <w:spacing w:val="-2"/>
          <w:sz w:val="32"/>
          <w:szCs w:val="32"/>
        </w:rPr>
        <w:t>公用经费。公用经费</w:t>
      </w:r>
      <w:r>
        <w:rPr>
          <w:rFonts w:hint="eastAsia" w:ascii="仿宋" w:hAnsi="仿宋" w:eastAsia="仿宋" w:cs="仿宋"/>
          <w:color w:val="auto"/>
          <w:spacing w:val="-2"/>
          <w:kern w:val="2"/>
          <w:sz w:val="32"/>
          <w:szCs w:val="32"/>
          <w:lang w:val="en-US" w:eastAsia="zh-CN" w:bidi="ar-SA"/>
        </w:rPr>
        <w:t>205.64</w:t>
      </w:r>
      <w:r>
        <w:rPr>
          <w:rFonts w:hint="eastAsia" w:ascii="仿宋" w:hAnsi="仿宋" w:eastAsia="仿宋" w:cs="仿宋"/>
          <w:spacing w:val="-2"/>
          <w:sz w:val="32"/>
          <w:szCs w:val="32"/>
        </w:rPr>
        <w:t>万元，占基本支出的</w:t>
      </w:r>
      <w:r>
        <w:rPr>
          <w:rFonts w:hint="eastAsia" w:ascii="仿宋" w:hAnsi="仿宋" w:eastAsia="仿宋" w:cs="仿宋"/>
          <w:color w:val="auto"/>
          <w:spacing w:val="-2"/>
          <w:kern w:val="2"/>
          <w:sz w:val="32"/>
          <w:szCs w:val="32"/>
          <w:lang w:val="en-US" w:eastAsia="zh-CN" w:bidi="ar-SA"/>
        </w:rPr>
        <w:t>31.14</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p>
    <w:p w14:paraId="082E4598">
      <w:pPr>
        <w:keepNext w:val="0"/>
        <w:keepLines w:val="0"/>
        <w:pageBreakBefore w:val="0"/>
        <w:widowControl/>
        <w:numPr>
          <w:ilvl w:val="0"/>
          <w:numId w:val="0"/>
        </w:numPr>
        <w:shd w:val="clear" w:color="auto" w:fill="FFFFFF"/>
        <w:kinsoku/>
        <w:wordWrap/>
        <w:overflowPunct/>
        <w:topLinePunct w:val="0"/>
        <w:autoSpaceDE/>
        <w:autoSpaceDN/>
        <w:bidi w:val="0"/>
        <w:adjustRightInd/>
        <w:spacing w:line="640" w:lineRule="exact"/>
        <w:ind w:right="0" w:rightChars="0" w:firstLine="632" w:firstLineChars="200"/>
        <w:textAlignment w:val="auto"/>
        <w:outlineLvl w:val="9"/>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①商品和服务支出</w:t>
      </w:r>
      <w:r>
        <w:rPr>
          <w:rFonts w:hint="eastAsia" w:ascii="仿宋" w:hAnsi="仿宋" w:eastAsia="仿宋" w:cs="仿宋"/>
          <w:color w:val="auto"/>
          <w:spacing w:val="-2"/>
          <w:kern w:val="2"/>
          <w:sz w:val="32"/>
          <w:szCs w:val="32"/>
          <w:lang w:val="en-US" w:eastAsia="zh-CN" w:bidi="ar-SA"/>
        </w:rPr>
        <w:t>195.55</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主要包括办公费、</w:t>
      </w:r>
      <w:r>
        <w:rPr>
          <w:rFonts w:hint="eastAsia" w:ascii="仿宋" w:hAnsi="仿宋" w:eastAsia="仿宋" w:cs="仿宋"/>
          <w:spacing w:val="-2"/>
          <w:sz w:val="32"/>
          <w:szCs w:val="32"/>
          <w:lang w:val="en-US" w:eastAsia="zh-CN"/>
        </w:rPr>
        <w:t>印刷费、咨询费、邮电费、差旅费、维修（护）费、租赁费、委托业务费、工会经费、公车运行维护费、其他交通费用、</w:t>
      </w:r>
      <w:r>
        <w:rPr>
          <w:rFonts w:hint="eastAsia" w:ascii="仿宋" w:hAnsi="仿宋" w:eastAsia="仿宋" w:cs="仿宋"/>
          <w:spacing w:val="-2"/>
          <w:sz w:val="32"/>
          <w:szCs w:val="32"/>
        </w:rPr>
        <w:t>其他商品服务支出等。</w:t>
      </w:r>
    </w:p>
    <w:p w14:paraId="53ACE5D6">
      <w:pPr>
        <w:keepNext w:val="0"/>
        <w:keepLines w:val="0"/>
        <w:pageBreakBefore w:val="0"/>
        <w:widowControl/>
        <w:numPr>
          <w:ilvl w:val="0"/>
          <w:numId w:val="0"/>
        </w:numPr>
        <w:shd w:val="clear" w:color="auto" w:fill="FFFFFF"/>
        <w:kinsoku/>
        <w:wordWrap/>
        <w:overflowPunct/>
        <w:topLinePunct w:val="0"/>
        <w:autoSpaceDE/>
        <w:autoSpaceDN/>
        <w:bidi w:val="0"/>
        <w:adjustRightInd/>
        <w:spacing w:line="640" w:lineRule="exact"/>
        <w:ind w:right="0" w:rightChars="0" w:firstLine="632" w:firstLineChars="200"/>
        <w:textAlignment w:val="auto"/>
        <w:outlineLvl w:val="9"/>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②资本性支出10.09万元，主要包括办公设备购置、其他资本性支出等。</w:t>
      </w:r>
    </w:p>
    <w:p w14:paraId="377728A6">
      <w:pPr>
        <w:keepNext w:val="0"/>
        <w:keepLines w:val="0"/>
        <w:pageBreakBefore w:val="0"/>
        <w:widowControl/>
        <w:shd w:val="clear" w:color="auto" w:fill="FFFFFF"/>
        <w:kinsoku/>
        <w:wordWrap/>
        <w:overflowPunct/>
        <w:topLinePunct w:val="0"/>
        <w:autoSpaceDE/>
        <w:autoSpaceDN/>
        <w:bidi w:val="0"/>
        <w:adjustRightInd/>
        <w:spacing w:line="640" w:lineRule="exact"/>
        <w:ind w:firstLine="640"/>
        <w:textAlignment w:val="auto"/>
        <w:rPr>
          <w:rFonts w:hint="default"/>
          <w:lang w:val="en-US" w:eastAsia="zh-CN"/>
        </w:rPr>
      </w:pPr>
      <w:r>
        <w:rPr>
          <w:rFonts w:hint="eastAsia" w:ascii="仿宋" w:hAnsi="仿宋" w:eastAsia="仿宋"/>
          <w:spacing w:val="-2"/>
          <w:sz w:val="32"/>
          <w:szCs w:val="32"/>
          <w:lang w:val="en-US" w:eastAsia="zh-CN"/>
        </w:rPr>
        <w:t>2024年“三公”经费总支出11.78万元，其中：因公出国（境）费0万元，公务接待费3.98元，公务用车运行维护费7.8万元，小于年初预算12.8万元。“三公”经费总额较上年度增加1.73万元，增长17.26%，主要是因为车辆使用年限久，维修费用增加。</w:t>
      </w:r>
    </w:p>
    <w:p w14:paraId="0486EB4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6BDD3E48">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31069D4F">
      <w:pPr>
        <w:keepNext w:val="0"/>
        <w:keepLines w:val="0"/>
        <w:pageBreakBefore w:val="0"/>
        <w:widowControl/>
        <w:shd w:val="clear" w:color="auto" w:fill="FFFFFF"/>
        <w:kinsoku/>
        <w:wordWrap/>
        <w:overflowPunct/>
        <w:topLinePunct w:val="0"/>
        <w:autoSpaceDE/>
        <w:autoSpaceDN/>
        <w:bidi w:val="0"/>
        <w:adjustRightInd/>
        <w:spacing w:line="640" w:lineRule="exact"/>
        <w:ind w:firstLine="640"/>
        <w:textAlignment w:val="auto"/>
        <w:rPr>
          <w:rFonts w:hint="default"/>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怀化市本级财政安排项目0万元，洪江市财政</w:t>
      </w:r>
      <w:r>
        <w:rPr>
          <w:rFonts w:hint="eastAsia" w:ascii="仿宋" w:hAnsi="仿宋" w:eastAsia="仿宋"/>
          <w:spacing w:val="-2"/>
          <w:sz w:val="32"/>
          <w:szCs w:val="32"/>
        </w:rPr>
        <w:t>共安排项目资金</w:t>
      </w:r>
      <w:r>
        <w:rPr>
          <w:rFonts w:hint="eastAsia" w:ascii="仿宋" w:hAnsi="仿宋" w:eastAsia="仿宋"/>
          <w:spacing w:val="-2"/>
          <w:sz w:val="32"/>
          <w:szCs w:val="32"/>
          <w:highlight w:val="none"/>
          <w:lang w:val="en-US" w:eastAsia="zh-CN"/>
        </w:rPr>
        <w:t>1309.25</w:t>
      </w:r>
      <w:r>
        <w:rPr>
          <w:rFonts w:hint="eastAsia" w:ascii="仿宋" w:hAnsi="仿宋" w:eastAsia="仿宋"/>
          <w:spacing w:val="-2"/>
          <w:sz w:val="32"/>
          <w:szCs w:val="32"/>
        </w:rPr>
        <w:t>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包含省级专项资金</w:t>
      </w:r>
      <w:r>
        <w:rPr>
          <w:rFonts w:hint="eastAsia" w:ascii="仿宋" w:hAnsi="仿宋" w:eastAsia="仿宋"/>
          <w:spacing w:val="-2"/>
          <w:sz w:val="32"/>
          <w:szCs w:val="32"/>
          <w:lang w:eastAsia="zh-CN"/>
        </w:rPr>
        <w:t>）</w:t>
      </w:r>
      <w:r>
        <w:rPr>
          <w:rFonts w:hint="eastAsia" w:ascii="仿宋" w:hAnsi="仿宋" w:eastAsia="仿宋"/>
          <w:spacing w:val="-2"/>
          <w:sz w:val="32"/>
          <w:szCs w:val="32"/>
        </w:rPr>
        <w:t>。</w:t>
      </w:r>
    </w:p>
    <w:p w14:paraId="2D40CAC4">
      <w:pPr>
        <w:keepNext w:val="0"/>
        <w:keepLines w:val="0"/>
        <w:pageBreakBefore w:val="0"/>
        <w:widowControl w:val="0"/>
        <w:numPr>
          <w:ilvl w:val="0"/>
          <w:numId w:val="2"/>
        </w:numPr>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01EDB504">
      <w:pPr>
        <w:pStyle w:val="7"/>
        <w:keepNext w:val="0"/>
        <w:keepLines w:val="0"/>
        <w:pageBreakBefore w:val="0"/>
        <w:kinsoku/>
        <w:wordWrap/>
        <w:overflowPunct/>
        <w:topLinePunct w:val="0"/>
        <w:autoSpaceDE/>
        <w:autoSpaceDN/>
        <w:bidi w:val="0"/>
        <w:adjustRightInd/>
        <w:spacing w:line="640" w:lineRule="exact"/>
        <w:ind w:firstLine="632" w:firstLineChars="200"/>
        <w:textAlignment w:val="auto"/>
        <w:rPr>
          <w:rFonts w:hint="default"/>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我单位项目实际支出</w:t>
      </w:r>
      <w:r>
        <w:rPr>
          <w:rFonts w:hint="eastAsia" w:ascii="仿宋" w:hAnsi="仿宋" w:eastAsia="仿宋"/>
          <w:spacing w:val="-2"/>
          <w:sz w:val="32"/>
          <w:szCs w:val="32"/>
          <w:highlight w:val="none"/>
          <w:lang w:val="en-US" w:eastAsia="zh-CN"/>
        </w:rPr>
        <w:t>1309.25</w:t>
      </w:r>
      <w:r>
        <w:rPr>
          <w:rFonts w:hint="eastAsia" w:ascii="仿宋" w:hAnsi="仿宋" w:eastAsia="仿宋"/>
          <w:spacing w:val="-2"/>
          <w:sz w:val="32"/>
          <w:szCs w:val="32"/>
        </w:rPr>
        <w:t>万元</w:t>
      </w:r>
      <w:r>
        <w:rPr>
          <w:rFonts w:hint="eastAsia" w:ascii="仿宋" w:hAnsi="仿宋" w:eastAsia="仿宋"/>
          <w:spacing w:val="-2"/>
          <w:sz w:val="32"/>
          <w:szCs w:val="32"/>
          <w:lang w:val="en-US" w:eastAsia="zh-CN"/>
        </w:rPr>
        <w:t>，主要用于</w:t>
      </w:r>
      <w:r>
        <w:rPr>
          <w:rFonts w:hint="eastAsia" w:ascii="仿宋" w:hAnsi="仿宋" w:eastAsia="仿宋"/>
          <w:spacing w:val="-2"/>
          <w:sz w:val="32"/>
          <w:szCs w:val="32"/>
          <w:highlight w:val="none"/>
          <w:lang w:val="en-US" w:eastAsia="zh-CN"/>
        </w:rPr>
        <w:t>用于节能环保支出、城乡社区支出等</w:t>
      </w:r>
      <w:r>
        <w:rPr>
          <w:rFonts w:hint="eastAsia" w:ascii="仿宋" w:hAnsi="仿宋" w:eastAsia="仿宋"/>
          <w:spacing w:val="-2"/>
          <w:sz w:val="32"/>
          <w:szCs w:val="32"/>
          <w:lang w:val="en-US" w:eastAsia="zh-CN"/>
        </w:rPr>
        <w:t>，其中：</w:t>
      </w:r>
      <w:r>
        <w:rPr>
          <w:rFonts w:hint="eastAsia" w:ascii="仿宋" w:hAnsi="仿宋" w:eastAsia="仿宋"/>
          <w:spacing w:val="-2"/>
          <w:sz w:val="32"/>
          <w:szCs w:val="32"/>
          <w:highlight w:val="none"/>
          <w:lang w:val="en-US" w:eastAsia="zh-CN"/>
        </w:rPr>
        <w:t>第二轮省生态环境保护督察工作经费14.77万元、国家重点生态功能区县域生态环境质量监测外委服务费55.8万元、大气自动监测站设备更新资金15万元、省级流域生态保护补偿资金13万元、省级环保专项资金76.19万元、中央土壤污染防治资金570万元、双溪社区蒋家冲石煤矿遗留治理200万元、德坤污水处理站扩容改造项目26万元、真抓实干17.07万元、乡村振兴26.18万元、清江湖河滨缓冲带项目85.34万元、双溪社区黑水池整治10万元、农村环境综合整治项目等199.9万元。</w:t>
      </w:r>
    </w:p>
    <w:p w14:paraId="433325F6">
      <w:pPr>
        <w:keepNext w:val="0"/>
        <w:keepLines w:val="0"/>
        <w:pageBreakBefore w:val="0"/>
        <w:widowControl/>
        <w:shd w:val="clear" w:color="auto" w:fill="FFFFFF"/>
        <w:kinsoku/>
        <w:wordWrap/>
        <w:overflowPunct/>
        <w:topLinePunct w:val="0"/>
        <w:autoSpaceDE/>
        <w:autoSpaceDN/>
        <w:bidi w:val="0"/>
        <w:adjustRightInd/>
        <w:spacing w:line="640" w:lineRule="exact"/>
        <w:ind w:firstLine="640"/>
        <w:textAlignment w:val="auto"/>
        <w:rPr>
          <w:rFonts w:hint="default" w:ascii="仿宋" w:hAnsi="仿宋" w:eastAsia="仿宋" w:cs="Times New Roman"/>
          <w:spacing w:val="-2"/>
          <w:sz w:val="32"/>
          <w:szCs w:val="32"/>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项</w:t>
      </w:r>
      <w:r>
        <w:rPr>
          <w:rFonts w:hint="default" w:ascii="仿宋" w:hAnsi="仿宋" w:eastAsia="仿宋" w:cs="Times New Roman"/>
          <w:spacing w:val="-2"/>
          <w:sz w:val="32"/>
          <w:szCs w:val="32"/>
          <w:lang w:val="en-US" w:eastAsia="zh-CN"/>
        </w:rPr>
        <w:t>目资金管理情况分析，主要包括管理制度、办法的制订及执行情况。</w:t>
      </w:r>
    </w:p>
    <w:p w14:paraId="11F7DF76">
      <w:pPr>
        <w:pStyle w:val="8"/>
        <w:keepNext w:val="0"/>
        <w:keepLines w:val="0"/>
        <w:pageBreakBefore w:val="0"/>
        <w:kinsoku/>
        <w:wordWrap/>
        <w:overflowPunct/>
        <w:topLinePunct w:val="0"/>
        <w:autoSpaceDE/>
        <w:autoSpaceDN/>
        <w:bidi w:val="0"/>
        <w:adjustRightInd/>
        <w:spacing w:line="640" w:lineRule="exact"/>
        <w:ind w:firstLine="632" w:firstLineChars="200"/>
        <w:textAlignment w:val="auto"/>
        <w:rPr>
          <w:rFonts w:hint="eastAsia" w:eastAsia="仿宋"/>
          <w:lang w:val="en-US" w:eastAsia="zh-CN"/>
        </w:rPr>
      </w:pPr>
      <w:r>
        <w:rPr>
          <w:rFonts w:hint="eastAsia" w:ascii="仿宋" w:hAnsi="仿宋" w:eastAsia="仿宋" w:cs="Times New Roman"/>
          <w:spacing w:val="-2"/>
          <w:sz w:val="32"/>
          <w:szCs w:val="32"/>
          <w:lang w:val="en-US" w:eastAsia="zh-CN"/>
        </w:rPr>
        <w:t>我局制定了“三重</w:t>
      </w:r>
      <w:r>
        <w:rPr>
          <w:rFonts w:hAnsi="仿宋" w:eastAsia="仿宋"/>
          <w:spacing w:val="-2"/>
          <w:sz w:val="32"/>
          <w:szCs w:val="32"/>
        </w:rPr>
        <w:t>一大</w:t>
      </w:r>
      <w:r>
        <w:rPr>
          <w:rFonts w:eastAsia="仿宋"/>
          <w:spacing w:val="-2"/>
          <w:sz w:val="32"/>
          <w:szCs w:val="32"/>
        </w:rPr>
        <w:t>”</w:t>
      </w:r>
      <w:r>
        <w:rPr>
          <w:rFonts w:hAnsi="仿宋" w:eastAsia="仿宋"/>
          <w:spacing w:val="-2"/>
          <w:sz w:val="32"/>
          <w:szCs w:val="32"/>
        </w:rPr>
        <w:t>管理制度、财务管理制度及内部控制规范，</w:t>
      </w:r>
      <w:r>
        <w:rPr>
          <w:rFonts w:ascii="仿宋_GB2312" w:hAnsi="微锟斤拷锟脚猴拷" w:eastAsia="仿宋_GB2312" w:cs="仿宋_GB2312"/>
          <w:sz w:val="31"/>
          <w:szCs w:val="31"/>
          <w:shd w:val="clear" w:color="auto" w:fill="FFFFFF"/>
        </w:rPr>
        <w:t>项目资金</w:t>
      </w:r>
      <w:r>
        <w:rPr>
          <w:rFonts w:hint="eastAsia" w:ascii="仿宋" w:hAnsi="仿宋" w:eastAsia="仿宋" w:cs="Times New Roman"/>
          <w:spacing w:val="-2"/>
          <w:sz w:val="32"/>
          <w:szCs w:val="32"/>
          <w:highlight w:val="none"/>
        </w:rPr>
        <w:t>按照国家财经法规、</w:t>
      </w:r>
      <w:r>
        <w:rPr>
          <w:rFonts w:hint="eastAsia" w:ascii="仿宋" w:hAnsi="仿宋" w:eastAsia="仿宋" w:cs="Times New Roman"/>
          <w:spacing w:val="-2"/>
          <w:sz w:val="32"/>
          <w:szCs w:val="32"/>
          <w:highlight w:val="none"/>
          <w:lang w:val="en-US" w:eastAsia="zh-CN"/>
        </w:rPr>
        <w:t>单位</w:t>
      </w:r>
      <w:r>
        <w:rPr>
          <w:rFonts w:hint="eastAsia" w:ascii="仿宋" w:hAnsi="仿宋" w:eastAsia="仿宋" w:cs="Times New Roman"/>
          <w:spacing w:val="-2"/>
          <w:sz w:val="32"/>
          <w:szCs w:val="32"/>
          <w:highlight w:val="none"/>
        </w:rPr>
        <w:t>财务管理制度</w:t>
      </w:r>
      <w:r>
        <w:rPr>
          <w:rFonts w:hint="eastAsia" w:ascii="仿宋" w:hAnsi="仿宋" w:eastAsia="仿宋" w:cs="Times New Roman"/>
          <w:spacing w:val="-2"/>
          <w:sz w:val="32"/>
          <w:szCs w:val="32"/>
          <w:highlight w:val="none"/>
          <w:lang w:val="en-US" w:eastAsia="zh-CN"/>
        </w:rPr>
        <w:t>管理和使用，</w:t>
      </w:r>
      <w:r>
        <w:rPr>
          <w:rFonts w:ascii="仿宋_GB2312" w:hAnsi="微锟斤拷锟脚猴拷" w:eastAsia="仿宋_GB2312" w:cs="仿宋_GB2312"/>
          <w:sz w:val="31"/>
          <w:szCs w:val="31"/>
          <w:shd w:val="clear" w:color="auto" w:fill="FFFFFF"/>
        </w:rPr>
        <w:t>项目支出均有</w:t>
      </w:r>
      <w:r>
        <w:rPr>
          <w:rFonts w:hint="eastAsia" w:ascii="仿宋" w:hAnsi="仿宋" w:eastAsia="仿宋" w:cs="Times New Roman"/>
          <w:spacing w:val="-2"/>
          <w:sz w:val="32"/>
          <w:szCs w:val="32"/>
          <w:highlight w:val="none"/>
        </w:rPr>
        <w:t>相关授权审批、审批程序规范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资金拨付严格，大额资金支出实行“三重一大”集体决策机制，</w:t>
      </w:r>
      <w:r>
        <w:rPr>
          <w:rFonts w:hint="eastAsia" w:ascii="仿宋" w:hAnsi="仿宋" w:eastAsia="仿宋" w:cs="Times New Roman"/>
          <w:spacing w:val="-2"/>
          <w:sz w:val="32"/>
          <w:szCs w:val="32"/>
          <w:highlight w:val="none"/>
          <w:lang w:val="en-US" w:eastAsia="zh-CN"/>
        </w:rPr>
        <w:t>经</w:t>
      </w:r>
      <w:r>
        <w:rPr>
          <w:rFonts w:hint="eastAsia" w:ascii="仿宋" w:hAnsi="仿宋" w:eastAsia="仿宋" w:cs="Times New Roman"/>
          <w:spacing w:val="-2"/>
          <w:sz w:val="32"/>
          <w:szCs w:val="32"/>
          <w:highlight w:val="none"/>
        </w:rPr>
        <w:t>党组会集体研究，保证项目资金使用合法合规。</w:t>
      </w:r>
    </w:p>
    <w:p w14:paraId="177208F4">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45A042AA">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 w:hAnsi="仿宋" w:eastAsia="仿宋" w:cs="Times New Roman"/>
          <w:spacing w:val="-2"/>
          <w:kern w:val="2"/>
          <w:sz w:val="32"/>
          <w:szCs w:val="32"/>
          <w:highlight w:val="none"/>
          <w:lang w:val="en-US" w:eastAsia="zh-CN" w:bidi="ar-SA"/>
        </w:rPr>
      </w:pPr>
      <w:r>
        <w:rPr>
          <w:rFonts w:hint="default" w:ascii="Times New Roman Regular" w:hAnsi="Times New Roman Regular" w:eastAsia="仿宋_GB2312" w:cs="Times New Roman Regular"/>
          <w:color w:val="auto"/>
          <w:sz w:val="32"/>
          <w:szCs w:val="32"/>
          <w:highlight w:val="none"/>
          <w:lang w:val="en-US" w:eastAsia="zh-CN"/>
        </w:rPr>
        <w:t>（一）项目组织</w:t>
      </w:r>
      <w:r>
        <w:rPr>
          <w:rFonts w:hint="default" w:ascii="仿宋" w:hAnsi="仿宋" w:eastAsia="仿宋" w:cs="Times New Roman"/>
          <w:spacing w:val="-2"/>
          <w:kern w:val="2"/>
          <w:sz w:val="32"/>
          <w:szCs w:val="32"/>
          <w:highlight w:val="none"/>
          <w:lang w:val="en-US" w:eastAsia="zh-CN" w:bidi="ar-SA"/>
        </w:rPr>
        <w:t>情况分析，主要包括项目招投标、调整、竣工验收等情况。</w:t>
      </w:r>
    </w:p>
    <w:p w14:paraId="0C154087">
      <w:pPr>
        <w:keepNext w:val="0"/>
        <w:keepLines w:val="0"/>
        <w:pageBreakBefore w:val="0"/>
        <w:widowControl w:val="0"/>
        <w:kinsoku/>
        <w:wordWrap/>
        <w:overflowPunct/>
        <w:topLinePunct w:val="0"/>
        <w:autoSpaceDE/>
        <w:autoSpaceDN/>
        <w:bidi w:val="0"/>
        <w:adjustRightInd/>
        <w:snapToGrid w:val="0"/>
        <w:spacing w:line="640" w:lineRule="exact"/>
        <w:ind w:firstLine="632" w:firstLineChars="200"/>
        <w:textAlignment w:val="auto"/>
        <w:rPr>
          <w:rFonts w:hint="eastAsia" w:ascii="仿宋" w:hAnsi="仿宋" w:eastAsia="仿宋" w:cs="仿宋"/>
          <w:kern w:val="2"/>
          <w:sz w:val="31"/>
          <w:szCs w:val="31"/>
          <w:shd w:val="clear" w:color="auto" w:fill="FFFFFF"/>
          <w:lang w:val="en-US" w:eastAsia="zh-CN" w:bidi="ar-SA"/>
        </w:rPr>
      </w:pPr>
      <w:r>
        <w:rPr>
          <w:rFonts w:hint="eastAsia" w:ascii="仿宋" w:hAnsi="仿宋" w:eastAsia="仿宋" w:cs="Times New Roman"/>
          <w:spacing w:val="-2"/>
          <w:kern w:val="2"/>
          <w:sz w:val="32"/>
          <w:szCs w:val="32"/>
          <w:highlight w:val="none"/>
          <w:lang w:val="en-US" w:eastAsia="zh-CN" w:bidi="ar-SA"/>
        </w:rPr>
        <w:t>我单位项目严格</w:t>
      </w:r>
      <w:r>
        <w:rPr>
          <w:rFonts w:hint="eastAsia" w:ascii="仿宋" w:hAnsi="仿宋" w:eastAsia="仿宋" w:cs="仿宋"/>
          <w:kern w:val="2"/>
          <w:sz w:val="31"/>
          <w:szCs w:val="31"/>
          <w:shd w:val="clear" w:color="auto" w:fill="FFFFFF"/>
          <w:lang w:val="en-US" w:eastAsia="zh-CN" w:bidi="ar-SA"/>
        </w:rPr>
        <w:t>按照政府采购法、单位内部控制管理制度等进行组织实施，属于政府采购的项目按要求申报采购计划和预算，并按政府采购程序组织项目招投标，选择供货或服务单位，签订采购合同并按合同约定办理验收和付款，工程项目经财评后结算付款。</w:t>
      </w:r>
    </w:p>
    <w:p w14:paraId="1283947D">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color w:val="auto"/>
          <w:sz w:val="32"/>
          <w:szCs w:val="32"/>
          <w:highlight w:val="none"/>
          <w:lang w:val="en-US" w:eastAsia="zh-CN"/>
        </w:rPr>
        <w:t>（二）项目管理</w:t>
      </w:r>
      <w:r>
        <w:rPr>
          <w:rFonts w:hint="eastAsia" w:ascii="仿宋" w:hAnsi="仿宋" w:eastAsia="仿宋" w:cs="仿宋"/>
          <w:kern w:val="2"/>
          <w:sz w:val="31"/>
          <w:szCs w:val="31"/>
          <w:shd w:val="clear" w:color="auto" w:fill="FFFFFF"/>
          <w:lang w:val="en-US" w:eastAsia="zh-CN" w:bidi="ar-SA"/>
        </w:rPr>
        <w:t>情况分析，主要包括项目管理制度建设、日常检查监督管理等情况。</w:t>
      </w:r>
    </w:p>
    <w:p w14:paraId="2E5B47B9">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20" w:firstLineChars="200"/>
        <w:textAlignment w:val="auto"/>
        <w:rPr>
          <w:rFonts w:hint="eastAsia" w:ascii="仿宋" w:hAnsi="仿宋" w:eastAsia="仿宋" w:cs="仿宋"/>
          <w:lang w:val="en-US" w:eastAsia="zh-CN"/>
        </w:rPr>
      </w:pPr>
      <w:r>
        <w:rPr>
          <w:rFonts w:hint="eastAsia" w:ascii="仿宋" w:hAnsi="仿宋" w:eastAsia="仿宋" w:cs="仿宋"/>
          <w:kern w:val="2"/>
          <w:sz w:val="31"/>
          <w:szCs w:val="31"/>
          <w:shd w:val="clear" w:color="auto" w:fill="FFFFFF"/>
          <w:lang w:val="en-US" w:eastAsia="zh-CN" w:bidi="ar-SA"/>
        </w:rPr>
        <w:t xml:space="preserve"> 按照规定对项目的实施实行项目管理责任制，项目经办人根据通过的项目计划和实施方案，具体负责项目实施，办公室按照财务、预算管理制度，对</w:t>
      </w:r>
      <w:r>
        <w:rPr>
          <w:rFonts w:hint="eastAsia" w:ascii="仿宋" w:hAnsi="仿宋" w:eastAsia="仿宋" w:cs="仿宋"/>
          <w:sz w:val="31"/>
          <w:szCs w:val="31"/>
          <w:shd w:val="clear" w:color="auto" w:fill="FFFFFF"/>
        </w:rPr>
        <w:t>专项资金项目的</w:t>
      </w:r>
      <w:r>
        <w:rPr>
          <w:rFonts w:hint="eastAsia" w:ascii="仿宋" w:hAnsi="仿宋" w:eastAsia="仿宋" w:cs="仿宋"/>
          <w:sz w:val="31"/>
          <w:szCs w:val="31"/>
          <w:shd w:val="clear" w:color="auto" w:fill="FFFFFF"/>
          <w:lang w:val="en-US" w:eastAsia="zh-CN"/>
        </w:rPr>
        <w:t>采购</w:t>
      </w:r>
      <w:r>
        <w:rPr>
          <w:rFonts w:hint="eastAsia" w:ascii="仿宋" w:hAnsi="仿宋" w:eastAsia="仿宋" w:cs="仿宋"/>
          <w:sz w:val="31"/>
          <w:szCs w:val="31"/>
          <w:shd w:val="clear" w:color="auto" w:fill="FFFFFF"/>
        </w:rPr>
        <w:t>、实施、付款等环节进行管理和监督。</w:t>
      </w:r>
    </w:p>
    <w:p w14:paraId="159F5ECF">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仿宋" w:hAnsi="仿宋" w:eastAsia="仿宋" w:cs="仿宋"/>
          <w:kern w:val="2"/>
          <w:sz w:val="31"/>
          <w:szCs w:val="31"/>
          <w:shd w:val="clear" w:color="auto" w:fill="FFFFFF"/>
          <w:lang w:val="en-US" w:eastAsia="zh-CN" w:bidi="ar-SA"/>
        </w:rPr>
      </w:pPr>
      <w:r>
        <w:rPr>
          <w:rFonts w:hint="default" w:ascii="方正黑体_GBK" w:hAnsi="方正黑体_GBK" w:eastAsia="方正黑体_GBK" w:cs="方正黑体_GBK"/>
          <w:b/>
          <w:bCs/>
          <w:color w:val="auto"/>
          <w:sz w:val="32"/>
          <w:szCs w:val="32"/>
          <w:highlight w:val="none"/>
          <w:lang w:val="en-US" w:eastAsia="zh-CN"/>
        </w:rPr>
        <w:t>四、资产管理情况</w:t>
      </w:r>
    </w:p>
    <w:p w14:paraId="0B5D7ED1">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kern w:val="2"/>
          <w:sz w:val="32"/>
          <w:szCs w:val="32"/>
          <w:shd w:val="clear" w:color="auto" w:fill="FFFFFF"/>
          <w:lang w:val="en-US" w:eastAsia="zh-CN" w:bidi="ar-SA"/>
        </w:rPr>
      </w:pPr>
      <w:r>
        <w:rPr>
          <w:rFonts w:hint="default" w:ascii="仿宋" w:hAnsi="仿宋" w:eastAsia="仿宋" w:cs="仿宋"/>
          <w:kern w:val="2"/>
          <w:sz w:val="32"/>
          <w:szCs w:val="32"/>
          <w:shd w:val="clear" w:color="auto" w:fill="FFFFFF"/>
          <w:lang w:val="en-US" w:eastAsia="zh-CN" w:bidi="ar-SA"/>
        </w:rPr>
        <w:t>我局制定并严格执行本单位固定资产管理制度，对单位确需购置的固定资产，由使用部门提出申请</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分管领导</w:t>
      </w:r>
      <w:r>
        <w:rPr>
          <w:rFonts w:hint="eastAsia" w:ascii="仿宋" w:hAnsi="仿宋" w:eastAsia="仿宋" w:cs="仿宋"/>
          <w:kern w:val="2"/>
          <w:sz w:val="32"/>
          <w:szCs w:val="32"/>
          <w:shd w:val="clear" w:color="auto" w:fill="FFFFFF"/>
          <w:lang w:val="en-US" w:eastAsia="zh-CN" w:bidi="ar-SA"/>
        </w:rPr>
        <w:t>审核</w:t>
      </w:r>
      <w:r>
        <w:rPr>
          <w:rFonts w:hint="default" w:ascii="仿宋" w:hAnsi="仿宋" w:eastAsia="仿宋" w:cs="仿宋"/>
          <w:kern w:val="2"/>
          <w:sz w:val="32"/>
          <w:szCs w:val="32"/>
          <w:shd w:val="clear" w:color="auto" w:fill="FFFFFF"/>
          <w:lang w:val="en-US" w:eastAsia="zh-CN" w:bidi="ar-SA"/>
        </w:rPr>
        <w:t>，报</w:t>
      </w:r>
      <w:r>
        <w:rPr>
          <w:rFonts w:hint="eastAsia" w:ascii="仿宋" w:hAnsi="仿宋" w:eastAsia="仿宋" w:cs="仿宋"/>
          <w:kern w:val="2"/>
          <w:sz w:val="32"/>
          <w:szCs w:val="32"/>
          <w:shd w:val="clear" w:color="auto" w:fill="FFFFFF"/>
          <w:lang w:val="en-US" w:eastAsia="zh-CN" w:bidi="ar-SA"/>
        </w:rPr>
        <w:t>局党组</w:t>
      </w:r>
      <w:r>
        <w:rPr>
          <w:rFonts w:hint="default" w:ascii="仿宋" w:hAnsi="仿宋" w:eastAsia="仿宋" w:cs="仿宋"/>
          <w:kern w:val="2"/>
          <w:sz w:val="32"/>
          <w:szCs w:val="32"/>
          <w:shd w:val="clear" w:color="auto" w:fill="FFFFFF"/>
          <w:lang w:val="en-US" w:eastAsia="zh-CN" w:bidi="ar-SA"/>
        </w:rPr>
        <w:t>审批资产配置计划，对属于政府采购的项目必须执行政府采购；对固定资产的使用实行“谁使用，谁保管、谁维护”的原则，</w:t>
      </w:r>
      <w:r>
        <w:rPr>
          <w:rFonts w:hint="eastAsia" w:ascii="仿宋" w:hAnsi="仿宋" w:eastAsia="仿宋" w:cs="仿宋"/>
          <w:kern w:val="2"/>
          <w:sz w:val="32"/>
          <w:szCs w:val="32"/>
          <w:shd w:val="clear" w:color="auto" w:fill="FFFFFF"/>
          <w:lang w:val="en-US" w:eastAsia="zh-CN" w:bidi="ar-SA"/>
        </w:rPr>
        <w:t>使用部门</w:t>
      </w:r>
      <w:r>
        <w:rPr>
          <w:rFonts w:hint="default" w:ascii="仿宋" w:hAnsi="仿宋" w:eastAsia="仿宋" w:cs="仿宋"/>
          <w:kern w:val="2"/>
          <w:sz w:val="32"/>
          <w:szCs w:val="32"/>
          <w:shd w:val="clear" w:color="auto" w:fill="FFFFFF"/>
          <w:lang w:val="en-US" w:eastAsia="zh-CN" w:bidi="ar-SA"/>
        </w:rPr>
        <w:t>负责资产日常保管，建立台账；处置固定资产</w:t>
      </w:r>
      <w:r>
        <w:rPr>
          <w:rFonts w:hint="eastAsia" w:ascii="仿宋" w:hAnsi="仿宋" w:eastAsia="仿宋" w:cs="仿宋"/>
          <w:kern w:val="2"/>
          <w:sz w:val="32"/>
          <w:szCs w:val="32"/>
          <w:shd w:val="clear" w:color="auto" w:fill="FFFFFF"/>
          <w:lang w:val="en-US" w:eastAsia="zh-CN" w:bidi="ar-SA"/>
        </w:rPr>
        <w:t>使用部门申请，办公室、财务室初审，经局党组会议研究，报财政局审批后按相关要求处置，残值收入全额上缴国库。</w:t>
      </w:r>
    </w:p>
    <w:p w14:paraId="43FC775A">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188D82C4">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2024年我单位无政府性基金预算支出情况。</w:t>
      </w:r>
    </w:p>
    <w:p w14:paraId="03FA05BE">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47BCC7B0">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2024年我单位无</w:t>
      </w:r>
      <w:r>
        <w:rPr>
          <w:rFonts w:hint="default" w:ascii="仿宋" w:hAnsi="仿宋" w:eastAsia="仿宋" w:cs="仿宋"/>
          <w:kern w:val="2"/>
          <w:sz w:val="32"/>
          <w:szCs w:val="32"/>
          <w:shd w:val="clear" w:color="auto" w:fill="FFFFFF"/>
          <w:lang w:val="en-US" w:eastAsia="zh-CN" w:bidi="ar-SA"/>
        </w:rPr>
        <w:t>国有资本经营预算支出</w:t>
      </w:r>
      <w:r>
        <w:rPr>
          <w:rFonts w:hint="eastAsia" w:ascii="仿宋" w:hAnsi="仿宋" w:eastAsia="仿宋" w:cs="仿宋"/>
          <w:kern w:val="2"/>
          <w:sz w:val="32"/>
          <w:szCs w:val="32"/>
          <w:shd w:val="clear" w:color="auto" w:fill="FFFFFF"/>
          <w:lang w:val="en-US" w:eastAsia="zh-CN" w:bidi="ar-SA"/>
        </w:rPr>
        <w:t>。</w:t>
      </w:r>
    </w:p>
    <w:p w14:paraId="3DF5C645">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14C26226">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2024年我单位无</w:t>
      </w:r>
      <w:r>
        <w:rPr>
          <w:rFonts w:hint="default" w:ascii="仿宋" w:hAnsi="仿宋" w:eastAsia="仿宋" w:cs="仿宋"/>
          <w:kern w:val="2"/>
          <w:sz w:val="32"/>
          <w:szCs w:val="32"/>
          <w:shd w:val="clear" w:color="auto" w:fill="FFFFFF"/>
          <w:lang w:val="en-US" w:eastAsia="zh-CN" w:bidi="ar-SA"/>
        </w:rPr>
        <w:t>社会保险基金预算支出</w:t>
      </w:r>
      <w:r>
        <w:rPr>
          <w:rFonts w:hint="eastAsia" w:ascii="仿宋" w:hAnsi="仿宋" w:eastAsia="仿宋" w:cs="仿宋"/>
          <w:kern w:val="2"/>
          <w:sz w:val="32"/>
          <w:szCs w:val="32"/>
          <w:shd w:val="clear" w:color="auto" w:fill="FFFFFF"/>
          <w:lang w:val="en-US" w:eastAsia="zh-CN" w:bidi="ar-SA"/>
        </w:rPr>
        <w:t>。</w:t>
      </w:r>
    </w:p>
    <w:p w14:paraId="7F332085">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665C3737">
      <w:pPr>
        <w:keepNext w:val="0"/>
        <w:keepLines w:val="0"/>
        <w:pageBreakBefore w:val="0"/>
        <w:widowControl w:val="0"/>
        <w:kinsoku/>
        <w:wordWrap/>
        <w:overflowPunct/>
        <w:topLinePunct w:val="0"/>
        <w:autoSpaceDE/>
        <w:autoSpaceDN/>
        <w:bidi w:val="0"/>
        <w:adjustRightInd/>
        <w:snapToGrid w:val="0"/>
        <w:spacing w:line="640" w:lineRule="exact"/>
        <w:ind w:left="0" w:leftChars="0" w:firstLine="640" w:firstLineChars="200"/>
        <w:textAlignment w:val="auto"/>
        <w:outlineLvl w:val="9"/>
        <w:rPr>
          <w:rFonts w:hint="default"/>
          <w:lang w:val="en-US" w:eastAsia="zh-CN"/>
        </w:rPr>
      </w:pPr>
      <w:r>
        <w:rPr>
          <w:rFonts w:hint="eastAsia" w:ascii="仿宋" w:hAnsi="仿宋" w:eastAsia="仿宋" w:cs="仿宋"/>
          <w:i w:val="0"/>
          <w:iCs w:val="0"/>
          <w:caps w:val="0"/>
          <w:color w:val="000000"/>
          <w:spacing w:val="0"/>
          <w:sz w:val="32"/>
          <w:szCs w:val="32"/>
          <w:shd w:val="clear" w:fill="FFFFFF"/>
          <w:lang w:val="en-US" w:eastAsia="zh-CN"/>
        </w:rPr>
        <w:t>我单位</w:t>
      </w:r>
      <w:r>
        <w:rPr>
          <w:rFonts w:hint="eastAsia" w:ascii="仿宋" w:hAnsi="仿宋" w:eastAsia="仿宋" w:cs="Times New Roman"/>
          <w:spacing w:val="0"/>
          <w:sz w:val="32"/>
          <w:szCs w:val="32"/>
          <w:lang w:val="en-US" w:eastAsia="zh-CN"/>
        </w:rPr>
        <w:t>各项工作具体扎实，全面落实生态环保督察问题整改，强化突出环境问题整治，强化生态文明建设，推动绿色低碳发展，以高水平生态环境保护保障经济高质量发展。项目任务全面完成，项目实施效果显著。</w:t>
      </w:r>
      <w:r>
        <w:rPr>
          <w:rFonts w:hint="default" w:ascii="仿宋" w:hAnsi="仿宋" w:eastAsia="仿宋" w:cs="Times New Roman"/>
          <w:spacing w:val="-2"/>
          <w:kern w:val="2"/>
          <w:sz w:val="32"/>
          <w:szCs w:val="32"/>
          <w:lang w:val="en-US" w:eastAsia="zh-CN" w:bidi="ar-SA"/>
        </w:rPr>
        <w:t>根据本次自评情况，</w:t>
      </w:r>
      <w:r>
        <w:rPr>
          <w:rFonts w:hint="eastAsia" w:ascii="仿宋" w:hAnsi="仿宋" w:eastAsia="仿宋" w:cs="Times New Roman"/>
          <w:spacing w:val="-2"/>
          <w:kern w:val="2"/>
          <w:sz w:val="32"/>
          <w:szCs w:val="32"/>
          <w:highlight w:val="none"/>
          <w:lang w:val="en-US" w:eastAsia="zh-CN" w:bidi="ar-SA"/>
        </w:rPr>
        <w:t>我单位2024年</w:t>
      </w:r>
      <w:r>
        <w:rPr>
          <w:rFonts w:hint="default" w:ascii="仿宋" w:hAnsi="仿宋" w:eastAsia="仿宋" w:cs="Times New Roman"/>
          <w:spacing w:val="-2"/>
          <w:kern w:val="2"/>
          <w:sz w:val="32"/>
          <w:szCs w:val="32"/>
          <w:highlight w:val="none"/>
          <w:lang w:val="en-US" w:eastAsia="zh-CN" w:bidi="ar-SA"/>
        </w:rPr>
        <w:t>整</w:t>
      </w:r>
      <w:r>
        <w:rPr>
          <w:rFonts w:hint="default" w:ascii="仿宋" w:hAnsi="仿宋" w:eastAsia="仿宋" w:cs="Times New Roman"/>
          <w:spacing w:val="-2"/>
          <w:kern w:val="2"/>
          <w:sz w:val="32"/>
          <w:szCs w:val="32"/>
          <w:lang w:val="en-US" w:eastAsia="zh-CN" w:bidi="ar-SA"/>
        </w:rPr>
        <w:t>体支出绩效评价得分为</w:t>
      </w:r>
      <w:r>
        <w:rPr>
          <w:rFonts w:hint="eastAsia" w:ascii="仿宋" w:hAnsi="仿宋" w:eastAsia="仿宋" w:cs="Times New Roman"/>
          <w:spacing w:val="-2"/>
          <w:kern w:val="2"/>
          <w:sz w:val="32"/>
          <w:szCs w:val="32"/>
          <w:lang w:val="en-US" w:eastAsia="zh-CN" w:bidi="ar-SA"/>
        </w:rPr>
        <w:t>91.9</w:t>
      </w:r>
      <w:r>
        <w:rPr>
          <w:rFonts w:hint="default" w:ascii="仿宋" w:hAnsi="仿宋" w:eastAsia="仿宋" w:cs="Times New Roman"/>
          <w:spacing w:val="-2"/>
          <w:kern w:val="2"/>
          <w:sz w:val="32"/>
          <w:szCs w:val="32"/>
          <w:lang w:val="en-US" w:eastAsia="zh-CN" w:bidi="ar-SA"/>
        </w:rPr>
        <w:t>分，自评等级为</w:t>
      </w:r>
      <w:r>
        <w:rPr>
          <w:rFonts w:hint="eastAsia" w:ascii="仿宋" w:hAnsi="仿宋" w:eastAsia="仿宋" w:cs="Times New Roman"/>
          <w:spacing w:val="-2"/>
          <w:kern w:val="2"/>
          <w:sz w:val="32"/>
          <w:szCs w:val="32"/>
          <w:lang w:val="en-US" w:eastAsia="zh-CN" w:bidi="ar-SA"/>
        </w:rPr>
        <w:t>“</w:t>
      </w:r>
      <w:r>
        <w:rPr>
          <w:rFonts w:hint="default" w:ascii="仿宋" w:hAnsi="仿宋" w:eastAsia="仿宋" w:cs="Times New Roman"/>
          <w:spacing w:val="-2"/>
          <w:kern w:val="2"/>
          <w:sz w:val="32"/>
          <w:szCs w:val="32"/>
          <w:lang w:val="en-US" w:eastAsia="zh-CN" w:bidi="ar-SA"/>
        </w:rPr>
        <w:t>优</w:t>
      </w:r>
      <w:r>
        <w:rPr>
          <w:rFonts w:hint="eastAsia" w:ascii="仿宋" w:hAnsi="仿宋" w:eastAsia="仿宋" w:cs="Times New Roman"/>
          <w:spacing w:val="-2"/>
          <w:kern w:val="2"/>
          <w:sz w:val="32"/>
          <w:szCs w:val="32"/>
          <w:lang w:val="en-US" w:eastAsia="zh-CN" w:bidi="ar-SA"/>
        </w:rPr>
        <w:t>”</w:t>
      </w:r>
      <w:r>
        <w:rPr>
          <w:rFonts w:hint="default" w:ascii="仿宋" w:hAnsi="仿宋" w:eastAsia="仿宋" w:cs="Times New Roman"/>
          <w:spacing w:val="-2"/>
          <w:kern w:val="2"/>
          <w:sz w:val="32"/>
          <w:szCs w:val="32"/>
          <w:lang w:val="en-US" w:eastAsia="zh-CN" w:bidi="ar-SA"/>
        </w:rPr>
        <w:t>。</w:t>
      </w:r>
    </w:p>
    <w:p w14:paraId="36C35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480" w:firstLineChars="200"/>
        <w:textAlignment w:val="auto"/>
        <w:outlineLvl w:val="9"/>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（一）整体绩效目标设定</w:t>
      </w:r>
    </w:p>
    <w:p w14:paraId="0ECE58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1.绩效目标合理性。绩效目标符合国家法律法规、社会发展规划；符合部门“三定”方案确定的职责及中长期实施规划。</w:t>
      </w:r>
    </w:p>
    <w:p w14:paraId="13D75E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2.绩效指标明确性。设定的绩效指标与部门年度的任务数或计划数相对应；与本年度部门预算资金相匹配，细化到三级指标。</w:t>
      </w:r>
    </w:p>
    <w:p w14:paraId="2B481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40" w:firstLineChars="200"/>
        <w:textAlignment w:val="auto"/>
        <w:outlineLvl w:val="9"/>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（二）预算配置</w:t>
      </w:r>
    </w:p>
    <w:p w14:paraId="02B7D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default" w:ascii="仿宋" w:hAnsi="仿宋" w:eastAsia="仿宋" w:cs="仿宋"/>
          <w:color w:val="auto"/>
          <w:spacing w:val="-2"/>
          <w:sz w:val="32"/>
          <w:szCs w:val="32"/>
          <w:lang w:val="en-US" w:eastAsia="zh-CN"/>
        </w:rPr>
      </w:pPr>
      <w:r>
        <w:rPr>
          <w:rFonts w:hint="eastAsia" w:ascii="宋体" w:hAnsi="宋体" w:eastAsia="宋体" w:cs="宋体"/>
          <w:color w:val="auto"/>
          <w:spacing w:val="-2"/>
          <w:sz w:val="32"/>
          <w:szCs w:val="32"/>
          <w:lang w:val="en-US" w:eastAsia="zh-CN"/>
        </w:rPr>
        <w:t>1.</w:t>
      </w:r>
      <w:r>
        <w:rPr>
          <w:rFonts w:hint="eastAsia" w:ascii="仿宋" w:hAnsi="仿宋" w:eastAsia="仿宋" w:cs="仿宋"/>
          <w:color w:val="auto"/>
          <w:spacing w:val="-2"/>
          <w:sz w:val="32"/>
          <w:szCs w:val="32"/>
          <w:lang w:val="en-US" w:eastAsia="zh-CN"/>
        </w:rPr>
        <w:t>在职人员控制率</w:t>
      </w:r>
    </w:p>
    <w:p w14:paraId="36F622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jc w:val="both"/>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 xml:space="preserve">2024年我单位编制数34人，实际在职人员数31人，在职人员控制率为91.18%。严格执行了相关文件精神，无超编人员。    </w:t>
      </w:r>
    </w:p>
    <w:p w14:paraId="55680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jc w:val="both"/>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2.“三公经费”预算变动率</w:t>
      </w:r>
    </w:p>
    <w:p w14:paraId="68C05F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default" w:ascii="黑体" w:hAnsi="黑体" w:eastAsia="仿宋_GB2312"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2024年“三公经费”预算数12.8万元，上年度“三公经费”预算数12.8万元，未发生变动。</w:t>
      </w:r>
    </w:p>
    <w:p w14:paraId="7B2A12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40" w:firstLineChars="200"/>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（三）预算执行</w:t>
      </w:r>
    </w:p>
    <w:p w14:paraId="57B6E1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1.预算执行率。2024年年初预算数405.78万元，全年预算数1989.25万元，执行数1969.55万元，预算执行率99.01%。</w:t>
      </w:r>
    </w:p>
    <w:p w14:paraId="09CD55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2.公用经费控制率。公用经费实际支出195.55万元，年初预算安排数76.61万元，公用经费控制率255.25%，主要是年初预算资金仅包括怀化市财政保障资金，不含洪江市下达资金。</w:t>
      </w:r>
    </w:p>
    <w:p w14:paraId="3D7FA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3.“三公经费”控制率。“三公经费”实际支出11.78万元，预算安排数12.8万元，“三公经费”控制率92.03%，控制较好。</w:t>
      </w:r>
    </w:p>
    <w:p w14:paraId="6AEAC6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40"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（四）</w:t>
      </w:r>
      <w:r>
        <w:rPr>
          <w:rFonts w:hint="eastAsia" w:ascii="仿宋" w:hAnsi="仿宋" w:eastAsia="仿宋" w:cs="仿宋"/>
          <w:color w:val="auto"/>
          <w:spacing w:val="-2"/>
          <w:sz w:val="32"/>
          <w:szCs w:val="32"/>
          <w:lang w:val="en-US" w:eastAsia="zh-CN"/>
        </w:rPr>
        <w:t>预算管理</w:t>
      </w:r>
    </w:p>
    <w:p w14:paraId="44D07C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default" w:ascii="仿宋" w:hAnsi="仿宋" w:eastAsia="仿宋" w:cstheme="minorBidi"/>
          <w:spacing w:val="-2"/>
          <w:kern w:val="2"/>
          <w:sz w:val="32"/>
          <w:szCs w:val="32"/>
          <w:lang w:val="en-US" w:eastAsia="zh-CN" w:bidi="ar-SA"/>
        </w:rPr>
      </w:pPr>
      <w:r>
        <w:rPr>
          <w:rFonts w:hint="eastAsia" w:ascii="仿宋" w:hAnsi="仿宋" w:eastAsia="仿宋" w:cs="仿宋"/>
          <w:color w:val="auto"/>
          <w:spacing w:val="-2"/>
          <w:sz w:val="32"/>
          <w:szCs w:val="32"/>
          <w:lang w:val="en-US" w:eastAsia="zh-CN"/>
        </w:rPr>
        <w:t>①管理</w:t>
      </w:r>
      <w:r>
        <w:rPr>
          <w:rFonts w:hint="eastAsia" w:ascii="仿宋" w:hAnsi="仿宋" w:eastAsia="仿宋" w:cstheme="minorBidi"/>
          <w:spacing w:val="-2"/>
          <w:kern w:val="2"/>
          <w:sz w:val="32"/>
          <w:szCs w:val="32"/>
          <w:lang w:val="en-US" w:eastAsia="zh-CN" w:bidi="ar-SA"/>
        </w:rPr>
        <w:t>制度健全性。我单位严格按照财务管理的相关要求，制定了《预决算管理办法》，并严格按管理办法执行。</w:t>
      </w:r>
    </w:p>
    <w:p w14:paraId="72B3D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②资金使用合规性。资金的拨付有完整的审批程序和手续，预算支出的重大开支经集体决策；不存在截留、挤占、挪用、虚列支出等情况。</w:t>
      </w:r>
    </w:p>
    <w:p w14:paraId="32460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③预决算信息公开。按财政要求按时公开预决算信息。</w:t>
      </w:r>
    </w:p>
    <w:p w14:paraId="42102D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（五）资产管理</w:t>
      </w:r>
    </w:p>
    <w:p w14:paraId="1C9999D4">
      <w:pPr>
        <w:keepNext w:val="0"/>
        <w:keepLines w:val="0"/>
        <w:pageBreakBefore w:val="0"/>
        <w:kinsoku/>
        <w:wordWrap/>
        <w:overflowPunct/>
        <w:topLinePunct w:val="0"/>
        <w:autoSpaceDE/>
        <w:autoSpaceDN/>
        <w:bidi w:val="0"/>
        <w:adjustRightInd/>
        <w:spacing w:line="64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管理制度健全性。</w:t>
      </w:r>
      <w:r>
        <w:rPr>
          <w:rFonts w:hint="eastAsia" w:ascii="仿宋" w:hAnsi="仿宋" w:eastAsia="仿宋"/>
          <w:spacing w:val="-2"/>
          <w:sz w:val="32"/>
          <w:szCs w:val="32"/>
        </w:rPr>
        <w:t>根据《行政单位国有资产管理暂行办法》(财政部令第35号）的规定，我单位严格按照财务管理的相关要求，建立了资产内部管理</w:t>
      </w:r>
      <w:r>
        <w:rPr>
          <w:rFonts w:hint="eastAsia" w:ascii="仿宋" w:hAnsi="仿宋" w:eastAsia="仿宋"/>
          <w:spacing w:val="-2"/>
          <w:sz w:val="32"/>
          <w:szCs w:val="32"/>
          <w:lang w:val="en-US" w:eastAsia="zh-CN"/>
        </w:rPr>
        <w:t>制度</w:t>
      </w:r>
      <w:r>
        <w:rPr>
          <w:rFonts w:hint="eastAsia" w:ascii="仿宋" w:hAnsi="仿宋" w:eastAsia="仿宋"/>
          <w:spacing w:val="-2"/>
          <w:sz w:val="32"/>
          <w:szCs w:val="32"/>
        </w:rPr>
        <w:t>。</w:t>
      </w:r>
    </w:p>
    <w:p w14:paraId="759349B3">
      <w:pPr>
        <w:keepNext w:val="0"/>
        <w:keepLines w:val="0"/>
        <w:pageBreakBefore w:val="0"/>
        <w:kinsoku/>
        <w:wordWrap/>
        <w:overflowPunct/>
        <w:topLinePunct w:val="0"/>
        <w:autoSpaceDE/>
        <w:autoSpaceDN/>
        <w:bidi w:val="0"/>
        <w:adjustRightInd/>
        <w:spacing w:line="64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资产管理安全性</w:t>
      </w:r>
      <w:r>
        <w:rPr>
          <w:rFonts w:hint="eastAsia" w:ascii="仿宋" w:hAnsi="仿宋" w:eastAsia="仿宋"/>
          <w:spacing w:val="-2"/>
          <w:sz w:val="32"/>
          <w:szCs w:val="32"/>
          <w:lang w:eastAsia="zh-CN"/>
        </w:rPr>
        <w:t>。</w:t>
      </w:r>
      <w:r>
        <w:rPr>
          <w:rFonts w:hint="eastAsia" w:ascii="仿宋" w:hAnsi="仿宋" w:eastAsia="仿宋"/>
          <w:spacing w:val="-2"/>
          <w:sz w:val="32"/>
          <w:szCs w:val="32"/>
        </w:rPr>
        <w:t>资产保存完整、使用合规、配置合理、处置规范、收入及时足额上缴</w:t>
      </w:r>
      <w:r>
        <w:rPr>
          <w:rFonts w:hint="eastAsia" w:ascii="仿宋" w:hAnsi="仿宋" w:eastAsia="仿宋"/>
          <w:spacing w:val="-2"/>
          <w:sz w:val="32"/>
          <w:szCs w:val="32"/>
          <w:lang w:eastAsia="zh-CN"/>
        </w:rPr>
        <w:t>。</w:t>
      </w:r>
    </w:p>
    <w:p w14:paraId="2170AFFD">
      <w:pPr>
        <w:keepNext w:val="0"/>
        <w:keepLines w:val="0"/>
        <w:pageBreakBefore w:val="0"/>
        <w:kinsoku/>
        <w:wordWrap/>
        <w:overflowPunct/>
        <w:topLinePunct w:val="0"/>
        <w:autoSpaceDE/>
        <w:autoSpaceDN/>
        <w:bidi w:val="0"/>
        <w:adjustRightInd/>
        <w:spacing w:line="64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（六）</w:t>
      </w:r>
      <w:r>
        <w:rPr>
          <w:rFonts w:hint="default" w:ascii="Times New Roman Regular" w:hAnsi="Times New Roman Regular" w:eastAsia="仿宋_GB2312" w:cs="Times New Roman Regular"/>
          <w:color w:val="auto"/>
          <w:sz w:val="32"/>
          <w:szCs w:val="32"/>
          <w:highlight w:val="none"/>
          <w:lang w:val="en-US" w:eastAsia="zh-CN"/>
        </w:rPr>
        <w:t>履职效能</w:t>
      </w:r>
      <w:r>
        <w:rPr>
          <w:rFonts w:hint="eastAsia" w:ascii="Times New Roman Regular" w:hAnsi="Times New Roman Regular" w:eastAsia="仿宋_GB2312" w:cs="Times New Roman Regular"/>
          <w:color w:val="auto"/>
          <w:sz w:val="32"/>
          <w:szCs w:val="32"/>
          <w:highlight w:val="none"/>
          <w:lang w:val="en-US" w:eastAsia="zh-CN"/>
        </w:rPr>
        <w:t>和</w:t>
      </w:r>
      <w:r>
        <w:rPr>
          <w:rFonts w:hint="default" w:ascii="Times New Roman Regular" w:hAnsi="Times New Roman Regular" w:eastAsia="仿宋_GB2312" w:cs="Times New Roman Regular"/>
          <w:color w:val="auto"/>
          <w:sz w:val="32"/>
          <w:szCs w:val="32"/>
          <w:highlight w:val="none"/>
          <w:lang w:val="en-US" w:eastAsia="zh-CN"/>
        </w:rPr>
        <w:t>社会效应</w:t>
      </w:r>
    </w:p>
    <w:p w14:paraId="73836E0B">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1.全面落实生态环保督察交办及反馈问题整改。2024年第二轮省生态环保督察信访交办19件，2024年第三轮中央生态环保督察信访交办件12件，均已办结销号。第二轮省生态环保督察报告反馈问题涉及洪江市25个问题，其中15个共性问题由怀化市统一销号，10个个性问题9个已完成整改，1个（洪江市锰业问题）已完成阶段性整改。对整改销号的问题开展巡查“回头看”，杜绝污染反弹。</w:t>
      </w:r>
    </w:p>
    <w:p w14:paraId="620E7939">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2.打好污染防治攻坚战，全力推进突出环境问题整治。稳步推进涉水、涉气、涉土壤污染防治重点任务整改，洪江市2024年污染防治攻坚战“夏季攻势”共18项任务，已全面完成。2024年洪江市空气优良率为98.6%，PM2.5均值为26ug/m3，PM10均值为36ug/m3，6个地表水考核断面水质达标率100%，千人以上集中式饮用水水源地水质达标率100%，土壤环境质量状况总体稳定。</w:t>
      </w:r>
    </w:p>
    <w:p w14:paraId="7E49F508">
      <w:pPr>
        <w:keepNext w:val="0"/>
        <w:keepLines w:val="0"/>
        <w:pageBreakBefore w:val="0"/>
        <w:widowControl w:val="0"/>
        <w:kinsoku/>
        <w:wordWrap/>
        <w:overflowPunct/>
        <w:topLinePunct w:val="0"/>
        <w:autoSpaceDE/>
        <w:autoSpaceDN/>
        <w:bidi w:val="0"/>
        <w:adjustRightInd/>
        <w:snapToGrid w:val="0"/>
        <w:spacing w:line="640" w:lineRule="exact"/>
        <w:ind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1）推进大气污染防治攻坚一是强化扬尘污染综合整治。推行建筑工地和重点建设项目扬尘治理网格化管理，二是推进工业企业大气污染防治行动。三是强力推进面源污染的综合防治，联合农业农村部门对乡镇秸秆禁烧情况开展检查。四是开展非道路移动机械检测挂牌工作。已完成260台非道路移动机械进行检测挂牌工作，按要求完成了30台非道路移动机械的检测抽测工作。五是组织相关单位大气污染防治联防联控。联合住建、城管、农业农村、商务、工信等部门开展攻坚行动，确保全市空气质量持续稳定好转。六是开展涉VOCs排查整治工作。根据全市加油站油气回收装置检测情况，督促问题单位进行限期整治。</w:t>
      </w:r>
    </w:p>
    <w:p w14:paraId="118C6E81">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2）强化水污染防治。一是开展饮用水水源保护。完成了县级舞水黔城二水厂和3个千吨万人饮用水水源地（托口镇、安江镇、太平乡）环境保护状况评估报告编制和评估工作；全部6处“千人以上”集中式饮用水水源地完成整治并通过省级专家验收销号；完成了3个农村千人以上未划定饮用水源保护区划定工作，已编制文本并送审；完成21处乡镇级以上集中式饮用水源保护区保护区内构筑物调查。二是加强水质问题排查。组织住建局、水利局等部门开展影响相思湖水质问题排查整治工作，现相思湖水体水质稳定，未发现存在黑臭现象。三是推进水污染防治项目储备和实施工作。洪江市农村“千吨万人”饮用水水源地环境保护规范化建设项目已完成建设，正在组织开展竣工验收和监测等工作；国家重点生态功能区洪江市沅江流域水生态综合治理与修复工程已通过省、部级审查，进入国家专项资金储备库，正在进行施工图设计，争取2025年3月前完成预算编制和财评。四是全力推进入河排污口整治。2024年7个问题排口均已完成整治，正在上报销号；继续开展全域入河排污口排查监测溯源，已完成沅水支流、资江等流域的入河排污口排查溯源工作。五是加强流域现场排查，稳步推进配合怀化市地表水水质重返国家30强工作，对国控断面开展日常巡查。六是开展汛期尾矿库隐患排查。对全市10座尾矿库开展环境安全隐患排查。其中6座尾矿库已闭库，3座尾矿库停用，1座在用，督促企业建立长效管理机制，对闭库和停用的尾矿库加强巡查，防患于未然。</w:t>
      </w:r>
    </w:p>
    <w:p w14:paraId="38ADECEE">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3）加强土壤污染治理。一是积极推进土壤污染防治项目储备和建设工作。洪江市宏亮碳质板岩矿开采区遗留污染场地治理项目2022年争取到位中央治理资金805万元，目前已经完成效果评估；洪江市黔城镇尖坡界历史遗留废渣综合治理工程2022年争取中央治理资金1600万元，现已完成主体工程建设，正在开展效果评估报告编制；洪江市黔城镇九木冲北矿区炭质板岩矿区历史遗留重金属污染整治工程2023年争取中央资金1850万元，施工队伍于2023年11月进场施工，现已完成工程验收；洪江市黔城镇双溪社区蒋家冲石煤矿遗留污染治理项目已争取中央资金1590万元，于2024年6月完成招投标，7月进场施工，现已完成工程验收。二是加强对土壤环境重点监管企业的管理。明确重点监管企业（三兴炉料、振远钒电、锰业公司）的责任和义务，督促3家企业尽快完成土壤和地下水的自行监测工作及隐患排查工作。三是加强重金属监测断面污染防控力度。加大对畔上村断面上游企业的监管，确保企业污水处理设施正常运行，保证下游断面监测数据达到上级生态环境部门要求的数值。开展洪江市涉镉、涉铊排查“回头看”工作。四是开展农村集中式生活污水处理设施排查监测。配合开展农村厕所未接入化粪池、集中式处理设施问题排查整治工作。</w:t>
      </w:r>
    </w:p>
    <w:p w14:paraId="233DF5C0">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3.严格监管执法，努力确保辖区环境安全。一是持续推进环保“双随机”执法检查。已完成115家排污单位的现场检查。没有发生因环境监管不到位而引发的环境污染事故。二是扎实推进大气污染防治特护期专项执法检查。重点对冶炼、砖厂、加油站、锅炉企业、建筑工地等涉气企业开展检查，共检查相关涉气企业和场所120多家次，发现问题35个，立行立改问题35个。三是加大环境违法行为查处力度，严肃查处违法行为。对涉重金属排放、尾矿库、涉危险废物产生、医疗机构等重点单位开展执法检查，检查企业178家次，共排查一般安全隐患60个，均已完成整改。2024年共立案3起，行政处罚3起，处罚款24.7万元，责令改正环境违法行为3起。四是严守环境安全生产底线,持续加大隐患排查整治力度。</w:t>
      </w:r>
    </w:p>
    <w:p w14:paraId="4E0824C5">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4.加强危险废物及辐射安全管理工作。一是加大对涉危险废物单位的监管力度。全面把握2024年危险废物产生情况，共完成管理计划备案企业43家。二是规范危险废物转移流程。指导和监督企业完成危险废物转移申报材料的预审和危险废物转移过程中的监督管理。</w:t>
      </w:r>
    </w:p>
    <w:p w14:paraId="5DDB675B">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5.持续深入推进生态示范创建和重点生态功能区保护与建设。完成《洪江市生态文明建设示范市规划》编制，已通过省厅审核。进一步加强国家重点生态功能区县域生态环境质量监测与评价考核，认真组织年度监测与评价考核资料编制、上报工作。2024年我市获国家重点生态功能区财政转移支付资金8788万元（其中增量资金1495万元）。</w:t>
      </w:r>
    </w:p>
    <w:p w14:paraId="5D89DB6F">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6.强化服务意识，助推优化营商环境。主动靠前服务，加大对企业的帮扶，强化服务意识。将建设项目环境影响报告表的审批时限由30天压缩至10个工作日，仅保留法定公示时限，对于满足环保准入条件的，涉及民生工程和基础设施的项目，开辟环评审批“绿色通道”和“正面清单”。</w:t>
      </w:r>
    </w:p>
    <w:p w14:paraId="173DA672">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7.加强建设项目环评管理，推进排污许可发证登记，严把项目准入关。一是强化建设项目环评管理。2024年我市已审批各类建设项目21个，完成建设项目环境影响网上登记备案43个。二是加强环评机构从业行为管理。三是推进完成许可证核发、变更工作。坚持“依法依规、应发尽发”工作原则，抓实排污许可登记和排污许可证核发工作，完善核发工作体系，强化业务培训指导，共完成3家企业排污许可证延证核发工作，4家企业排污许可证重新申请，6家企业排污许可证变更工作。洪江市共累计完成发证企业45家，2023年执行年报、2024年重点管理排污单位执行报告提交率均为100%。</w:t>
      </w:r>
    </w:p>
    <w:p w14:paraId="572E6334">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8.扎实做好环境信访工作，保障群众生态环境权益。2024年共调处涉环污染纠纷84起（其中含全国生态环境信访投诉举报平台交办17件，市长热线48件），处理率、办结率、回访率均为100％。有效维护人民群众的合法权益和企业的正常生产。</w:t>
      </w:r>
    </w:p>
    <w:p w14:paraId="761503AB">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（七）满意度</w:t>
      </w:r>
    </w:p>
    <w:p w14:paraId="0742CE1C">
      <w:pPr>
        <w:keepNext w:val="0"/>
        <w:keepLines w:val="0"/>
        <w:pageBreakBefore w:val="0"/>
        <w:widowControl w:val="0"/>
        <w:kinsoku/>
        <w:wordWrap/>
        <w:overflowPunct/>
        <w:topLinePunct w:val="0"/>
        <w:autoSpaceDE/>
        <w:autoSpaceDN/>
        <w:bidi w:val="0"/>
        <w:adjustRightInd/>
        <w:snapToGrid w:val="0"/>
        <w:spacing w:line="640" w:lineRule="exact"/>
        <w:ind w:left="0" w:leftChars="0" w:firstLine="632" w:firstLineChars="200"/>
        <w:textAlignment w:val="auto"/>
        <w:outlineLvl w:val="9"/>
        <w:rPr>
          <w:rFonts w:hint="default"/>
          <w:lang w:val="en-US" w:eastAsia="zh-CN"/>
        </w:rPr>
      </w:pPr>
      <w:r>
        <w:rPr>
          <w:rFonts w:hint="eastAsia" w:ascii="仿宋" w:hAnsi="仿宋" w:eastAsia="仿宋" w:cs="仿宋"/>
          <w:spacing w:val="-2"/>
          <w:kern w:val="0"/>
          <w:sz w:val="32"/>
          <w:szCs w:val="32"/>
          <w:lang w:val="en-US" w:eastAsia="zh-CN" w:bidi="ar"/>
        </w:rPr>
        <w:t>社会公众满意度达95%，完成计划目标。</w:t>
      </w:r>
    </w:p>
    <w:p w14:paraId="71490AD6">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6C1CAE5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kern w:val="2"/>
          <w:sz w:val="32"/>
          <w:szCs w:val="32"/>
          <w:lang w:val="en-US" w:eastAsia="zh-CN" w:bidi="ar-SA"/>
        </w:rPr>
        <w:t>年初预算支出项目金额和实际项目支出差异较大，主要是单位为怀化市派驻洪江市二级机构，为市级部门预算单位，洪江市（县级）财政拨项目资金未纳入年初预算，无法预计后期省级及县级项目下达计划。</w:t>
      </w:r>
    </w:p>
    <w:p w14:paraId="7E4C8D57">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方正黑体_GBK" w:hAnsi="方正黑体_GBK" w:eastAsia="方正黑体_GBK" w:cs="方正黑体_GBK"/>
          <w:b/>
          <w:bCs/>
          <w:color w:val="auto"/>
          <w:kern w:val="2"/>
          <w:sz w:val="32"/>
          <w:szCs w:val="32"/>
          <w:lang w:val="en-US" w:eastAsia="zh-CN" w:bidi="ar-SA"/>
        </w:rPr>
      </w:pPr>
    </w:p>
    <w:p w14:paraId="76D7D40C">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kern w:val="2"/>
          <w:sz w:val="32"/>
          <w:szCs w:val="32"/>
          <w:lang w:val="en-US" w:eastAsia="zh-CN" w:bidi="ar-SA"/>
        </w:rPr>
        <w:t>十、</w:t>
      </w:r>
      <w:r>
        <w:rPr>
          <w:rFonts w:hint="default" w:ascii="方正黑体_GBK" w:hAnsi="方正黑体_GBK" w:eastAsia="方正黑体_GBK" w:cs="方正黑体_GBK"/>
          <w:b/>
          <w:bCs/>
          <w:color w:val="auto"/>
          <w:sz w:val="32"/>
          <w:szCs w:val="32"/>
          <w:highlight w:val="none"/>
          <w:lang w:val="en-US" w:eastAsia="zh-CN"/>
        </w:rPr>
        <w:t>下一步改进措施</w:t>
      </w:r>
    </w:p>
    <w:p w14:paraId="2D6DC079">
      <w:pPr>
        <w:keepNext w:val="0"/>
        <w:keepLines w:val="0"/>
        <w:pageBreakBefore w:val="0"/>
        <w:widowControl/>
        <w:shd w:val="clear" w:color="auto" w:fill="FFFFFF"/>
        <w:kinsoku/>
        <w:wordWrap/>
        <w:overflowPunct/>
        <w:topLinePunct w:val="0"/>
        <w:autoSpaceDE/>
        <w:autoSpaceDN/>
        <w:bidi w:val="0"/>
        <w:adjustRightInd/>
        <w:spacing w:line="640" w:lineRule="exact"/>
        <w:ind w:firstLine="640"/>
        <w:textAlignment w:val="auto"/>
        <w:rPr>
          <w:rFonts w:hint="default"/>
          <w:lang w:val="en-US" w:eastAsia="zh-CN"/>
        </w:rPr>
      </w:pPr>
      <w:r>
        <w:rPr>
          <w:rFonts w:hint="eastAsia" w:ascii="仿宋" w:hAnsi="仿宋" w:eastAsia="仿宋" w:cs="仿宋"/>
          <w:spacing w:val="-2"/>
          <w:sz w:val="32"/>
          <w:szCs w:val="32"/>
        </w:rPr>
        <w:t>进一步加强预算管理</w:t>
      </w:r>
      <w:r>
        <w:rPr>
          <w:rFonts w:ascii="仿宋" w:hAnsi="仿宋" w:eastAsia="仿宋" w:cs="仿宋"/>
          <w:spacing w:val="-2"/>
          <w:sz w:val="32"/>
          <w:szCs w:val="32"/>
        </w:rPr>
        <w:t>，</w:t>
      </w:r>
      <w:r>
        <w:rPr>
          <w:rFonts w:hint="eastAsia" w:ascii="仿宋" w:hAnsi="仿宋" w:eastAsia="仿宋" w:cs="仿宋"/>
          <w:spacing w:val="-2"/>
          <w:sz w:val="32"/>
          <w:szCs w:val="32"/>
          <w:lang w:val="en-US" w:eastAsia="zh-CN"/>
        </w:rPr>
        <w:t>尽量将确定的项目应纳尽纳</w:t>
      </w:r>
      <w:r>
        <w:rPr>
          <w:rFonts w:ascii="仿宋" w:hAnsi="仿宋" w:eastAsia="仿宋" w:cs="仿宋"/>
          <w:spacing w:val="-2"/>
          <w:sz w:val="32"/>
          <w:szCs w:val="32"/>
        </w:rPr>
        <w:t>，进一步提高预算编制的科学性、严谨性。</w:t>
      </w:r>
    </w:p>
    <w:p w14:paraId="254488BF">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kern w:val="2"/>
          <w:sz w:val="32"/>
          <w:szCs w:val="32"/>
          <w:lang w:val="en-US" w:eastAsia="zh-CN" w:bidi="ar-SA"/>
        </w:rPr>
        <w:t>十一、</w:t>
      </w: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BC75E71">
      <w:pPr>
        <w:pStyle w:val="7"/>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color w:val="auto"/>
          <w:spacing w:val="-2"/>
          <w:kern w:val="2"/>
          <w:sz w:val="32"/>
          <w:szCs w:val="32"/>
          <w:lang w:val="en-US" w:eastAsia="zh-CN" w:bidi="ar-SA"/>
        </w:rPr>
      </w:pPr>
      <w:r>
        <w:rPr>
          <w:rFonts w:hint="eastAsia" w:ascii="仿宋" w:hAnsi="仿宋" w:eastAsia="仿宋" w:cs="仿宋"/>
          <w:kern w:val="2"/>
          <w:sz w:val="32"/>
          <w:szCs w:val="32"/>
          <w:lang w:val="en-US" w:eastAsia="zh-CN" w:bidi="ar-SA"/>
        </w:rPr>
        <w:t>本项目绩效自评结果，作为以后年度本专项资金预算安排的参考依据，申报项目预算时，编报科学、合理的项目预期绩效目标。</w:t>
      </w:r>
      <w:r>
        <w:rPr>
          <w:rFonts w:hint="default" w:ascii="仿宋" w:hAnsi="仿宋" w:eastAsia="仿宋" w:cs="仿宋"/>
          <w:color w:val="auto"/>
          <w:spacing w:val="-2"/>
          <w:kern w:val="2"/>
          <w:sz w:val="32"/>
          <w:szCs w:val="32"/>
          <w:lang w:val="en-US" w:eastAsia="zh-CN" w:bidi="ar-SA"/>
        </w:rPr>
        <w:t>202</w:t>
      </w:r>
      <w:r>
        <w:rPr>
          <w:rFonts w:hint="eastAsia" w:ascii="仿宋" w:hAnsi="仿宋" w:eastAsia="仿宋" w:cs="仿宋"/>
          <w:color w:val="auto"/>
          <w:spacing w:val="-2"/>
          <w:kern w:val="2"/>
          <w:sz w:val="32"/>
          <w:szCs w:val="32"/>
          <w:lang w:val="en-US" w:eastAsia="zh-CN" w:bidi="ar-SA"/>
        </w:rPr>
        <w:t>4</w:t>
      </w:r>
      <w:r>
        <w:rPr>
          <w:rFonts w:hint="default" w:ascii="仿宋" w:hAnsi="仿宋" w:eastAsia="仿宋" w:cs="仿宋"/>
          <w:color w:val="auto"/>
          <w:spacing w:val="-2"/>
          <w:kern w:val="2"/>
          <w:sz w:val="32"/>
          <w:szCs w:val="32"/>
          <w:lang w:val="en-US" w:eastAsia="zh-CN" w:bidi="ar-SA"/>
        </w:rPr>
        <w:t>年绩效自评结果将在</w:t>
      </w:r>
      <w:r>
        <w:rPr>
          <w:rFonts w:hint="eastAsia" w:ascii="仿宋" w:hAnsi="仿宋" w:eastAsia="仿宋" w:cs="仿宋"/>
          <w:color w:val="auto"/>
          <w:spacing w:val="-2"/>
          <w:kern w:val="2"/>
          <w:sz w:val="32"/>
          <w:szCs w:val="32"/>
          <w:lang w:val="en-US" w:eastAsia="zh-CN" w:bidi="ar-SA"/>
        </w:rPr>
        <w:t>怀化市人民政府</w:t>
      </w:r>
      <w:r>
        <w:rPr>
          <w:rFonts w:hint="default" w:ascii="仿宋" w:hAnsi="仿宋" w:eastAsia="仿宋" w:cs="仿宋"/>
          <w:color w:val="auto"/>
          <w:spacing w:val="-2"/>
          <w:kern w:val="2"/>
          <w:sz w:val="32"/>
          <w:szCs w:val="32"/>
          <w:lang w:val="en-US" w:eastAsia="zh-CN" w:bidi="ar-SA"/>
        </w:rPr>
        <w:t>门户网站上进行公开，不断提高我单位资金使用效率及绩效自评水平。</w:t>
      </w:r>
    </w:p>
    <w:p w14:paraId="374B2A9F">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方正黑体_GBK" w:hAnsi="方正黑体_GBK" w:eastAsia="方正黑体_GBK" w:cs="方正黑体_GBK"/>
          <w:b/>
          <w:bCs/>
          <w:color w:val="auto"/>
          <w:kern w:val="2"/>
          <w:sz w:val="32"/>
          <w:szCs w:val="32"/>
          <w:lang w:val="en-US" w:eastAsia="zh-CN" w:bidi="ar-SA"/>
        </w:rPr>
        <w:t>十二</w:t>
      </w:r>
      <w:r>
        <w:rPr>
          <w:rFonts w:hint="eastAsia" w:ascii="Times New Roman Regular" w:hAnsi="Times New Roman Regular" w:eastAsia="仿宋_GB2312" w:cs="Times New Roman Regular"/>
          <w:color w:val="auto"/>
          <w:kern w:val="2"/>
          <w:sz w:val="32"/>
          <w:szCs w:val="32"/>
          <w:lang w:val="en-US" w:eastAsia="zh-CN" w:bidi="ar-SA"/>
        </w:rPr>
        <w:t>、</w:t>
      </w:r>
      <w:r>
        <w:rPr>
          <w:rFonts w:hint="default" w:ascii="方正黑体_GBK" w:hAnsi="方正黑体_GBK" w:eastAsia="方正黑体_GBK" w:cs="方正黑体_GBK"/>
          <w:b/>
          <w:bCs/>
          <w:color w:val="auto"/>
          <w:sz w:val="32"/>
          <w:szCs w:val="32"/>
          <w:highlight w:val="none"/>
          <w:lang w:val="en-US" w:eastAsia="zh-CN"/>
        </w:rPr>
        <w:t>其他需要说明的情况</w:t>
      </w:r>
    </w:p>
    <w:p w14:paraId="7590F299">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ascii="Times New Roman" w:hAnsi="Times New Roman" w:eastAsia="仿宋_GB2312"/>
          <w:color w:val="000000" w:themeColor="text1"/>
          <w:sz w:val="32"/>
          <w:szCs w:val="32"/>
          <w:shd w:val="clear" w:color="auto" w:fill="FFFFFF"/>
          <w14:textFill>
            <w14:solidFill>
              <w14:schemeClr w14:val="tx1"/>
            </w14:solidFill>
          </w14:textFill>
        </w:rPr>
        <w:t>本单位</w:t>
      </w:r>
      <w:r>
        <w:rPr>
          <w:rFonts w:hint="eastAsia" w:ascii="Times New Roman Regular" w:hAnsi="Times New Roman Regular" w:eastAsia="仿宋_GB2312" w:cs="Times New Roman Regular"/>
          <w:color w:val="auto"/>
          <w:kern w:val="2"/>
          <w:sz w:val="32"/>
          <w:szCs w:val="32"/>
          <w:highlight w:val="none"/>
          <w:lang w:val="en-US" w:eastAsia="zh-CN" w:bidi="ar-SA"/>
        </w:rPr>
        <w:t>无</w:t>
      </w:r>
      <w:r>
        <w:rPr>
          <w:rFonts w:hint="default" w:ascii="Times New Roman Regular" w:hAnsi="Times New Roman Regular" w:eastAsia="仿宋_GB2312" w:cs="Times New Roman Regular"/>
          <w:color w:val="auto"/>
          <w:kern w:val="2"/>
          <w:sz w:val="32"/>
          <w:szCs w:val="32"/>
          <w:highlight w:val="none"/>
          <w:lang w:val="en-US" w:eastAsia="zh-CN" w:bidi="ar-SA"/>
        </w:rPr>
        <w:t>其他需要说明的情况</w:t>
      </w:r>
      <w:r>
        <w:rPr>
          <w:rFonts w:hint="eastAsia" w:ascii="Times New Roman Regular" w:hAnsi="Times New Roman Regular" w:eastAsia="仿宋_GB2312" w:cs="Times New Roman Regular"/>
          <w:color w:val="auto"/>
          <w:kern w:val="2"/>
          <w:sz w:val="32"/>
          <w:szCs w:val="32"/>
          <w:highlight w:val="none"/>
          <w:lang w:val="en-US" w:eastAsia="zh-CN" w:bidi="ar-SA"/>
        </w:rPr>
        <w:t>。</w:t>
      </w:r>
    </w:p>
    <w:p w14:paraId="6C06F77E">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2B4021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w:t>
      </w:r>
    </w:p>
    <w:p w14:paraId="7232E904">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38FFD06A">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052F8F37">
      <w:pPr>
        <w:pStyle w:val="6"/>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93CB519">
      <w:pPr>
        <w:pStyle w:val="6"/>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41961B45">
      <w:pPr>
        <w:pStyle w:val="6"/>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ED50E2A">
      <w:pPr>
        <w:pStyle w:val="6"/>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pPr>
    </w:p>
    <w:p w14:paraId="233198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7B370F1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default" w:eastAsia="仿宋_GB2312"/>
          <w:kern w:val="0"/>
          <w:sz w:val="24"/>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r>
        <w:rPr>
          <w:rFonts w:hint="eastAsia" w:eastAsia="仿宋_GB2312"/>
          <w:kern w:val="0"/>
          <w:sz w:val="24"/>
          <w:lang w:val="en-US" w:eastAsia="zh-CN"/>
        </w:rPr>
        <w:t xml:space="preserve">                        </w:t>
      </w:r>
    </w:p>
    <w:tbl>
      <w:tblPr>
        <w:tblStyle w:val="4"/>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1181"/>
        <w:gridCol w:w="846"/>
        <w:gridCol w:w="1121"/>
        <w:gridCol w:w="1106"/>
        <w:gridCol w:w="1060"/>
        <w:gridCol w:w="1068"/>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337" w:type="dxa"/>
            <w:vMerge w:val="restart"/>
            <w:noWrap w:val="0"/>
            <w:vAlign w:val="center"/>
          </w:tcPr>
          <w:p w14:paraId="345165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27" w:type="dxa"/>
            <w:gridSpan w:val="2"/>
            <w:noWrap w:val="0"/>
            <w:vAlign w:val="center"/>
          </w:tcPr>
          <w:p w14:paraId="3BE299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27" w:type="dxa"/>
            <w:gridSpan w:val="2"/>
            <w:noWrap w:val="0"/>
            <w:vAlign w:val="center"/>
          </w:tcPr>
          <w:p w14:paraId="577799F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2128" w:type="dxa"/>
            <w:gridSpan w:val="2"/>
            <w:noWrap w:val="0"/>
            <w:vAlign w:val="center"/>
          </w:tcPr>
          <w:p w14:paraId="1B2695B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vMerge w:val="continue"/>
            <w:noWrap w:val="0"/>
            <w:vAlign w:val="center"/>
          </w:tcPr>
          <w:p w14:paraId="02C12A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p>
        </w:tc>
        <w:tc>
          <w:tcPr>
            <w:tcW w:w="2027" w:type="dxa"/>
            <w:gridSpan w:val="2"/>
            <w:noWrap w:val="0"/>
            <w:vAlign w:val="center"/>
          </w:tcPr>
          <w:p w14:paraId="06AC68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34</w:t>
            </w:r>
          </w:p>
        </w:tc>
        <w:tc>
          <w:tcPr>
            <w:tcW w:w="2227" w:type="dxa"/>
            <w:gridSpan w:val="2"/>
            <w:noWrap w:val="0"/>
            <w:vAlign w:val="center"/>
          </w:tcPr>
          <w:p w14:paraId="1EC7A9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31</w:t>
            </w:r>
          </w:p>
        </w:tc>
        <w:tc>
          <w:tcPr>
            <w:tcW w:w="2128" w:type="dxa"/>
            <w:gridSpan w:val="2"/>
            <w:noWrap w:val="0"/>
            <w:vAlign w:val="center"/>
          </w:tcPr>
          <w:p w14:paraId="53C72D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91.18%</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CAC87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经费控制情况</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万元</w:t>
            </w:r>
            <w:r>
              <w:rPr>
                <w:rFonts w:hint="eastAsia" w:ascii="仿宋" w:hAnsi="仿宋" w:eastAsia="仿宋" w:cs="仿宋"/>
                <w:b w:val="0"/>
                <w:bCs w:val="0"/>
                <w:kern w:val="0"/>
                <w:sz w:val="20"/>
                <w:szCs w:val="20"/>
                <w:lang w:eastAsia="zh-CN"/>
              </w:rPr>
              <w:t>）</w:t>
            </w:r>
          </w:p>
        </w:tc>
        <w:tc>
          <w:tcPr>
            <w:tcW w:w="2027" w:type="dxa"/>
            <w:gridSpan w:val="2"/>
            <w:noWrap w:val="0"/>
            <w:vAlign w:val="center"/>
          </w:tcPr>
          <w:p w14:paraId="53AD76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27" w:type="dxa"/>
            <w:gridSpan w:val="2"/>
            <w:noWrap w:val="0"/>
            <w:vAlign w:val="center"/>
          </w:tcPr>
          <w:p w14:paraId="695FAD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2128" w:type="dxa"/>
            <w:gridSpan w:val="2"/>
            <w:noWrap w:val="0"/>
            <w:vAlign w:val="center"/>
          </w:tcPr>
          <w:p w14:paraId="2B31A8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9EBB9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27" w:type="dxa"/>
            <w:gridSpan w:val="2"/>
            <w:noWrap w:val="0"/>
            <w:vAlign w:val="bottom"/>
          </w:tcPr>
          <w:p w14:paraId="4FA2DA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12.61</w:t>
            </w:r>
          </w:p>
        </w:tc>
        <w:tc>
          <w:tcPr>
            <w:tcW w:w="2227" w:type="dxa"/>
            <w:gridSpan w:val="2"/>
            <w:noWrap w:val="0"/>
            <w:vAlign w:val="center"/>
          </w:tcPr>
          <w:p w14:paraId="2A721D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12.8</w:t>
            </w:r>
          </w:p>
        </w:tc>
        <w:tc>
          <w:tcPr>
            <w:tcW w:w="2128" w:type="dxa"/>
            <w:gridSpan w:val="2"/>
            <w:noWrap w:val="0"/>
            <w:vAlign w:val="center"/>
          </w:tcPr>
          <w:p w14:paraId="7A2767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11.78</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081033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27" w:type="dxa"/>
            <w:gridSpan w:val="2"/>
            <w:noWrap w:val="0"/>
            <w:vAlign w:val="bottom"/>
          </w:tcPr>
          <w:p w14:paraId="391B8F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9.98</w:t>
            </w:r>
          </w:p>
        </w:tc>
        <w:tc>
          <w:tcPr>
            <w:tcW w:w="2227" w:type="dxa"/>
            <w:gridSpan w:val="2"/>
            <w:noWrap w:val="0"/>
            <w:vAlign w:val="center"/>
          </w:tcPr>
          <w:p w14:paraId="795072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8</w:t>
            </w:r>
          </w:p>
        </w:tc>
        <w:tc>
          <w:tcPr>
            <w:tcW w:w="2128" w:type="dxa"/>
            <w:gridSpan w:val="2"/>
            <w:noWrap w:val="0"/>
            <w:vAlign w:val="center"/>
          </w:tcPr>
          <w:p w14:paraId="43FBB4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7.8</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A5351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27" w:type="dxa"/>
            <w:gridSpan w:val="2"/>
            <w:noWrap w:val="0"/>
            <w:vAlign w:val="bottom"/>
          </w:tcPr>
          <w:p w14:paraId="746C39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79D5E6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0AA6D6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BBA61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27" w:type="dxa"/>
            <w:gridSpan w:val="2"/>
            <w:noWrap w:val="0"/>
            <w:vAlign w:val="bottom"/>
          </w:tcPr>
          <w:p w14:paraId="462921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9.98</w:t>
            </w:r>
          </w:p>
        </w:tc>
        <w:tc>
          <w:tcPr>
            <w:tcW w:w="2227" w:type="dxa"/>
            <w:gridSpan w:val="2"/>
            <w:noWrap w:val="0"/>
            <w:vAlign w:val="center"/>
          </w:tcPr>
          <w:p w14:paraId="616B88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8</w:t>
            </w:r>
          </w:p>
        </w:tc>
        <w:tc>
          <w:tcPr>
            <w:tcW w:w="2128" w:type="dxa"/>
            <w:gridSpan w:val="2"/>
            <w:noWrap w:val="0"/>
            <w:vAlign w:val="center"/>
          </w:tcPr>
          <w:p w14:paraId="59BEE7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7.8</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B2095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27" w:type="dxa"/>
            <w:gridSpan w:val="2"/>
            <w:noWrap w:val="0"/>
            <w:vAlign w:val="bottom"/>
          </w:tcPr>
          <w:p w14:paraId="43E95A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317BD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080A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5035AF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27" w:type="dxa"/>
            <w:gridSpan w:val="2"/>
            <w:noWrap w:val="0"/>
            <w:vAlign w:val="bottom"/>
          </w:tcPr>
          <w:p w14:paraId="5FDCEB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2.63</w:t>
            </w:r>
          </w:p>
        </w:tc>
        <w:tc>
          <w:tcPr>
            <w:tcW w:w="2227" w:type="dxa"/>
            <w:gridSpan w:val="2"/>
            <w:noWrap w:val="0"/>
            <w:vAlign w:val="center"/>
          </w:tcPr>
          <w:p w14:paraId="47E07C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4.8</w:t>
            </w:r>
          </w:p>
        </w:tc>
        <w:tc>
          <w:tcPr>
            <w:tcW w:w="2128" w:type="dxa"/>
            <w:gridSpan w:val="2"/>
            <w:noWrap w:val="0"/>
            <w:vAlign w:val="center"/>
          </w:tcPr>
          <w:p w14:paraId="73AEDD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3.98</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76E7F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27" w:type="dxa"/>
            <w:gridSpan w:val="2"/>
            <w:noWrap w:val="0"/>
            <w:vAlign w:val="center"/>
          </w:tcPr>
          <w:p w14:paraId="735D22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D8070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p>
        </w:tc>
        <w:tc>
          <w:tcPr>
            <w:tcW w:w="2128" w:type="dxa"/>
            <w:gridSpan w:val="2"/>
            <w:noWrap w:val="0"/>
            <w:vAlign w:val="center"/>
          </w:tcPr>
          <w:p w14:paraId="5CA310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7" w:type="dxa"/>
            <w:noWrap w:val="0"/>
            <w:vAlign w:val="center"/>
          </w:tcPr>
          <w:p w14:paraId="2E9435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27" w:type="dxa"/>
            <w:gridSpan w:val="2"/>
            <w:noWrap w:val="0"/>
            <w:vAlign w:val="center"/>
          </w:tcPr>
          <w:p w14:paraId="76187F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A8B89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0C8274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94C8C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27" w:type="dxa"/>
            <w:gridSpan w:val="2"/>
            <w:noWrap w:val="0"/>
            <w:vAlign w:val="center"/>
          </w:tcPr>
          <w:p w14:paraId="49802F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6E9D1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738345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337" w:type="dxa"/>
            <w:noWrap w:val="0"/>
            <w:vAlign w:val="center"/>
          </w:tcPr>
          <w:p w14:paraId="51E023B1">
            <w:pPr>
              <w:keepNext w:val="0"/>
              <w:keepLines w:val="0"/>
              <w:pageBreakBefore w:val="0"/>
              <w:widowControl/>
              <w:numPr>
                <w:ilvl w:val="0"/>
                <w:numId w:val="4"/>
              </w:numPr>
              <w:kinsoku/>
              <w:wordWrap/>
              <w:overflowPunct/>
              <w:topLinePunct w:val="0"/>
              <w:autoSpaceDE/>
              <w:autoSpaceDN/>
              <w:bidi w:val="0"/>
              <w:adjustRightInd/>
              <w:snapToGrid/>
              <w:spacing w:line="400" w:lineRule="exact"/>
              <w:ind w:firstLine="400" w:firstLineChars="200"/>
              <w:jc w:val="left"/>
              <w:textAlignment w:val="auto"/>
              <w:rPr>
                <w:rFonts w:hint="eastAsia" w:eastAsiaTheme="minorEastAsia"/>
                <w:lang w:val="en-US" w:eastAsia="zh-CN"/>
              </w:rPr>
            </w:pP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tc>
        <w:tc>
          <w:tcPr>
            <w:tcW w:w="2027" w:type="dxa"/>
            <w:gridSpan w:val="2"/>
            <w:noWrap w:val="0"/>
            <w:vAlign w:val="center"/>
          </w:tcPr>
          <w:p w14:paraId="10F65A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EDCEE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335FDC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6886809">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27" w:type="dxa"/>
            <w:gridSpan w:val="2"/>
            <w:noWrap w:val="0"/>
            <w:vAlign w:val="center"/>
          </w:tcPr>
          <w:p w14:paraId="2CE08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28A3AC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5EDC8E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26F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43D7170">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5、其他专项资金</w:t>
            </w:r>
          </w:p>
        </w:tc>
        <w:tc>
          <w:tcPr>
            <w:tcW w:w="2027" w:type="dxa"/>
            <w:gridSpan w:val="2"/>
            <w:noWrap w:val="0"/>
            <w:vAlign w:val="center"/>
          </w:tcPr>
          <w:p w14:paraId="2F78BD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2F02E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w:t>
            </w:r>
          </w:p>
        </w:tc>
        <w:tc>
          <w:tcPr>
            <w:tcW w:w="2128" w:type="dxa"/>
            <w:gridSpan w:val="2"/>
            <w:noWrap w:val="0"/>
            <w:vAlign w:val="center"/>
          </w:tcPr>
          <w:p w14:paraId="201AF8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1309.25</w:t>
            </w:r>
          </w:p>
        </w:tc>
      </w:tr>
      <w:tr w14:paraId="12DB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92BC11A">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第二轮省生态环境保护督察工作经费</w:t>
            </w:r>
          </w:p>
        </w:tc>
        <w:tc>
          <w:tcPr>
            <w:tcW w:w="2027" w:type="dxa"/>
            <w:gridSpan w:val="2"/>
            <w:noWrap w:val="0"/>
            <w:vAlign w:val="center"/>
          </w:tcPr>
          <w:p w14:paraId="2CD22F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0B4D88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1A657C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14.77</w:t>
            </w:r>
          </w:p>
        </w:tc>
      </w:tr>
      <w:tr w14:paraId="306B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F36E738">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国家重点生态功能区县域生态环境质量监测外委服务费</w:t>
            </w:r>
          </w:p>
        </w:tc>
        <w:tc>
          <w:tcPr>
            <w:tcW w:w="2027" w:type="dxa"/>
            <w:gridSpan w:val="2"/>
            <w:noWrap w:val="0"/>
            <w:vAlign w:val="center"/>
          </w:tcPr>
          <w:p w14:paraId="2A7FEE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D7981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11C08A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55.8</w:t>
            </w:r>
          </w:p>
        </w:tc>
      </w:tr>
      <w:tr w14:paraId="6620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DD806EC">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大气自动监测站设备更新资金</w:t>
            </w:r>
          </w:p>
        </w:tc>
        <w:tc>
          <w:tcPr>
            <w:tcW w:w="2027" w:type="dxa"/>
            <w:gridSpan w:val="2"/>
            <w:noWrap w:val="0"/>
            <w:vAlign w:val="center"/>
          </w:tcPr>
          <w:p w14:paraId="74A91F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0BCAB3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71979E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15</w:t>
            </w:r>
          </w:p>
        </w:tc>
      </w:tr>
      <w:tr w14:paraId="188F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7882AB9">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2022年省级流域生态保护补偿资金</w:t>
            </w:r>
          </w:p>
        </w:tc>
        <w:tc>
          <w:tcPr>
            <w:tcW w:w="2027" w:type="dxa"/>
            <w:gridSpan w:val="2"/>
            <w:noWrap w:val="0"/>
            <w:vAlign w:val="center"/>
          </w:tcPr>
          <w:p w14:paraId="67869C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6F905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235C94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13</w:t>
            </w:r>
          </w:p>
        </w:tc>
      </w:tr>
      <w:tr w14:paraId="397B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B0D66E0">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2023年中央土壤污染防治资金（双溪社区蒋家冲石煤矿遗留治理）</w:t>
            </w:r>
          </w:p>
        </w:tc>
        <w:tc>
          <w:tcPr>
            <w:tcW w:w="2027" w:type="dxa"/>
            <w:gridSpan w:val="2"/>
            <w:noWrap w:val="0"/>
            <w:vAlign w:val="center"/>
          </w:tcPr>
          <w:p w14:paraId="535A98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10B5EB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0826B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200</w:t>
            </w:r>
          </w:p>
        </w:tc>
      </w:tr>
      <w:tr w14:paraId="1D14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57E0B5E5">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2023年中央土壤污染防治资金</w:t>
            </w:r>
          </w:p>
        </w:tc>
        <w:tc>
          <w:tcPr>
            <w:tcW w:w="2027" w:type="dxa"/>
            <w:gridSpan w:val="2"/>
            <w:noWrap w:val="0"/>
            <w:vAlign w:val="center"/>
          </w:tcPr>
          <w:p w14:paraId="0E306F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B2020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63DE8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570</w:t>
            </w:r>
          </w:p>
        </w:tc>
      </w:tr>
      <w:tr w14:paraId="3ABF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529206A">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德坤污水处理站扩容改造项目</w:t>
            </w:r>
          </w:p>
        </w:tc>
        <w:tc>
          <w:tcPr>
            <w:tcW w:w="2027" w:type="dxa"/>
            <w:gridSpan w:val="2"/>
            <w:noWrap w:val="0"/>
            <w:vAlign w:val="center"/>
          </w:tcPr>
          <w:p w14:paraId="03062E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F312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52B494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w:t>
            </w:r>
          </w:p>
        </w:tc>
      </w:tr>
      <w:tr w14:paraId="7310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3589D6E">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2024年省级环保专项资金</w:t>
            </w:r>
          </w:p>
        </w:tc>
        <w:tc>
          <w:tcPr>
            <w:tcW w:w="2027" w:type="dxa"/>
            <w:gridSpan w:val="2"/>
            <w:noWrap w:val="0"/>
            <w:vAlign w:val="center"/>
          </w:tcPr>
          <w:p w14:paraId="155885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1C0547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17E767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50</w:t>
            </w:r>
          </w:p>
        </w:tc>
      </w:tr>
      <w:tr w14:paraId="691E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125CA7F">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湘财资环指〔2021〕55号省级环境保护专项资金</w:t>
            </w:r>
          </w:p>
        </w:tc>
        <w:tc>
          <w:tcPr>
            <w:tcW w:w="2027" w:type="dxa"/>
            <w:gridSpan w:val="2"/>
            <w:noWrap w:val="0"/>
            <w:vAlign w:val="center"/>
          </w:tcPr>
          <w:p w14:paraId="6DD3C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050F58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7DC8F0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26.19</w:t>
            </w:r>
          </w:p>
        </w:tc>
      </w:tr>
      <w:tr w14:paraId="038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C749759">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真抓实干</w:t>
            </w:r>
          </w:p>
        </w:tc>
        <w:tc>
          <w:tcPr>
            <w:tcW w:w="2027" w:type="dxa"/>
            <w:gridSpan w:val="2"/>
            <w:noWrap w:val="0"/>
            <w:vAlign w:val="center"/>
          </w:tcPr>
          <w:p w14:paraId="58E2C4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5DBF0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0E08C7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17.07</w:t>
            </w:r>
          </w:p>
        </w:tc>
      </w:tr>
      <w:tr w14:paraId="3D6D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DB2F7F5">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乡村振兴</w:t>
            </w:r>
          </w:p>
        </w:tc>
        <w:tc>
          <w:tcPr>
            <w:tcW w:w="2027" w:type="dxa"/>
            <w:gridSpan w:val="2"/>
            <w:noWrap w:val="0"/>
            <w:vAlign w:val="center"/>
          </w:tcPr>
          <w:p w14:paraId="0513A9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75B5C5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65EBA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26.18</w:t>
            </w:r>
          </w:p>
        </w:tc>
      </w:tr>
      <w:tr w14:paraId="357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DEE0D1B">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清江湖河滨缓冲带项目</w:t>
            </w:r>
          </w:p>
        </w:tc>
        <w:tc>
          <w:tcPr>
            <w:tcW w:w="2027" w:type="dxa"/>
            <w:gridSpan w:val="2"/>
            <w:noWrap w:val="0"/>
            <w:vAlign w:val="center"/>
          </w:tcPr>
          <w:p w14:paraId="0AF753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674FCE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496E7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85.34</w:t>
            </w:r>
          </w:p>
        </w:tc>
      </w:tr>
      <w:tr w14:paraId="003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12F48EF">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双溪社区黑水池整治</w:t>
            </w:r>
          </w:p>
        </w:tc>
        <w:tc>
          <w:tcPr>
            <w:tcW w:w="2027" w:type="dxa"/>
            <w:gridSpan w:val="2"/>
            <w:noWrap w:val="0"/>
            <w:vAlign w:val="center"/>
          </w:tcPr>
          <w:p w14:paraId="7F154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288997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25796C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10</w:t>
            </w:r>
          </w:p>
        </w:tc>
      </w:tr>
      <w:tr w14:paraId="2151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A9C4DE1">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县级财政拨款项目（存量资金）</w:t>
            </w:r>
          </w:p>
        </w:tc>
        <w:tc>
          <w:tcPr>
            <w:tcW w:w="2027" w:type="dxa"/>
            <w:gridSpan w:val="2"/>
            <w:noWrap w:val="0"/>
            <w:vAlign w:val="center"/>
          </w:tcPr>
          <w:p w14:paraId="7C3B9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B1694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5DB06D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199.9</w:t>
            </w:r>
          </w:p>
        </w:tc>
      </w:tr>
      <w:tr w14:paraId="55D2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1013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27" w:type="dxa"/>
            <w:gridSpan w:val="2"/>
            <w:noWrap w:val="0"/>
            <w:vAlign w:val="center"/>
          </w:tcPr>
          <w:p w14:paraId="2FD18B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15DA76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2C69EE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96C57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27" w:type="dxa"/>
            <w:gridSpan w:val="2"/>
            <w:noWrap w:val="0"/>
            <w:vAlign w:val="bottom"/>
          </w:tcPr>
          <w:p w14:paraId="20C792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101.57</w:t>
            </w:r>
          </w:p>
        </w:tc>
        <w:tc>
          <w:tcPr>
            <w:tcW w:w="2227" w:type="dxa"/>
            <w:gridSpan w:val="2"/>
            <w:noWrap w:val="0"/>
            <w:vAlign w:val="center"/>
          </w:tcPr>
          <w:p w14:paraId="102828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76.61</w:t>
            </w:r>
          </w:p>
        </w:tc>
        <w:tc>
          <w:tcPr>
            <w:tcW w:w="2128" w:type="dxa"/>
            <w:gridSpan w:val="2"/>
            <w:noWrap w:val="0"/>
            <w:vAlign w:val="center"/>
          </w:tcPr>
          <w:p w14:paraId="6F675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195.55</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7" w:type="dxa"/>
            <w:noWrap w:val="0"/>
            <w:vAlign w:val="center"/>
          </w:tcPr>
          <w:p w14:paraId="2D947B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27" w:type="dxa"/>
            <w:gridSpan w:val="2"/>
            <w:noWrap w:val="0"/>
            <w:vAlign w:val="bottom"/>
          </w:tcPr>
          <w:p w14:paraId="0B620E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7.68</w:t>
            </w:r>
          </w:p>
        </w:tc>
        <w:tc>
          <w:tcPr>
            <w:tcW w:w="2227" w:type="dxa"/>
            <w:gridSpan w:val="2"/>
            <w:noWrap w:val="0"/>
            <w:vAlign w:val="center"/>
          </w:tcPr>
          <w:p w14:paraId="4ACED1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5.3</w:t>
            </w:r>
          </w:p>
        </w:tc>
        <w:tc>
          <w:tcPr>
            <w:tcW w:w="2128" w:type="dxa"/>
            <w:gridSpan w:val="2"/>
            <w:noWrap w:val="0"/>
            <w:vAlign w:val="center"/>
          </w:tcPr>
          <w:p w14:paraId="06F4A5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21.03</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51C46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27" w:type="dxa"/>
            <w:gridSpan w:val="2"/>
            <w:noWrap w:val="0"/>
            <w:vAlign w:val="bottom"/>
          </w:tcPr>
          <w:p w14:paraId="25F28B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16.79</w:t>
            </w:r>
          </w:p>
        </w:tc>
        <w:tc>
          <w:tcPr>
            <w:tcW w:w="2227" w:type="dxa"/>
            <w:gridSpan w:val="2"/>
            <w:noWrap w:val="0"/>
            <w:vAlign w:val="center"/>
          </w:tcPr>
          <w:p w14:paraId="2891DC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17.3</w:t>
            </w:r>
          </w:p>
        </w:tc>
        <w:tc>
          <w:tcPr>
            <w:tcW w:w="2128" w:type="dxa"/>
            <w:gridSpan w:val="2"/>
            <w:noWrap w:val="0"/>
            <w:vAlign w:val="center"/>
          </w:tcPr>
          <w:p w14:paraId="762216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41.83</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0511FA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27" w:type="dxa"/>
            <w:gridSpan w:val="2"/>
            <w:noWrap w:val="0"/>
            <w:vAlign w:val="bottom"/>
          </w:tcPr>
          <w:p w14:paraId="317307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0.77</w:t>
            </w:r>
          </w:p>
        </w:tc>
        <w:tc>
          <w:tcPr>
            <w:tcW w:w="2227" w:type="dxa"/>
            <w:gridSpan w:val="2"/>
            <w:noWrap w:val="0"/>
            <w:vAlign w:val="center"/>
          </w:tcPr>
          <w:p w14:paraId="18A83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0.9</w:t>
            </w:r>
          </w:p>
        </w:tc>
        <w:tc>
          <w:tcPr>
            <w:tcW w:w="2128" w:type="dxa"/>
            <w:gridSpan w:val="2"/>
            <w:noWrap w:val="0"/>
            <w:vAlign w:val="center"/>
          </w:tcPr>
          <w:p w14:paraId="3206C2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1.65</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AF5BA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27" w:type="dxa"/>
            <w:gridSpan w:val="2"/>
            <w:noWrap w:val="0"/>
            <w:vAlign w:val="center"/>
          </w:tcPr>
          <w:p w14:paraId="6B3991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w:t>
            </w:r>
          </w:p>
        </w:tc>
        <w:tc>
          <w:tcPr>
            <w:tcW w:w="2227" w:type="dxa"/>
            <w:gridSpan w:val="2"/>
            <w:noWrap w:val="0"/>
            <w:vAlign w:val="center"/>
          </w:tcPr>
          <w:p w14:paraId="4ED0C3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w:t>
            </w:r>
          </w:p>
        </w:tc>
        <w:tc>
          <w:tcPr>
            <w:tcW w:w="2128" w:type="dxa"/>
            <w:gridSpan w:val="2"/>
            <w:noWrap w:val="0"/>
            <w:vAlign w:val="center"/>
          </w:tcPr>
          <w:p w14:paraId="785F6F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0DBB2E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27" w:type="dxa"/>
            <w:gridSpan w:val="2"/>
            <w:noWrap w:val="0"/>
            <w:vAlign w:val="center"/>
          </w:tcPr>
          <w:p w14:paraId="2F97E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w:t>
            </w:r>
          </w:p>
        </w:tc>
        <w:tc>
          <w:tcPr>
            <w:tcW w:w="2227" w:type="dxa"/>
            <w:gridSpan w:val="2"/>
            <w:noWrap w:val="0"/>
            <w:vAlign w:val="center"/>
          </w:tcPr>
          <w:p w14:paraId="3CD31B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680</w:t>
            </w:r>
          </w:p>
        </w:tc>
        <w:tc>
          <w:tcPr>
            <w:tcW w:w="2128" w:type="dxa"/>
            <w:gridSpan w:val="2"/>
            <w:noWrap w:val="0"/>
            <w:vAlign w:val="center"/>
          </w:tcPr>
          <w:p w14:paraId="573598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660.3</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37"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1"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6"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1"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06"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1060"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1068"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337"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1" w:type="dxa"/>
            <w:noWrap w:val="0"/>
            <w:vAlign w:val="center"/>
          </w:tcPr>
          <w:p w14:paraId="745CE46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46"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1"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06"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060"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068"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337"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382"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2"/>
                <w:szCs w:val="22"/>
                <w:lang w:val="en-US" w:eastAsia="zh-CN"/>
              </w:rPr>
              <w:t>按财政规定压减公用经费及专项经费预算。</w:t>
            </w:r>
            <w:r>
              <w:rPr>
                <w:rFonts w:hint="eastAsia" w:ascii="仿宋" w:hAnsi="仿宋" w:eastAsia="仿宋" w:cs="仿宋"/>
                <w:b w:val="0"/>
                <w:bCs w:val="0"/>
                <w:kern w:val="0"/>
                <w:sz w:val="20"/>
                <w:szCs w:val="20"/>
              </w:rPr>
              <w:t>　</w:t>
            </w:r>
          </w:p>
        </w:tc>
      </w:tr>
    </w:tbl>
    <w:p w14:paraId="00F6D30B">
      <w:pPr>
        <w:pStyle w:val="9"/>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1DC98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E00D2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469E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26B5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89B11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26C1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73244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4F48F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B400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B54B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CCEB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39991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36B80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29B05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0F8B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A1FF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B928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F0726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pPr>
    </w:p>
    <w:p w14:paraId="5D0A20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0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4"/>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50"/>
        <w:gridCol w:w="1080"/>
        <w:gridCol w:w="1467"/>
        <w:gridCol w:w="1253"/>
        <w:gridCol w:w="1197"/>
        <w:gridCol w:w="787"/>
        <w:gridCol w:w="850"/>
        <w:gridCol w:w="1456"/>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9240" w:type="dxa"/>
            <w:gridSpan w:val="8"/>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怀化市生态环境局洪江市分局</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26"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30"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467"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3" w:type="dxa"/>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97"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87"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50"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56"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230"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467"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405.78</w:t>
            </w:r>
          </w:p>
        </w:tc>
        <w:tc>
          <w:tcPr>
            <w:tcW w:w="1253" w:type="dxa"/>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1989.25</w:t>
            </w:r>
          </w:p>
        </w:tc>
        <w:tc>
          <w:tcPr>
            <w:tcW w:w="1197"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1969.55</w:t>
            </w:r>
          </w:p>
        </w:tc>
        <w:tc>
          <w:tcPr>
            <w:tcW w:w="787"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850"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99.01%</w:t>
            </w:r>
          </w:p>
        </w:tc>
        <w:tc>
          <w:tcPr>
            <w:tcW w:w="1456"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4290"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407.29</w:t>
            </w:r>
          </w:p>
        </w:tc>
        <w:tc>
          <w:tcPr>
            <w:tcW w:w="4290"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660.3</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4290"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1309.25</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4290"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6"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1562.26</w:t>
            </w:r>
          </w:p>
        </w:tc>
        <w:tc>
          <w:tcPr>
            <w:tcW w:w="4290"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6"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950" w:type="dxa"/>
            <w:gridSpan w:val="4"/>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90"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126"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有效改善重点区域环境质量，继续削减主要污染物排放</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水环境、空气环境、声环境质量持续稳定保持在相应功能区标准，集中式饮用水源地水质达标率100%</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城区环境空气质量优良率稳定在95%以上；生态良好，环境安全</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全市确保不发生重大以上环境污染事故。</w:t>
            </w:r>
          </w:p>
        </w:tc>
        <w:tc>
          <w:tcPr>
            <w:tcW w:w="4290"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有效改善重点区域环境质量，继续削减主要污染物排放</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水环境、空气环境、声环境质量持续稳定保持在相应功能区标准，集中式饮用水源地水质达标率100%</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城区环境空气质量优良率</w:t>
            </w:r>
            <w:r>
              <w:rPr>
                <w:rFonts w:hint="eastAsia" w:ascii="仿宋" w:hAnsi="仿宋" w:eastAsia="仿宋" w:cs="仿宋"/>
                <w:color w:val="000000"/>
                <w:kern w:val="0"/>
                <w:sz w:val="20"/>
                <w:szCs w:val="20"/>
                <w:lang w:eastAsia="zh-CN"/>
              </w:rPr>
              <w:t>98.</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；生态良好，环境安全</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全市</w:t>
            </w:r>
            <w:r>
              <w:rPr>
                <w:rFonts w:hint="eastAsia" w:ascii="仿宋" w:hAnsi="仿宋" w:eastAsia="仿宋" w:cs="仿宋"/>
                <w:color w:val="000000"/>
                <w:kern w:val="0"/>
                <w:sz w:val="20"/>
                <w:szCs w:val="20"/>
                <w:lang w:val="en-US" w:eastAsia="zh-CN"/>
              </w:rPr>
              <w:t>未</w:t>
            </w:r>
            <w:r>
              <w:rPr>
                <w:rFonts w:hint="eastAsia" w:ascii="仿宋" w:hAnsi="仿宋" w:eastAsia="仿宋" w:cs="仿宋"/>
                <w:color w:val="000000"/>
                <w:kern w:val="0"/>
                <w:sz w:val="20"/>
                <w:szCs w:val="20"/>
              </w:rPr>
              <w:t>发生重大以上环境污染事故。</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26"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50"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67" w:type="dxa"/>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53"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97"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87"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50"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56" w:type="dxa"/>
            <w:noWrap w:val="0"/>
            <w:vAlign w:val="top"/>
          </w:tcPr>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6"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67" w:type="dxa"/>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运行成本</w:t>
            </w:r>
          </w:p>
        </w:tc>
        <w:tc>
          <w:tcPr>
            <w:tcW w:w="1253" w:type="dxa"/>
            <w:noWrap w:val="0"/>
            <w:vAlign w:val="center"/>
          </w:tcPr>
          <w:p w14:paraId="6A92563D">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sz w:val="20"/>
                <w:szCs w:val="20"/>
                <w:lang w:val="en-US" w:eastAsia="zh-CN"/>
              </w:rPr>
              <w:t>≤405.78万元</w:t>
            </w:r>
          </w:p>
        </w:tc>
        <w:tc>
          <w:tcPr>
            <w:tcW w:w="1197"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sz w:val="20"/>
                <w:szCs w:val="20"/>
                <w:lang w:val="en-US" w:eastAsia="zh-CN"/>
              </w:rPr>
              <w:t>1969.55</w:t>
            </w:r>
            <w:r>
              <w:rPr>
                <w:rFonts w:hint="eastAsia" w:ascii="仿宋" w:hAnsi="仿宋" w:eastAsia="仿宋" w:cs="仿宋"/>
                <w:color w:val="000000"/>
                <w:kern w:val="0"/>
                <w:sz w:val="20"/>
                <w:szCs w:val="20"/>
                <w:lang w:val="en-US" w:eastAsia="zh-CN"/>
              </w:rPr>
              <w:t>万元</w:t>
            </w:r>
          </w:p>
        </w:tc>
        <w:tc>
          <w:tcPr>
            <w:tcW w:w="787"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850"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56"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本单位为怀化市派驻洪江市二级机构，为市级部门预算单位，洪江市（县级）财政拨项目资金未纳入年初预算</w:t>
            </w:r>
          </w:p>
        </w:tc>
      </w:tr>
      <w:tr w14:paraId="5C6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6FDA04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139FEA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4575C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社会成本指标</w:t>
            </w:r>
          </w:p>
        </w:tc>
        <w:tc>
          <w:tcPr>
            <w:tcW w:w="1467" w:type="dxa"/>
            <w:noWrap w:val="0"/>
            <w:vAlign w:val="center"/>
          </w:tcPr>
          <w:p w14:paraId="6709C9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社会成本节约率</w:t>
            </w:r>
          </w:p>
        </w:tc>
        <w:tc>
          <w:tcPr>
            <w:tcW w:w="1253" w:type="dxa"/>
            <w:noWrap w:val="0"/>
            <w:vAlign w:val="center"/>
          </w:tcPr>
          <w:p w14:paraId="57BD13BC">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≥0</w:t>
            </w:r>
          </w:p>
        </w:tc>
        <w:tc>
          <w:tcPr>
            <w:tcW w:w="1197" w:type="dxa"/>
            <w:noWrap w:val="0"/>
            <w:vAlign w:val="center"/>
          </w:tcPr>
          <w:p w14:paraId="1A5E12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87" w:type="dxa"/>
            <w:noWrap w:val="0"/>
            <w:vAlign w:val="center"/>
          </w:tcPr>
          <w:p w14:paraId="468EE9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50" w:type="dxa"/>
            <w:noWrap w:val="0"/>
            <w:vAlign w:val="center"/>
          </w:tcPr>
          <w:p w14:paraId="2EEB34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w:t>
            </w:r>
          </w:p>
        </w:tc>
        <w:tc>
          <w:tcPr>
            <w:tcW w:w="1456" w:type="dxa"/>
            <w:noWrap w:val="0"/>
            <w:vAlign w:val="center"/>
          </w:tcPr>
          <w:p w14:paraId="244ADE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72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3315B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62A08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7EC5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 xml:space="preserve">生态环境成本指标  </w:t>
            </w:r>
          </w:p>
        </w:tc>
        <w:tc>
          <w:tcPr>
            <w:tcW w:w="1467" w:type="dxa"/>
            <w:noWrap w:val="0"/>
            <w:vAlign w:val="center"/>
          </w:tcPr>
          <w:p w14:paraId="3A479B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生态环境成本节约率</w:t>
            </w:r>
          </w:p>
        </w:tc>
        <w:tc>
          <w:tcPr>
            <w:tcW w:w="1253" w:type="dxa"/>
            <w:noWrap w:val="0"/>
            <w:vAlign w:val="center"/>
          </w:tcPr>
          <w:p w14:paraId="52EA14BE">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≥0</w:t>
            </w:r>
          </w:p>
        </w:tc>
        <w:tc>
          <w:tcPr>
            <w:tcW w:w="1197" w:type="dxa"/>
            <w:noWrap w:val="0"/>
            <w:vAlign w:val="center"/>
          </w:tcPr>
          <w:p w14:paraId="4AA16F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87" w:type="dxa"/>
            <w:noWrap w:val="0"/>
            <w:vAlign w:val="center"/>
          </w:tcPr>
          <w:p w14:paraId="0A2DAC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50" w:type="dxa"/>
            <w:noWrap w:val="0"/>
            <w:vAlign w:val="center"/>
          </w:tcPr>
          <w:p w14:paraId="0F4582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w:t>
            </w:r>
          </w:p>
        </w:tc>
        <w:tc>
          <w:tcPr>
            <w:tcW w:w="1456" w:type="dxa"/>
            <w:noWrap w:val="0"/>
            <w:vAlign w:val="center"/>
          </w:tcPr>
          <w:p w14:paraId="2FEA0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restart"/>
            <w:noWrap w:val="0"/>
            <w:vAlign w:val="center"/>
          </w:tcPr>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67" w:type="dxa"/>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非道路移动机械检测挂牌数</w:t>
            </w:r>
          </w:p>
        </w:tc>
        <w:tc>
          <w:tcPr>
            <w:tcW w:w="1253" w:type="dxa"/>
            <w:noWrap w:val="0"/>
            <w:vAlign w:val="center"/>
          </w:tcPr>
          <w:p w14:paraId="1AF52109">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≥24台</w:t>
            </w:r>
          </w:p>
        </w:tc>
        <w:tc>
          <w:tcPr>
            <w:tcW w:w="1197"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30台</w:t>
            </w:r>
          </w:p>
        </w:tc>
        <w:tc>
          <w:tcPr>
            <w:tcW w:w="787" w:type="dxa"/>
            <w:noWrap w:val="0"/>
            <w:vAlign w:val="center"/>
          </w:tcPr>
          <w:p w14:paraId="5E18AEFA">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6D0A0093">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9C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16DC4B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451C3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3B6F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67" w:type="dxa"/>
            <w:noWrap w:val="0"/>
            <w:vAlign w:val="center"/>
          </w:tcPr>
          <w:p w14:paraId="093ECB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开展专项执法检查次数</w:t>
            </w:r>
          </w:p>
        </w:tc>
        <w:tc>
          <w:tcPr>
            <w:tcW w:w="1253" w:type="dxa"/>
            <w:noWrap w:val="0"/>
            <w:vAlign w:val="center"/>
          </w:tcPr>
          <w:p w14:paraId="717B957E">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≥1次</w:t>
            </w:r>
          </w:p>
        </w:tc>
        <w:tc>
          <w:tcPr>
            <w:tcW w:w="1197" w:type="dxa"/>
            <w:noWrap w:val="0"/>
            <w:vAlign w:val="center"/>
          </w:tcPr>
          <w:p w14:paraId="6F5F58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787" w:type="dxa"/>
            <w:noWrap w:val="0"/>
            <w:vAlign w:val="center"/>
          </w:tcPr>
          <w:p w14:paraId="6F2CE27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09A5CF85">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337E05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26" w:type="dxa"/>
            <w:vMerge w:val="continue"/>
            <w:noWrap w:val="0"/>
            <w:vAlign w:val="center"/>
          </w:tcPr>
          <w:p w14:paraId="26399C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67" w:type="dxa"/>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集中式饮用水源地水质达标率</w:t>
            </w:r>
          </w:p>
        </w:tc>
        <w:tc>
          <w:tcPr>
            <w:tcW w:w="1253" w:type="dxa"/>
            <w:noWrap w:val="0"/>
            <w:vAlign w:val="center"/>
          </w:tcPr>
          <w:p w14:paraId="57A00836">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197"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7" w:type="dxa"/>
            <w:noWrap w:val="0"/>
            <w:vAlign w:val="center"/>
          </w:tcPr>
          <w:p w14:paraId="3624F299">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24AF832A">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A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26" w:type="dxa"/>
            <w:vMerge w:val="continue"/>
            <w:noWrap w:val="0"/>
            <w:vAlign w:val="center"/>
          </w:tcPr>
          <w:p w14:paraId="758F62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305E77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7A326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67" w:type="dxa"/>
            <w:noWrap w:val="0"/>
            <w:vAlign w:val="center"/>
          </w:tcPr>
          <w:p w14:paraId="3C92AE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空气质量优良率</w:t>
            </w:r>
          </w:p>
        </w:tc>
        <w:tc>
          <w:tcPr>
            <w:tcW w:w="1253" w:type="dxa"/>
            <w:noWrap w:val="0"/>
            <w:vAlign w:val="center"/>
          </w:tcPr>
          <w:p w14:paraId="35958939">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197" w:type="dxa"/>
            <w:noWrap w:val="0"/>
            <w:vAlign w:val="center"/>
          </w:tcPr>
          <w:p w14:paraId="55A8B2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98.6%</w:t>
            </w:r>
          </w:p>
        </w:tc>
        <w:tc>
          <w:tcPr>
            <w:tcW w:w="787" w:type="dxa"/>
            <w:noWrap w:val="0"/>
            <w:vAlign w:val="center"/>
          </w:tcPr>
          <w:p w14:paraId="4568F452">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1B4D9EA3">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4BC32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211D8A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67" w:type="dxa"/>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涉危险废物单位申报登记及时率</w:t>
            </w:r>
          </w:p>
        </w:tc>
        <w:tc>
          <w:tcPr>
            <w:tcW w:w="1253" w:type="dxa"/>
            <w:noWrap w:val="0"/>
            <w:vAlign w:val="center"/>
          </w:tcPr>
          <w:p w14:paraId="243A602B">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197"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7" w:type="dxa"/>
            <w:noWrap w:val="0"/>
            <w:vAlign w:val="center"/>
          </w:tcPr>
          <w:p w14:paraId="21A58C1B">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2843FCF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467" w:type="dxa"/>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改善环境，促进地方经济发展</w:t>
            </w:r>
          </w:p>
        </w:tc>
        <w:tc>
          <w:tcPr>
            <w:tcW w:w="1253"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97"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787" w:type="dxa"/>
            <w:noWrap w:val="0"/>
            <w:vAlign w:val="center"/>
          </w:tcPr>
          <w:p w14:paraId="52158094">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6312926C">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467" w:type="dxa"/>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保护群众的用水安全及身体健康</w:t>
            </w:r>
          </w:p>
        </w:tc>
        <w:tc>
          <w:tcPr>
            <w:tcW w:w="1253"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97"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787" w:type="dxa"/>
            <w:noWrap w:val="0"/>
            <w:vAlign w:val="center"/>
          </w:tcPr>
          <w:p w14:paraId="2083A164">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4633CB59">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467" w:type="dxa"/>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环境质量改善情况</w:t>
            </w:r>
          </w:p>
        </w:tc>
        <w:tc>
          <w:tcPr>
            <w:tcW w:w="1253"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97"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787" w:type="dxa"/>
            <w:noWrap w:val="0"/>
            <w:vAlign w:val="center"/>
          </w:tcPr>
          <w:p w14:paraId="0A922AEF">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2D00C3E7">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67" w:type="dxa"/>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对水环境保护及生态治理的持续影响程度</w:t>
            </w:r>
          </w:p>
        </w:tc>
        <w:tc>
          <w:tcPr>
            <w:tcW w:w="1253"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可持续</w:t>
            </w:r>
          </w:p>
        </w:tc>
        <w:tc>
          <w:tcPr>
            <w:tcW w:w="1197"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可持续</w:t>
            </w:r>
          </w:p>
        </w:tc>
        <w:tc>
          <w:tcPr>
            <w:tcW w:w="787" w:type="dxa"/>
            <w:noWrap w:val="0"/>
            <w:vAlign w:val="center"/>
          </w:tcPr>
          <w:p w14:paraId="017F888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2FC6B3E2">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26"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467" w:type="dxa"/>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53" w:type="dxa"/>
            <w:noWrap w:val="0"/>
            <w:vAlign w:val="center"/>
          </w:tcPr>
          <w:p w14:paraId="11C74467">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1197"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87" w:type="dxa"/>
            <w:noWrap w:val="0"/>
            <w:vAlign w:val="center"/>
          </w:tcPr>
          <w:p w14:paraId="43A71535">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850" w:type="dxa"/>
            <w:noWrap w:val="0"/>
            <w:vAlign w:val="center"/>
          </w:tcPr>
          <w:p w14:paraId="7B513B28">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456"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73" w:type="dxa"/>
            <w:gridSpan w:val="6"/>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87"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50"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91.9</w:t>
            </w:r>
          </w:p>
        </w:tc>
        <w:tc>
          <w:tcPr>
            <w:tcW w:w="1456"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AE873B4">
      <w:pPr>
        <w:pStyle w:val="10"/>
        <w:spacing w:line="600" w:lineRule="exact"/>
        <w:ind w:firstLine="640" w:firstLineChars="200"/>
        <w:rPr>
          <w:rFonts w:ascii="Times New Roman" w:hAnsi="Times New Roman" w:eastAsia="仿宋_GB2312" w:cs="Times New Roman"/>
          <w:sz w:val="32"/>
          <w:szCs w:val="32"/>
        </w:rPr>
      </w:pPr>
    </w:p>
    <w:p w14:paraId="7C572107">
      <w:pPr>
        <w:pStyle w:val="10"/>
        <w:jc w:val="center"/>
        <w:rPr>
          <w:rFonts w:ascii="Times New Roman" w:hAnsi="Times New Roman" w:cs="Times New Roman"/>
          <w:sz w:val="72"/>
          <w:szCs w:val="72"/>
        </w:rPr>
      </w:pPr>
    </w:p>
    <w:p w14:paraId="3F6E9120">
      <w:pPr>
        <w:pStyle w:val="10"/>
        <w:jc w:val="center"/>
        <w:rPr>
          <w:rFonts w:ascii="Times New Roman" w:hAnsi="Times New Roman" w:cs="Times New Roman"/>
          <w:sz w:val="72"/>
          <w:szCs w:val="72"/>
        </w:rPr>
      </w:pPr>
    </w:p>
    <w:p w14:paraId="3B27807D">
      <w:pPr>
        <w:jc w:val="left"/>
        <w:rPr>
          <w:rFonts w:ascii="Times New Roman" w:hAnsi="Times New Roman" w:cs="Times New Roman"/>
          <w:color w:val="000000"/>
          <w:kern w:val="0"/>
          <w:sz w:val="32"/>
          <w:szCs w:val="32"/>
        </w:rPr>
      </w:pPr>
    </w:p>
    <w:p w14:paraId="287342C2"/>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50E6775-616B-4690-87A2-AB6BB5EC63CD}"/>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B7E13C5D-BC0E-49E8-8429-9A910E66F6A2}"/>
  </w:font>
  <w:font w:name="仿宋">
    <w:panose1 w:val="02010609060101010101"/>
    <w:charset w:val="86"/>
    <w:family w:val="auto"/>
    <w:pitch w:val="default"/>
    <w:sig w:usb0="800002BF" w:usb1="38CF7CFA" w:usb2="00000016" w:usb3="00000000" w:csb0="00040001" w:csb1="00000000"/>
    <w:embedRegular r:id="rId3" w:fontKey="{C84BD779-143A-45D2-96EF-B5BF33575F23}"/>
  </w:font>
  <w:font w:name="微锟斤拷锟脚猴拷">
    <w:altName w:val="Segoe Print"/>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embedRegular r:id="rId4" w:fontKey="{B8CCDADA-FE31-4D3A-93AD-BC074D9BF960}"/>
  </w:font>
  <w:font w:name="方正小标宋简体">
    <w:panose1 w:val="02010600010101010101"/>
    <w:charset w:val="86"/>
    <w:family w:val="auto"/>
    <w:pitch w:val="default"/>
    <w:sig w:usb0="00000001" w:usb1="080E0000" w:usb2="00000000" w:usb3="00000000" w:csb0="00040000" w:csb1="00000000"/>
    <w:embedRegular r:id="rId5" w:fontKey="{32AB88AE-584F-49FC-B892-A5177E10B93C}"/>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6459B"/>
    <w:multiLevelType w:val="singleLevel"/>
    <w:tmpl w:val="9FF6459B"/>
    <w:lvl w:ilvl="0" w:tentative="0">
      <w:start w:val="5"/>
      <w:numFmt w:val="chineseCounting"/>
      <w:suff w:val="nothing"/>
      <w:lvlText w:val="%1、"/>
      <w:lvlJc w:val="left"/>
      <w:rPr>
        <w:rFonts w:hint="eastAsia"/>
      </w:rPr>
    </w:lvl>
  </w:abstractNum>
  <w:abstractNum w:abstractNumId="1">
    <w:nsid w:val="16BE9D5E"/>
    <w:multiLevelType w:val="singleLevel"/>
    <w:tmpl w:val="16BE9D5E"/>
    <w:lvl w:ilvl="0" w:tentative="0">
      <w:start w:val="3"/>
      <w:numFmt w:val="decimal"/>
      <w:suff w:val="nothing"/>
      <w:lvlText w:val="%1、"/>
      <w:lvlJc w:val="left"/>
    </w:lvl>
  </w:abstractNum>
  <w:abstractNum w:abstractNumId="2">
    <w:nsid w:val="2D0E761B"/>
    <w:multiLevelType w:val="singleLevel"/>
    <w:tmpl w:val="2D0E761B"/>
    <w:lvl w:ilvl="0" w:tentative="0">
      <w:start w:val="1"/>
      <w:numFmt w:val="decimal"/>
      <w:suff w:val="nothing"/>
      <w:lvlText w:val="（%1）"/>
      <w:lvlJc w:val="left"/>
    </w:lvl>
  </w:abstractNum>
  <w:abstractNum w:abstractNumId="3">
    <w:nsid w:val="49FE641B"/>
    <w:multiLevelType w:val="singleLevel"/>
    <w:tmpl w:val="49FE641B"/>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D0BA5"/>
    <w:rsid w:val="660D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BodyText1I"/>
    <w:basedOn w:val="1"/>
    <w:qFormat/>
    <w:uiPriority w:val="99"/>
    <w:pPr>
      <w:snapToGrid w:val="0"/>
      <w:spacing w:line="360" w:lineRule="auto"/>
      <w:ind w:firstLine="420" w:firstLineChars="100"/>
    </w:pPr>
    <w:rPr>
      <w:sz w:val="28"/>
      <w:szCs w:val="20"/>
    </w:rPr>
  </w:style>
  <w:style w:type="paragraph" w:styleId="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1"/>
    <w:basedOn w:val="2"/>
    <w:autoRedefine/>
    <w:qFormat/>
    <w:uiPriority w:val="0"/>
    <w:rPr>
      <w:rFonts w:eastAsia="黑体"/>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2025-11-20T07:33:00Z</dcterms:created>
  <dc:creator>活着</dc:creator>
  <cp:lastModifiedBy>活着</cp:lastModifiedBy>
  <dcterms:modified xsi:type="dcterms:W3CDTF">2025-11-20T07:35:45Z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5CEC6C142D844B83BCB4398FEF478F49_11</vt:lpwstr>
  </property>
  <property fmtid="{D5CDD505-2E9C-101B-9397-08002B2CF9AE}" pid="4" name="KSOTemplateDocerSaveRecord">
    <vt:lpwstr>eyJoZGlkIjoiZTNhOGZhMzJmZGM5Njc2MTM4ODc5ZTNiNWMwODY1OWYiLCJ1c2VySWQiOiIyNzY0MjY2NjcifQ==</vt:lpwstr>
  </property>
</Properties>
</file>