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2020年度</w:t>
      </w:r>
    </w:p>
    <w:p>
      <w:pPr>
        <w:pStyle w:val="13"/>
        <w:jc w:val="center"/>
        <w:rPr>
          <w:sz w:val="84"/>
          <w:szCs w:val="84"/>
        </w:rPr>
      </w:pPr>
      <w:r>
        <w:rPr>
          <w:rFonts w:hint="eastAsia"/>
          <w:sz w:val="84"/>
          <w:szCs w:val="84"/>
          <w:lang w:val="en-US" w:eastAsia="zh-CN"/>
        </w:rPr>
        <w:t>洪江市中药材产业发展中心</w:t>
      </w: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both"/>
        <w:rPr>
          <w:sz w:val="32"/>
          <w:szCs w:val="32"/>
        </w:rPr>
      </w:pPr>
    </w:p>
    <w:p>
      <w:pPr>
        <w:pStyle w:val="13"/>
        <w:spacing w:line="540" w:lineRule="exact"/>
        <w:jc w:val="both"/>
        <w:rPr>
          <w:sz w:val="56"/>
          <w:szCs w:val="56"/>
        </w:rPr>
      </w:pPr>
    </w:p>
    <w:p>
      <w:pPr>
        <w:pStyle w:val="13"/>
        <w:spacing w:line="500" w:lineRule="exact"/>
        <w:jc w:val="center"/>
        <w:rPr>
          <w:b/>
          <w:sz w:val="36"/>
          <w:szCs w:val="28"/>
        </w:rPr>
      </w:pPr>
    </w:p>
    <w:p>
      <w:pPr>
        <w:pStyle w:val="13"/>
        <w:spacing w:line="500" w:lineRule="exact"/>
        <w:jc w:val="center"/>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中药材产业发展中心</w:t>
      </w:r>
      <w:r>
        <w:rPr>
          <w:rFonts w:hint="eastAsia"/>
          <w:b/>
          <w:sz w:val="28"/>
          <w:szCs w:val="28"/>
        </w:rPr>
        <w:t>单位概况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lang w:val="en-US" w:eastAsia="zh-CN"/>
        </w:rPr>
        <w:t>洪江市中药材产业发展中心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洪江市中药材产业发展中心为洪江市人民政府办公室所属副科级公益一类事业单位。主要职责是：1、为全市中药材产业发展规划、方案的编制提供服务保障；2、宣传中药材产业发展有关法律、法规和政策，开展全市中药材产业发展政策调研，为市委、市政府决策提供参考；3、组织开展中药材生产技术培训、宣传和推广；为中药材产业标准化基地建设提供技术支持和服务保障；4、组织开展中药材产业展示展洽活动；为开展对外技术交流和合作提供服务保障；配合开展中药材产业项目招商引资工作；5、负责积极培育中药材产业龙头企业和经济合作组织；指导生产主体进行产品开发；开展与中药材种植、加工、流通、科研等全产业链有关的事务性工作；6、指导中药材产业协会开展工作；跟踪市场信息，为建立中药材生产导航和预警机制提供服务保障；7、组织开展中药材品牌建设，为加强对外宣传，开展市场营销，整体打造产业品牌提供服务保障；8、承担市人民政府办公室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imes New Roman" w:hAnsi="Times New Roman" w:eastAsia="仿宋_GB2312" w:cs="Times New Roman"/>
          <w:sz w:val="32"/>
          <w:szCs w:val="32"/>
          <w:lang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中药材产业发展中心</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eastAsia="zh-CN"/>
        </w:rPr>
        <w:t>综合室</w:t>
      </w:r>
      <w:r>
        <w:rPr>
          <w:rFonts w:hint="default" w:asciiTheme="minorEastAsia" w:hAnsiTheme="minorEastAsia"/>
          <w:bCs/>
          <w:kern w:val="0"/>
          <w:sz w:val="32"/>
          <w:szCs w:val="32"/>
          <w:lang w:val="en-US" w:eastAsia="zh-CN"/>
        </w:rPr>
        <w:t>、</w:t>
      </w:r>
      <w:r>
        <w:rPr>
          <w:rFonts w:hint="eastAsia" w:asciiTheme="minorEastAsia" w:hAnsiTheme="minorEastAsia"/>
          <w:bCs/>
          <w:kern w:val="0"/>
          <w:sz w:val="32"/>
          <w:szCs w:val="32"/>
          <w:lang w:val="en-US" w:eastAsia="zh-CN"/>
        </w:rPr>
        <w:t>产业发展室。</w:t>
      </w:r>
    </w:p>
    <w:p>
      <w:pPr>
        <w:widowControl/>
        <w:spacing w:line="600" w:lineRule="exact"/>
        <w:rPr>
          <w:rFonts w:hint="default"/>
          <w:sz w:val="72"/>
          <w:szCs w:val="72"/>
          <w:lang w:val="en-US"/>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中药材产业发展中心</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val="en-US" w:eastAsia="zh-CN"/>
        </w:rPr>
        <w:t>中药材产业发展中心</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ab/>
      </w: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widowControl/>
        <w:jc w:val="center"/>
        <w:rPr>
          <w:rFonts w:hint="eastAsia" w:eastAsiaTheme="minorEastAsia"/>
          <w:sz w:val="44"/>
          <w:szCs w:val="44"/>
          <w:lang w:eastAsia="zh-CN"/>
        </w:rPr>
        <w:sectPr>
          <w:pgSz w:w="16838" w:h="11906" w:orient="landscape"/>
          <w:pgMar w:top="720" w:right="720" w:bottom="720" w:left="720" w:header="851" w:footer="992" w:gutter="0"/>
          <w:cols w:space="425" w:num="1"/>
          <w:docGrid w:type="lines" w:linePitch="312" w:charSpace="0"/>
        </w:sectPr>
      </w:pPr>
      <w:r>
        <w:rPr>
          <w:rFonts w:hint="eastAsia"/>
          <w:sz w:val="44"/>
          <w:szCs w:val="44"/>
          <w:lang w:eastAsia="zh-CN"/>
        </w:rPr>
        <w:t>见附件</w:t>
      </w:r>
    </w:p>
    <w:p>
      <w:pPr>
        <w:pStyle w:val="13"/>
        <w:jc w:val="both"/>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Theme="minorEastAsia" w:hAnsiTheme="minorEastAsia" w:eastAsiaTheme="minorEastAsia"/>
          <w:sz w:val="32"/>
          <w:szCs w:val="32"/>
        </w:rPr>
      </w:pP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2020年度总收入</w:t>
      </w:r>
      <w:r>
        <w:rPr>
          <w:rFonts w:hint="eastAsia" w:asciiTheme="minorEastAsia" w:hAnsiTheme="minorEastAsia" w:eastAsiaTheme="minorEastAsia"/>
          <w:sz w:val="32"/>
          <w:szCs w:val="32"/>
          <w:lang w:val="en-US" w:eastAsia="zh-CN"/>
        </w:rPr>
        <w:t>332.84</w:t>
      </w:r>
      <w:r>
        <w:rPr>
          <w:rFonts w:hint="eastAsia" w:asciiTheme="minorEastAsia" w:hAnsiTheme="minorEastAsia" w:eastAsiaTheme="minorEastAsia"/>
          <w:sz w:val="32"/>
          <w:szCs w:val="32"/>
        </w:rPr>
        <w:t>万，总支出</w:t>
      </w:r>
      <w:r>
        <w:rPr>
          <w:rFonts w:hint="eastAsia" w:asciiTheme="minorEastAsia" w:hAnsiTheme="minorEastAsia" w:eastAsiaTheme="minorEastAsia"/>
          <w:sz w:val="32"/>
          <w:szCs w:val="32"/>
          <w:lang w:val="en-US" w:eastAsia="zh-CN"/>
        </w:rPr>
        <w:t>65.85</w:t>
      </w:r>
      <w:r>
        <w:rPr>
          <w:rFonts w:hint="eastAsia" w:asciiTheme="minorEastAsia" w:hAnsiTheme="minorEastAsia" w:eastAsiaTheme="minorEastAsia"/>
          <w:sz w:val="32"/>
          <w:szCs w:val="32"/>
        </w:rPr>
        <w:t>万元。与上年相比，增加（减少）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%，主要是因为本单位为20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年新</w:t>
      </w:r>
      <w:r>
        <w:rPr>
          <w:rFonts w:hint="eastAsia" w:asciiTheme="minorEastAsia" w:hAnsiTheme="minorEastAsia" w:eastAsiaTheme="minorEastAsia"/>
          <w:sz w:val="32"/>
          <w:szCs w:val="32"/>
          <w:lang w:val="en-US" w:eastAsia="zh-CN"/>
        </w:rPr>
        <w:t>设立机构</w:t>
      </w:r>
      <w:r>
        <w:rPr>
          <w:rFonts w:hint="eastAsia" w:asciiTheme="minorEastAsia" w:hAnsiTheme="minorEastAsia" w:eastAsiaTheme="minorEastAsia"/>
          <w:sz w:val="32"/>
          <w:szCs w:val="32"/>
        </w:rPr>
        <w:t>，无上年指标数</w:t>
      </w:r>
      <w:r>
        <w:rPr>
          <w:rFonts w:hint="eastAsia" w:asciiTheme="minorEastAsia" w:hAnsiTheme="minorEastAsia" w:eastAsiaTheme="minorEastAsia"/>
          <w:sz w:val="32"/>
          <w:szCs w:val="32"/>
          <w:lang w:eastAsia="zh-CN"/>
        </w:rPr>
        <w:t>。</w:t>
      </w:r>
    </w:p>
    <w:p>
      <w:pPr>
        <w:pStyle w:val="13"/>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仿宋_GB2312" w:hAnsi="仿宋_GB2312" w:eastAsia="仿宋_GB2312" w:cs="仿宋_GB2312"/>
          <w:kern w:val="1"/>
          <w:sz w:val="32"/>
          <w:szCs w:val="32"/>
          <w:lang w:val="en-US" w:eastAsia="zh-CN"/>
        </w:rPr>
        <w:t>332.84</w:t>
      </w:r>
      <w:r>
        <w:rPr>
          <w:rFonts w:hint="eastAsia" w:asciiTheme="minorEastAsia" w:hAnsiTheme="minorEastAsia" w:eastAsiaTheme="minorEastAsia"/>
          <w:sz w:val="32"/>
          <w:szCs w:val="32"/>
        </w:rPr>
        <w:t>万元，其中：财政拨款收入</w:t>
      </w:r>
      <w:r>
        <w:rPr>
          <w:rFonts w:hint="eastAsia" w:ascii="仿宋_GB2312" w:hAnsi="仿宋_GB2312" w:eastAsia="仿宋_GB2312" w:cs="仿宋_GB2312"/>
          <w:kern w:val="1"/>
          <w:sz w:val="32"/>
          <w:szCs w:val="32"/>
          <w:lang w:val="en-US" w:eastAsia="zh-CN"/>
        </w:rPr>
        <w:t>332.84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三、支出决算情况说明</w:t>
      </w:r>
      <w:bookmarkStart w:id="0" w:name="_GoBack"/>
      <w:bookmarkEnd w:id="0"/>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仿宋_GB2312" w:hAnsi="仿宋_GB2312" w:eastAsia="仿宋_GB2312" w:cs="仿宋_GB2312"/>
          <w:kern w:val="1"/>
          <w:sz w:val="32"/>
          <w:szCs w:val="32"/>
          <w:lang w:val="en-US" w:eastAsia="zh-CN"/>
        </w:rPr>
        <w:t>65.85</w:t>
      </w:r>
      <w:r>
        <w:rPr>
          <w:rFonts w:hint="eastAsia" w:asciiTheme="minorEastAsia" w:hAnsiTheme="minorEastAsia" w:eastAsiaTheme="minorEastAsia"/>
          <w:sz w:val="32"/>
          <w:szCs w:val="32"/>
        </w:rPr>
        <w:t>万元，其中：基本支出</w:t>
      </w:r>
      <w:r>
        <w:rPr>
          <w:rFonts w:hint="eastAsia" w:ascii="仿宋_GB2312" w:hAnsi="仿宋_GB2312" w:eastAsia="仿宋_GB2312" w:cs="仿宋_GB2312"/>
          <w:kern w:val="1"/>
          <w:sz w:val="32"/>
          <w:szCs w:val="32"/>
          <w:lang w:val="en-US" w:eastAsia="zh-CN"/>
        </w:rPr>
        <w:t>65.85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四、财政拨款收入支出决算总体情况说明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2020年度财政拨款收入</w:t>
      </w:r>
      <w:r>
        <w:rPr>
          <w:rFonts w:hint="eastAsia" w:asciiTheme="minorEastAsia" w:hAnsiTheme="minorEastAsia" w:eastAsiaTheme="minorEastAsia"/>
          <w:sz w:val="32"/>
          <w:szCs w:val="32"/>
          <w:lang w:val="en-US" w:eastAsia="zh-CN"/>
        </w:rPr>
        <w:t>332.84</w:t>
      </w:r>
      <w:r>
        <w:rPr>
          <w:rFonts w:hint="eastAsia" w:asciiTheme="minorEastAsia" w:hAnsiTheme="minorEastAsia" w:eastAsiaTheme="minorEastAsia"/>
          <w:sz w:val="32"/>
          <w:szCs w:val="32"/>
        </w:rPr>
        <w:t>万，支出</w:t>
      </w:r>
      <w:r>
        <w:rPr>
          <w:rFonts w:hint="eastAsia" w:asciiTheme="minorEastAsia" w:hAnsiTheme="minorEastAsia" w:eastAsiaTheme="minorEastAsia"/>
          <w:sz w:val="32"/>
          <w:szCs w:val="32"/>
          <w:lang w:val="en-US" w:eastAsia="zh-CN"/>
        </w:rPr>
        <w:t>65.85</w:t>
      </w:r>
      <w:r>
        <w:rPr>
          <w:rFonts w:hint="eastAsia" w:asciiTheme="minorEastAsia" w:hAnsiTheme="minorEastAsia" w:eastAsiaTheme="minorEastAsia"/>
          <w:sz w:val="32"/>
          <w:szCs w:val="32"/>
        </w:rPr>
        <w:t>万元，与上年相比，增加（减少）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%，主要是因为本单位为20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年新</w:t>
      </w:r>
      <w:r>
        <w:rPr>
          <w:rFonts w:hint="eastAsia" w:asciiTheme="minorEastAsia" w:hAnsiTheme="minorEastAsia" w:eastAsiaTheme="minorEastAsia"/>
          <w:sz w:val="32"/>
          <w:szCs w:val="32"/>
          <w:lang w:val="en-US" w:eastAsia="zh-CN"/>
        </w:rPr>
        <w:t>设立机构</w:t>
      </w:r>
      <w:r>
        <w:rPr>
          <w:rFonts w:hint="eastAsia" w:asciiTheme="minorEastAsia" w:hAnsiTheme="minorEastAsia" w:eastAsiaTheme="minorEastAsia"/>
          <w:sz w:val="32"/>
          <w:szCs w:val="32"/>
        </w:rPr>
        <w:t>，无上年指标数</w:t>
      </w:r>
      <w:r>
        <w:rPr>
          <w:rFonts w:hint="eastAsia" w:asciiTheme="minorEastAsia" w:hAnsiTheme="minorEastAsia" w:eastAsiaTheme="minorEastAsia"/>
          <w:sz w:val="32"/>
          <w:szCs w:val="32"/>
          <w:lang w:eastAsia="zh-CN"/>
        </w:rPr>
        <w:t>。</w:t>
      </w:r>
    </w:p>
    <w:p>
      <w:pPr>
        <w:pStyle w:val="13"/>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65.85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%，主要是因为本单位为20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年新</w:t>
      </w:r>
      <w:r>
        <w:rPr>
          <w:rFonts w:hint="eastAsia" w:asciiTheme="minorEastAsia" w:hAnsiTheme="minorEastAsia" w:eastAsiaTheme="minorEastAsia"/>
          <w:sz w:val="32"/>
          <w:szCs w:val="32"/>
          <w:lang w:val="en-US" w:eastAsia="zh-CN"/>
        </w:rPr>
        <w:t>设立机构</w:t>
      </w:r>
      <w:r>
        <w:rPr>
          <w:rFonts w:hint="eastAsia" w:asciiTheme="minorEastAsia" w:hAnsiTheme="minorEastAsia" w:eastAsiaTheme="minorEastAsia"/>
          <w:sz w:val="32"/>
          <w:szCs w:val="32"/>
        </w:rPr>
        <w:t>，无上年指标数</w:t>
      </w:r>
      <w:r>
        <w:rPr>
          <w:rFonts w:hint="eastAsia" w:asciiTheme="minorEastAsia" w:hAnsiTheme="minorEastAsia" w:eastAsiaTheme="minorEastAsia"/>
          <w:sz w:val="32"/>
          <w:szCs w:val="32"/>
          <w:lang w:eastAsia="zh-CN"/>
        </w:rPr>
        <w:t>。</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65.85</w:t>
      </w:r>
      <w:r>
        <w:rPr>
          <w:rFonts w:hint="eastAsia" w:asciiTheme="minorEastAsia" w:hAnsiTheme="minorEastAsia" w:eastAsiaTheme="minorEastAsia"/>
          <w:sz w:val="32"/>
          <w:szCs w:val="32"/>
        </w:rPr>
        <w:t>万元，主要用于以下方面：社会保障和就业支出2.43万元，占</w:t>
      </w:r>
      <w:r>
        <w:rPr>
          <w:rFonts w:hint="eastAsia" w:asciiTheme="minorEastAsia" w:hAnsiTheme="minorEastAsia" w:eastAsiaTheme="minorEastAsia"/>
          <w:sz w:val="32"/>
          <w:szCs w:val="32"/>
          <w:lang w:val="en-US" w:eastAsia="zh-CN"/>
        </w:rPr>
        <w:t>3.69</w:t>
      </w:r>
      <w:r>
        <w:rPr>
          <w:rFonts w:hint="eastAsia" w:asciiTheme="minorEastAsia" w:hAnsiTheme="minorEastAsia" w:eastAsiaTheme="minorEastAsia"/>
          <w:sz w:val="32"/>
          <w:szCs w:val="32"/>
        </w:rPr>
        <w:t>%；农林水支出47.07万元，占</w:t>
      </w:r>
      <w:r>
        <w:rPr>
          <w:rFonts w:hint="eastAsia" w:asciiTheme="minorEastAsia" w:hAnsiTheme="minorEastAsia" w:eastAsiaTheme="minorEastAsia"/>
          <w:sz w:val="32"/>
          <w:szCs w:val="32"/>
          <w:lang w:val="en-US" w:eastAsia="zh-CN"/>
        </w:rPr>
        <w:t>71.48</w:t>
      </w:r>
      <w:r>
        <w:rPr>
          <w:rFonts w:hint="eastAsia" w:asciiTheme="minorEastAsia" w:hAnsiTheme="minorEastAsia" w:eastAsiaTheme="minorEastAsia"/>
          <w:sz w:val="32"/>
          <w:szCs w:val="32"/>
        </w:rPr>
        <w:t>%;住房保障支出1.68万元，占</w:t>
      </w:r>
      <w:r>
        <w:rPr>
          <w:rFonts w:hint="eastAsia" w:asciiTheme="minorEastAsia" w:hAnsiTheme="minorEastAsia" w:eastAsiaTheme="minorEastAsia"/>
          <w:sz w:val="32"/>
          <w:szCs w:val="32"/>
          <w:lang w:val="en-US" w:eastAsia="zh-CN"/>
        </w:rPr>
        <w:t>2.55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；资源勘探工业信息等支出14.67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22.28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仿宋_GB2312" w:hAnsi="仿宋" w:eastAsia="仿宋_GB2312"/>
          <w:sz w:val="32"/>
          <w:szCs w:val="32"/>
          <w:lang w:val="en-US" w:eastAsia="zh-CN"/>
        </w:rPr>
        <w:t>51.11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65.85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128.83</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1、社会保障和就业支出（类）行政事业单位养老支出（款）机关事业单位基本养老保险缴费支出（项）</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本年度单位在职人数变动。</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、住房保障支出（类）住房改革支出（款）住房公积金（项）</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人员工资变化，按实际测算缴纳。</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、农林水支出（类）农业农村（款）行政运行（项）</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31.07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101</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为了开展中药材产业工作的需要。</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、农林水支出（类）农业农村（款）其他农业农村支出（项）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资源勘探工业信息等支出（类）其他资源勘探工业信息等支出（款）中药材扶持资金支出（项）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为了开展中药材产业相关工作的需要。</w:t>
      </w:r>
    </w:p>
    <w:p>
      <w:pPr>
        <w:pStyle w:val="13"/>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65.85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19.54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46.31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val="en-US" w:eastAsia="zh-CN"/>
        </w:rPr>
        <w:t>本单位无此项开支</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%，决算数小于预算数的主要原因</w:t>
      </w:r>
      <w:r>
        <w:rPr>
          <w:rFonts w:hint="eastAsia" w:asciiTheme="minorEastAsia" w:hAnsiTheme="minorEastAsia" w:eastAsiaTheme="minorEastAsia"/>
          <w:sz w:val="32"/>
          <w:szCs w:val="32"/>
          <w:lang w:val="en-US" w:eastAsia="zh-CN"/>
        </w:rPr>
        <w:t>是</w:t>
      </w:r>
      <w:r>
        <w:rPr>
          <w:rFonts w:hint="eastAsia" w:asciiTheme="minorEastAsia" w:hAnsiTheme="minorEastAsia" w:eastAsiaTheme="minorEastAsia"/>
          <w:sz w:val="32"/>
          <w:szCs w:val="32"/>
        </w:rPr>
        <w:t>执行励行节约、制止奢侈浪费行为，与上年相比减少（增加）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的主要原因是本单位为20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年新</w:t>
      </w:r>
      <w:r>
        <w:rPr>
          <w:rFonts w:hint="eastAsia" w:asciiTheme="minorEastAsia" w:hAnsiTheme="minorEastAsia" w:eastAsiaTheme="minorEastAsia"/>
          <w:sz w:val="32"/>
          <w:szCs w:val="32"/>
          <w:lang w:val="en-US" w:eastAsia="zh-CN"/>
        </w:rPr>
        <w:t>设立机构</w:t>
      </w:r>
      <w:r>
        <w:rPr>
          <w:rFonts w:hint="eastAsia" w:asciiTheme="minorEastAsia" w:hAnsiTheme="minorEastAsia" w:eastAsiaTheme="minorEastAsia"/>
          <w:sz w:val="32"/>
          <w:szCs w:val="32"/>
        </w:rPr>
        <w:t>，无上年指标数</w:t>
      </w:r>
      <w:r>
        <w:rPr>
          <w:rFonts w:hint="eastAsia" w:asciiTheme="minorEastAsia" w:hAnsiTheme="minorEastAsia" w:eastAsiaTheme="minorEastAsia"/>
          <w:sz w:val="32"/>
          <w:szCs w:val="32"/>
          <w:lang w:eastAsia="zh-CN"/>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val="en-US" w:eastAsia="zh-CN"/>
        </w:rPr>
        <w:t>本单位无此项开支</w:t>
      </w:r>
      <w:r>
        <w:rPr>
          <w:rFonts w:hint="eastAsia" w:asciiTheme="minorEastAsia" w:hAnsiTheme="minorEastAsia" w:eastAsiaTheme="minorEastAsia"/>
          <w:sz w:val="32"/>
          <w:szCs w:val="32"/>
        </w:rPr>
        <w:t>。</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1.86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189</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开展中药材工作</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中药材产业发展中心</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3"/>
        <w:rPr>
          <w:rFonts w:hAnsi="黑体"/>
          <w:b/>
          <w:sz w:val="32"/>
          <w:szCs w:val="32"/>
        </w:rPr>
      </w:pPr>
      <w:r>
        <w:rPr>
          <w:rFonts w:hint="eastAsia" w:hAnsi="黑体"/>
          <w:b/>
          <w:sz w:val="32"/>
          <w:szCs w:val="32"/>
        </w:rPr>
        <w:t>八、政府性基金预算收入支出决算情况</w:t>
      </w:r>
    </w:p>
    <w:p>
      <w:pPr>
        <w:pStyle w:val="13"/>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2020年度政府性基金预算财政拨款收入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万元。  </w:t>
      </w:r>
      <w:r>
        <w:rPr>
          <w:rFonts w:hint="eastAsia" w:asciiTheme="minorEastAsia" w:hAnsiTheme="minorEastAsia" w:eastAsiaTheme="minorEastAsia" w:cstheme="minorBidi"/>
          <w:color w:val="auto"/>
          <w:kern w:val="2"/>
          <w:sz w:val="32"/>
          <w:szCs w:val="32"/>
          <w:lang w:val="en-US" w:eastAsia="zh-CN" w:bidi="ar-SA"/>
        </w:rPr>
        <w:t>2020年度本单位无政府性基金收支。</w:t>
      </w:r>
    </w:p>
    <w:p>
      <w:pPr>
        <w:pStyle w:val="13"/>
        <w:rPr>
          <w:rFonts w:hAnsi="黑体"/>
          <w:b/>
          <w:sz w:val="32"/>
          <w:szCs w:val="32"/>
        </w:rPr>
      </w:pPr>
      <w:r>
        <w:rPr>
          <w:rFonts w:hint="eastAsia" w:hAnsi="黑体"/>
          <w:b/>
          <w:sz w:val="32"/>
          <w:szCs w:val="32"/>
        </w:rPr>
        <w:t>九、关于机关运行经费支出说明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46.31</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23.91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51.6</w:t>
      </w:r>
      <w:r>
        <w:rPr>
          <w:rFonts w:hint="eastAsia" w:asciiTheme="minorEastAsia" w:hAnsiTheme="minorEastAsia" w:eastAsiaTheme="minorEastAsia"/>
          <w:sz w:val="32"/>
          <w:szCs w:val="32"/>
        </w:rPr>
        <w:t>%。主要原因是本单位为20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年新</w:t>
      </w:r>
      <w:r>
        <w:rPr>
          <w:rFonts w:hint="eastAsia" w:asciiTheme="minorEastAsia" w:hAnsiTheme="minorEastAsia" w:eastAsiaTheme="minorEastAsia"/>
          <w:sz w:val="32"/>
          <w:szCs w:val="32"/>
          <w:lang w:val="en-US" w:eastAsia="zh-CN"/>
        </w:rPr>
        <w:t>设立机构，为开展中药材产业相关工作的需要增加</w:t>
      </w:r>
      <w:r>
        <w:rPr>
          <w:rFonts w:hint="eastAsia" w:asciiTheme="minorEastAsia" w:hAnsiTheme="minorEastAsia" w:eastAsiaTheme="minorEastAsia"/>
          <w:sz w:val="32"/>
          <w:szCs w:val="32"/>
        </w:rPr>
        <w:t>机关运行经费</w:t>
      </w:r>
      <w:r>
        <w:rPr>
          <w:rFonts w:hint="eastAsia" w:asciiTheme="minorEastAsia" w:hAnsiTheme="minorEastAsia" w:eastAsiaTheme="minorEastAsia"/>
          <w:sz w:val="32"/>
          <w:szCs w:val="32"/>
          <w:lang w:eastAsia="zh-CN"/>
        </w:rPr>
        <w:t>。</w:t>
      </w:r>
    </w:p>
    <w:p>
      <w:pPr>
        <w:pStyle w:val="13"/>
        <w:rPr>
          <w:rFonts w:hAnsi="黑体"/>
          <w:b/>
          <w:sz w:val="32"/>
          <w:szCs w:val="32"/>
        </w:rPr>
      </w:pPr>
      <w:r>
        <w:rPr>
          <w:rFonts w:hint="eastAsia" w:hAnsi="黑体"/>
          <w:b/>
          <w:sz w:val="32"/>
          <w:szCs w:val="32"/>
        </w:rPr>
        <w:t>十、一般性支出情况</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中药材种植</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黄精中药材种植技术培训</w:t>
      </w:r>
      <w:r>
        <w:rPr>
          <w:rFonts w:hint="eastAsia" w:asciiTheme="minorEastAsia" w:hAnsiTheme="minorEastAsia" w:eastAsiaTheme="minorEastAsia"/>
          <w:sz w:val="32"/>
          <w:szCs w:val="32"/>
          <w:lang w:eastAsia="zh-CN"/>
        </w:rPr>
        <w:t>。</w:t>
      </w:r>
    </w:p>
    <w:p>
      <w:pPr>
        <w:pStyle w:val="13"/>
        <w:rPr>
          <w:rFonts w:hAnsi="黑体"/>
          <w:b/>
          <w:sz w:val="32"/>
          <w:szCs w:val="32"/>
        </w:rPr>
      </w:pPr>
      <w:r>
        <w:rPr>
          <w:rFonts w:hint="eastAsia" w:hAnsi="黑体"/>
          <w:b/>
          <w:sz w:val="32"/>
          <w:szCs w:val="32"/>
        </w:rPr>
        <w:t>十一、关于政府采购支出说明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十二、关于国有资产占用情况说明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3"/>
        <w:rPr>
          <w:rFonts w:hAnsi="黑体"/>
          <w:b/>
          <w:sz w:val="32"/>
          <w:szCs w:val="32"/>
        </w:rPr>
      </w:pPr>
      <w:r>
        <w:rPr>
          <w:rFonts w:hint="eastAsia" w:hAnsi="黑体"/>
          <w:b/>
          <w:sz w:val="32"/>
          <w:szCs w:val="32"/>
        </w:rPr>
        <w:t>十三、关于2020年度预算绩效情况的说明</w:t>
      </w:r>
    </w:p>
    <w:p>
      <w:pPr>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本部门预算绩效管理各项工作根据年初制定的工作方案按步骤到年底完成目标，各专项工作开展所需经费开支每个环节都严格按照专项资金管理程序使用资金。</w:t>
      </w:r>
    </w:p>
    <w:p>
      <w:pPr>
        <w:pStyle w:val="13"/>
        <w:rPr>
          <w:rFonts w:asciiTheme="minorEastAsia" w:hAnsiTheme="minorEastAsia" w:eastAsiaTheme="minorEastAsia"/>
          <w:sz w:val="32"/>
          <w:szCs w:val="32"/>
        </w:rPr>
      </w:pPr>
    </w:p>
    <w:p>
      <w:pPr>
        <w:pStyle w:val="13"/>
        <w:rPr>
          <w:rFonts w:hAnsi="黑体"/>
          <w:b/>
          <w:sz w:val="32"/>
          <w:szCs w:val="3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7"/>
        <w:spacing w:before="105" w:beforeAutospacing="0" w:after="105" w:afterAutospacing="0" w:line="30" w:lineRule="atLeast"/>
        <w:ind w:firstLine="420"/>
        <w:textAlignment w:val="baseline"/>
        <w:rPr>
          <w:rFonts w:hint="eastAsia"/>
          <w:b/>
          <w:color w:val="000000"/>
          <w:sz w:val="28"/>
          <w:szCs w:val="28"/>
        </w:rPr>
      </w:pP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一、财政拨款收入：</w:t>
      </w:r>
      <w:r>
        <w:rPr>
          <w:rFonts w:hint="eastAsia"/>
          <w:color w:val="000000"/>
          <w:sz w:val="28"/>
          <w:szCs w:val="28"/>
        </w:rPr>
        <w:t>指单位本年度从市级财政部门取得的财政拨款。</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二、上级补助收入：</w:t>
      </w:r>
      <w:r>
        <w:rPr>
          <w:rFonts w:hint="eastAsia"/>
          <w:color w:val="000000"/>
          <w:sz w:val="28"/>
          <w:szCs w:val="28"/>
        </w:rPr>
        <w:t>指事业单位从主管部门和上级单位取得的非财政补助收入。</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三、事业收入：</w:t>
      </w:r>
      <w:r>
        <w:rPr>
          <w:rFonts w:hint="eastAsia"/>
          <w:color w:val="000000"/>
          <w:sz w:val="28"/>
          <w:szCs w:val="28"/>
        </w:rPr>
        <w:t>指事业单位开展专业业务活动及其辅助活动取得的收入，事业单位收到的财政专户实际核拨的教育收费等资金在此反映。</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四、经营收入：</w:t>
      </w:r>
      <w:r>
        <w:rPr>
          <w:rFonts w:hint="eastAsia"/>
          <w:color w:val="000000"/>
          <w:sz w:val="28"/>
          <w:szCs w:val="28"/>
        </w:rPr>
        <w:t>指事业单位在专业业务活动及其辅助活动之外开展非独立核算经营活动取得的收入。</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五、附属单位缴款：</w:t>
      </w:r>
      <w:r>
        <w:rPr>
          <w:rFonts w:hint="eastAsia"/>
          <w:color w:val="000000"/>
          <w:sz w:val="28"/>
          <w:szCs w:val="28"/>
        </w:rPr>
        <w:t>指事业单位附属独立核算单位按照有关规定上缴的收入。</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六、其他收入：</w:t>
      </w:r>
      <w:r>
        <w:rPr>
          <w:rFonts w:hint="eastAsia"/>
          <w:color w:val="000000"/>
          <w:sz w:val="28"/>
          <w:szCs w:val="28"/>
        </w:rPr>
        <w:t>指单位取得的除上述“财政拨款收入”、“事业收入”、“经营收入”等以外的各项收入。</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七、用事业基金弥补收支差额：</w:t>
      </w:r>
      <w:r>
        <w:rPr>
          <w:rFonts w:hint="eastAsia"/>
          <w:color w:val="000000"/>
          <w:sz w:val="28"/>
          <w:szCs w:val="28"/>
        </w:rPr>
        <w:t>指事业单位用事业基金弥补当年收支差额的数额。</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八、年初结转和结余：</w:t>
      </w:r>
      <w:r>
        <w:rPr>
          <w:rFonts w:hint="eastAsia"/>
          <w:color w:val="000000"/>
          <w:sz w:val="28"/>
          <w:szCs w:val="28"/>
        </w:rPr>
        <w:t>指单位上年结转本年使用的基本支出结转、项目支出结转和结余和经营结余。</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九、一般公共服务（类）人大事务（款）行政运行（项）：</w:t>
      </w:r>
      <w:r>
        <w:rPr>
          <w:rFonts w:hint="eastAsia"/>
          <w:color w:val="000000"/>
          <w:sz w:val="28"/>
          <w:szCs w:val="28"/>
        </w:rPr>
        <w:t>指人大常委会办公厅用于保障机构正常运行、开展日常工作的基本支出。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十、结余分配：</w:t>
      </w:r>
      <w:r>
        <w:rPr>
          <w:rFonts w:hint="eastAsia"/>
          <w:color w:val="000000"/>
          <w:sz w:val="28"/>
          <w:szCs w:val="28"/>
        </w:rPr>
        <w:t>指事业单位按规定对非财政补助结余资金提取的职工福利基金、事业基金和缴纳的所得税，以及减少单位按规定应缴回的基本建设竣工项目结余资金。</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十一、年末结转和结余资金：</w:t>
      </w:r>
      <w:r>
        <w:rPr>
          <w:rFonts w:hint="eastAsia"/>
          <w:color w:val="000000"/>
          <w:sz w:val="28"/>
          <w:szCs w:val="28"/>
        </w:rPr>
        <w:t>指本年度或以前年度预算安排、因客观条件发生变化无法按原计划实施，需要延迟到以后年度按有关规定继续使用的资金。</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十二、基本支出：</w:t>
      </w:r>
      <w:r>
        <w:rPr>
          <w:rFonts w:hint="eastAsia"/>
          <w:color w:val="000000"/>
          <w:sz w:val="28"/>
          <w:szCs w:val="28"/>
        </w:rPr>
        <w:t>指为保障机构正常运转、完成日常工作任务而发生的人员支出和公用支出。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十三、项目支出：</w:t>
      </w:r>
      <w:r>
        <w:rPr>
          <w:rFonts w:hint="eastAsia"/>
          <w:color w:val="000000"/>
          <w:sz w:val="28"/>
          <w:szCs w:val="28"/>
        </w:rPr>
        <w:t>指在基本支出之外为完成特定的行政任务或事业发展目标所发生的支出。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十四、上缴上级支出：</w:t>
      </w:r>
      <w:r>
        <w:rPr>
          <w:rFonts w:hint="eastAsia"/>
          <w:color w:val="000000"/>
          <w:sz w:val="28"/>
          <w:szCs w:val="28"/>
        </w:rPr>
        <w:t>指事业单位按照财政部门和主管部门的规定上缴上级单位的支出。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十五、经营支出：</w:t>
      </w:r>
      <w:r>
        <w:rPr>
          <w:rFonts w:hint="eastAsia"/>
          <w:color w:val="000000"/>
          <w:sz w:val="28"/>
          <w:szCs w:val="28"/>
        </w:rPr>
        <w:t>指事业单位在专业业务活动及其辅助活动之外开展非独立核算经营活动发生的支出。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十六、对附属单位补助支出：</w:t>
      </w:r>
      <w:r>
        <w:rPr>
          <w:rFonts w:hint="eastAsia"/>
          <w:color w:val="000000"/>
          <w:sz w:val="28"/>
          <w:szCs w:val="28"/>
        </w:rPr>
        <w:t>指事业单位用财政补助收入之外的收入对附属单位补助发生的支出。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十七、“三公”经费：</w:t>
      </w:r>
      <w:r>
        <w:rPr>
          <w:rFonts w:hint="eastAsia"/>
          <w:color w:val="000000"/>
          <w:sz w:val="28"/>
          <w:szCs w:val="28"/>
        </w:rPr>
        <w:t>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7"/>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十八、机关运行经费：</w:t>
      </w:r>
      <w:r>
        <w:rPr>
          <w:rFonts w:hint="eastAsia"/>
          <w:color w:val="000000"/>
          <w:sz w:val="28"/>
          <w:szCs w:val="28"/>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
      <w:pPr>
        <w:widowControl/>
        <w:spacing w:line="600" w:lineRule="exact"/>
        <w:ind w:firstLine="627" w:firstLineChars="196"/>
        <w:jc w:val="left"/>
        <w:rPr>
          <w:rFonts w:hint="eastAsia" w:ascii="仿宋_GB2312" w:hAnsi="宋体" w:eastAsia="仿宋_GB2312"/>
          <w:kern w:val="0"/>
          <w:sz w:val="32"/>
          <w:szCs w:val="32"/>
        </w:rPr>
      </w:pPr>
    </w:p>
    <w:p>
      <w:pPr>
        <w:ind w:firstLine="640" w:firstLineChars="200"/>
        <w:jc w:val="left"/>
        <w:rPr>
          <w:rFonts w:cs="黑体" w:asciiTheme="minorEastAsia" w:hAnsiTheme="minorEastAsia"/>
          <w:color w:val="000000"/>
          <w:kern w:val="0"/>
          <w:sz w:val="32"/>
          <w:szCs w:val="3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snapToGrid w:val="0"/>
        <w:spacing w:line="520" w:lineRule="exact"/>
        <w:ind w:firstLine="840" w:firstLineChars="400"/>
        <w:rPr>
          <w:rFonts w:hint="eastAsia"/>
          <w:lang w:val="en-US" w:eastAsia="zh-CN"/>
        </w:rPr>
      </w:pPr>
      <w:r>
        <w:rPr>
          <w:rFonts w:hint="eastAsia"/>
          <w:lang w:val="en-US" w:eastAsia="zh-CN"/>
        </w:rPr>
        <w:t>一、部门（单位）概况</w:t>
      </w:r>
    </w:p>
    <w:p>
      <w:pPr>
        <w:snapToGrid w:val="0"/>
        <w:spacing w:line="520" w:lineRule="exact"/>
        <w:ind w:firstLine="840" w:firstLineChars="400"/>
        <w:rPr>
          <w:rFonts w:hint="eastAsia"/>
          <w:lang w:val="en-US" w:eastAsia="zh-CN"/>
        </w:rPr>
      </w:pPr>
      <w:r>
        <w:rPr>
          <w:rFonts w:hint="eastAsia"/>
          <w:lang w:val="en-US" w:eastAsia="zh-CN"/>
        </w:rPr>
        <w:t>（一）部门（单位）基本情况</w:t>
      </w:r>
    </w:p>
    <w:p>
      <w:pPr>
        <w:snapToGrid w:val="0"/>
        <w:spacing w:line="520" w:lineRule="exact"/>
        <w:ind w:firstLine="840" w:firstLineChars="400"/>
        <w:rPr>
          <w:rFonts w:hint="eastAsia"/>
          <w:lang w:val="en-US" w:eastAsia="zh-CN"/>
        </w:rPr>
      </w:pPr>
      <w:r>
        <w:rPr>
          <w:rFonts w:hint="eastAsia"/>
          <w:lang w:val="en-US" w:eastAsia="zh-CN"/>
        </w:rPr>
        <w:t xml:space="preserve">    洪江市中药材产业发展中心为洪江市人民政府办公室所属副科级公益一类事业单位,下设综合室</w:t>
      </w:r>
      <w:r>
        <w:rPr>
          <w:rFonts w:hint="default"/>
          <w:lang w:val="en-US" w:eastAsia="zh-CN"/>
        </w:rPr>
        <w:t>、</w:t>
      </w:r>
      <w:r>
        <w:rPr>
          <w:rFonts w:hint="eastAsia"/>
          <w:lang w:val="en-US" w:eastAsia="zh-CN"/>
        </w:rPr>
        <w:t>产业发展室。单位编制人数8人，年末实有在职人员4人。主要职责是：1、为全市中药材产业发展规划、方案的编制提供服务保障；2、宣传中药材产业发展有关法律、法规和政策，开展全市中药材产业发展政策调研，为市委、市政府决策提供参考；3、组织开展中药材生产技术培训、宣传和推广；为中药材产业标准化基地建设提供技术支持和服务保障；4、组织开展中药材产业展示展洽活动；为开展对外技术交流和合作提供服务保障；配合开展中药材产业项目招商引资工作；5、负责积极培育中药材产业龙头企业和经济合作组织；指导生产主体进行产品开发；开展与中药材种植、加工、流通、科研等全产业链有关的事务性工作；6、指导中药材产业协会开展工作；跟踪市场信息，为建立中药材生产导航和预警机制提供服务保障；7、组织开展中药材品牌建设，为加强对外宣传，开展市场营销，整体打造产业品牌提供服务保障；8、承担市人民政府办公室交办的其他工作。</w:t>
      </w:r>
    </w:p>
    <w:p>
      <w:pPr>
        <w:snapToGrid w:val="0"/>
        <w:spacing w:line="520" w:lineRule="exact"/>
        <w:ind w:firstLine="840" w:firstLineChars="400"/>
        <w:rPr>
          <w:rFonts w:hint="eastAsia"/>
          <w:lang w:val="en-US" w:eastAsia="zh-CN"/>
        </w:rPr>
      </w:pPr>
      <w:r>
        <w:rPr>
          <w:rFonts w:hint="eastAsia"/>
          <w:lang w:val="en-US" w:eastAsia="zh-CN"/>
        </w:rPr>
        <w:t>部门（单位）整体支出规模、使用方向和主要内容、涉及范围等</w:t>
      </w:r>
    </w:p>
    <w:p>
      <w:pPr>
        <w:snapToGrid w:val="0"/>
        <w:spacing w:line="520" w:lineRule="exact"/>
        <w:ind w:firstLine="840" w:firstLineChars="400"/>
        <w:rPr>
          <w:rFonts w:hint="eastAsia"/>
          <w:lang w:val="en-US" w:eastAsia="zh-CN"/>
        </w:rPr>
      </w:pPr>
      <w:r>
        <w:rPr>
          <w:rFonts w:hint="default"/>
          <w:lang w:val="en-US" w:eastAsia="zh-CN"/>
        </w:rPr>
        <w:t>2020年我单位整体支出</w:t>
      </w:r>
      <w:r>
        <w:rPr>
          <w:rFonts w:hint="eastAsia"/>
          <w:lang w:val="en-US" w:eastAsia="zh-CN"/>
        </w:rPr>
        <w:t>65.85</w:t>
      </w:r>
      <w:r>
        <w:rPr>
          <w:rFonts w:hint="default"/>
          <w:lang w:val="en-US" w:eastAsia="zh-CN"/>
        </w:rPr>
        <w:t>万元，</w:t>
      </w:r>
      <w:r>
        <w:rPr>
          <w:rFonts w:hint="eastAsia"/>
          <w:lang w:val="en-US" w:eastAsia="zh-CN"/>
        </w:rPr>
        <w:t>主要用于中药材产业发展和技能培训，</w:t>
      </w:r>
      <w:r>
        <w:rPr>
          <w:rFonts w:hint="default"/>
          <w:lang w:val="en-US" w:eastAsia="zh-CN"/>
        </w:rPr>
        <w:t>增加中药材种植面积1万亩</w:t>
      </w:r>
      <w:r>
        <w:rPr>
          <w:rFonts w:hint="eastAsia"/>
          <w:lang w:val="en-US" w:eastAsia="zh-CN"/>
        </w:rPr>
        <w:t>，调整中药材产业结构，种植成活率达90%以上，落实产业规划、增加产值；</w:t>
      </w:r>
      <w:r>
        <w:rPr>
          <w:rFonts w:hint="default"/>
          <w:lang w:val="en-US" w:eastAsia="zh-CN"/>
        </w:rPr>
        <w:t>技能培训100人</w:t>
      </w:r>
      <w:r>
        <w:rPr>
          <w:rFonts w:hint="eastAsia"/>
          <w:lang w:val="en-US" w:eastAsia="zh-CN"/>
        </w:rPr>
        <w:t>，</w:t>
      </w:r>
      <w:r>
        <w:rPr>
          <w:rFonts w:hint="default"/>
          <w:lang w:val="en-US" w:eastAsia="zh-CN"/>
        </w:rPr>
        <w:t>掌握种植技术，提高产量。</w:t>
      </w:r>
    </w:p>
    <w:p>
      <w:pPr>
        <w:snapToGrid w:val="0"/>
        <w:spacing w:line="520" w:lineRule="exact"/>
        <w:ind w:firstLine="840" w:firstLineChars="400"/>
        <w:rPr>
          <w:rFonts w:hint="eastAsia"/>
          <w:lang w:val="en-US" w:eastAsia="zh-CN"/>
        </w:rPr>
      </w:pPr>
      <w:r>
        <w:rPr>
          <w:rFonts w:hint="eastAsia"/>
          <w:lang w:val="en-US" w:eastAsia="zh-CN"/>
        </w:rPr>
        <w:t>二、部门（单位）整体支出管理及使用情况</w:t>
      </w:r>
    </w:p>
    <w:p>
      <w:pPr>
        <w:snapToGrid w:val="0"/>
        <w:spacing w:line="520" w:lineRule="exact"/>
        <w:ind w:firstLine="840" w:firstLineChars="400"/>
        <w:rPr>
          <w:rFonts w:hint="eastAsia"/>
          <w:lang w:val="en-US" w:eastAsia="zh-CN"/>
        </w:rPr>
      </w:pPr>
      <w:r>
        <w:rPr>
          <w:rFonts w:hint="eastAsia"/>
          <w:lang w:val="en-US" w:eastAsia="zh-CN"/>
        </w:rPr>
        <w:t>（一）基本支出</w:t>
      </w:r>
    </w:p>
    <w:p>
      <w:pPr>
        <w:snapToGrid w:val="0"/>
        <w:spacing w:line="520" w:lineRule="exact"/>
        <w:ind w:firstLine="840" w:firstLineChars="400"/>
        <w:rPr>
          <w:rFonts w:hint="eastAsia"/>
          <w:lang w:val="en-US" w:eastAsia="zh-CN"/>
        </w:rPr>
      </w:pPr>
      <w:r>
        <w:rPr>
          <w:rFonts w:hint="eastAsia"/>
          <w:lang w:val="en-US" w:eastAsia="zh-CN"/>
        </w:rPr>
        <w:t>2020年总支出65.85万元。按支出性质分类：基本支出65.85万元，占本年支出100%。按支出经济分类：工资福利支出19.54万元，占本年支出29.68%；商品和服务支出46.31万元，占本年支出70.32%。“三公”经费支出情况：2020年度预算安排“三公经费”20000元，实际支出18604元，其中：2020年公车保有量0辆，无公务用车购置支出，2020年公务接待费用支出18604元，接待27批次，189人；“三公经费”人均支出98.43元。培训费支出情况：2020年度预算安排培训费5万元，实际支出5万元。</w:t>
      </w:r>
    </w:p>
    <w:p>
      <w:pPr>
        <w:widowControl/>
        <w:spacing w:line="480" w:lineRule="auto"/>
        <w:ind w:firstLine="480"/>
        <w:rPr>
          <w:rFonts w:hint="eastAsia"/>
        </w:rPr>
      </w:pPr>
      <w:r>
        <w:rPr>
          <w:rFonts w:hint="eastAsia"/>
        </w:rPr>
        <w:t>（二）专项支出</w:t>
      </w:r>
    </w:p>
    <w:p>
      <w:pPr>
        <w:widowControl/>
        <w:spacing w:line="480" w:lineRule="auto"/>
        <w:ind w:firstLine="480"/>
        <w:rPr>
          <w:rFonts w:hint="eastAsia"/>
        </w:rPr>
      </w:pPr>
      <w:r>
        <w:rPr>
          <w:rFonts w:hint="eastAsia"/>
        </w:rPr>
        <w:t>1、专项资金安排落实、总投入等情况分析</w:t>
      </w:r>
    </w:p>
    <w:p>
      <w:pPr>
        <w:snapToGrid w:val="0"/>
        <w:spacing w:line="520" w:lineRule="exact"/>
        <w:ind w:firstLine="840" w:firstLineChars="400"/>
        <w:rPr>
          <w:rFonts w:hint="eastAsia"/>
        </w:rPr>
      </w:pPr>
      <w:r>
        <w:rPr>
          <w:rFonts w:hint="eastAsia"/>
          <w:lang w:val="en-US" w:eastAsia="zh-CN"/>
        </w:rPr>
        <w:t>中药材展业发展专项工作经费15万元，用于增加中药材种植面积1万亩；技能培训专项工作经费5万元，用于全年专业种植技能培训，掌握种植技术增产增收；中药材产业奖补资金243万元于2020年12月底下拨</w:t>
      </w:r>
      <w:r>
        <w:rPr>
          <w:rFonts w:hint="eastAsia"/>
        </w:rPr>
        <w:t>我单位</w:t>
      </w:r>
      <w:r>
        <w:rPr>
          <w:rFonts w:hint="eastAsia"/>
          <w:lang w:val="en-US" w:eastAsia="zh-CN"/>
        </w:rPr>
        <w:t>。</w:t>
      </w:r>
    </w:p>
    <w:p>
      <w:pPr>
        <w:widowControl/>
        <w:numPr>
          <w:ilvl w:val="0"/>
          <w:numId w:val="2"/>
        </w:numPr>
        <w:spacing w:line="480" w:lineRule="auto"/>
        <w:ind w:firstLine="480"/>
        <w:rPr>
          <w:rFonts w:hint="eastAsia"/>
        </w:rPr>
      </w:pPr>
      <w:r>
        <w:rPr>
          <w:rFonts w:hint="eastAsia"/>
        </w:rPr>
        <w:t>专项资金实际使用情况分析</w:t>
      </w:r>
    </w:p>
    <w:p>
      <w:pPr>
        <w:snapToGrid w:val="0"/>
        <w:spacing w:line="520" w:lineRule="exact"/>
        <w:ind w:firstLine="840" w:firstLineChars="400"/>
        <w:rPr>
          <w:rFonts w:hint="eastAsia"/>
        </w:rPr>
      </w:pPr>
      <w:r>
        <w:rPr>
          <w:rFonts w:hint="eastAsia"/>
          <w:lang w:val="en-US" w:eastAsia="zh-CN"/>
        </w:rPr>
        <w:t>中药材产业奖补资金于2021年发放到位，其他</w:t>
      </w:r>
      <w:r>
        <w:rPr>
          <w:rFonts w:hint="eastAsia" w:ascii="Times New Roman" w:hAnsi="Times New Roman" w:cs="Times New Roman"/>
          <w:snapToGrid/>
          <w:color w:val="auto"/>
          <w:spacing w:val="0"/>
          <w:w w:val="100"/>
          <w:kern w:val="2"/>
          <w:position w:val="0"/>
          <w:sz w:val="21"/>
          <w:szCs w:val="24"/>
          <w:u w:val="none"/>
          <w:vertAlign w:val="baseline"/>
          <w:lang w:val="en-US" w:eastAsia="zh-CN" w:bidi="ar-SA"/>
        </w:rPr>
        <w:t>各专项工作根据年初制定的工作方案按步骤到年底完成目标。</w:t>
      </w:r>
    </w:p>
    <w:p>
      <w:pPr>
        <w:widowControl/>
        <w:numPr>
          <w:ilvl w:val="0"/>
          <w:numId w:val="2"/>
        </w:numPr>
        <w:spacing w:line="480" w:lineRule="auto"/>
        <w:ind w:left="0" w:leftChars="0" w:firstLine="480" w:firstLineChars="0"/>
        <w:rPr>
          <w:rFonts w:hint="eastAsia"/>
        </w:rPr>
      </w:pPr>
      <w:r>
        <w:rPr>
          <w:rFonts w:hint="eastAsia"/>
        </w:rPr>
        <w:t>专项资金管理情况分析</w:t>
      </w:r>
    </w:p>
    <w:p>
      <w:pPr>
        <w:snapToGrid w:val="0"/>
        <w:spacing w:line="520" w:lineRule="exact"/>
        <w:ind w:firstLine="840" w:firstLineChars="400"/>
        <w:rPr>
          <w:rFonts w:hint="eastAsia" w:ascii="Times New Roman" w:hAnsi="Times New Roman" w:cs="Times New Roman"/>
          <w:lang w:val="en-US" w:eastAsia="zh-CN"/>
        </w:rPr>
      </w:pPr>
      <w:r>
        <w:rPr>
          <w:rFonts w:hint="eastAsia" w:ascii="Times New Roman" w:hAnsi="Times New Roman" w:cs="Times New Roman"/>
          <w:lang w:val="en-US" w:eastAsia="zh-CN"/>
        </w:rPr>
        <w:t xml:space="preserve">根据财务管理制度，统筹兼顾各项事宜，严格执行财务制度，合理开支、有效管理专项资金，保障资金的合理性、安全性，严格按照国家有关规定，杜绝资金挪用挤占等行为、保证资金专款专用。 </w:t>
      </w:r>
    </w:p>
    <w:p/>
    <w:p>
      <w:pPr>
        <w:widowControl/>
        <w:spacing w:line="480" w:lineRule="auto"/>
        <w:ind w:firstLine="480"/>
        <w:rPr>
          <w:rFonts w:hint="eastAsia"/>
        </w:rPr>
      </w:pPr>
      <w:r>
        <w:rPr>
          <w:rFonts w:hint="eastAsia"/>
        </w:rPr>
        <w:t>三、部门（单位）专项组织实施情况</w:t>
      </w:r>
    </w:p>
    <w:p>
      <w:pPr>
        <w:widowControl/>
        <w:spacing w:line="480" w:lineRule="auto"/>
        <w:ind w:firstLine="480"/>
        <w:rPr>
          <w:rFonts w:hint="eastAsia"/>
        </w:rPr>
      </w:pPr>
      <w:r>
        <w:rPr>
          <w:rFonts w:hint="eastAsia"/>
        </w:rPr>
        <w:t>（一）专项组织情况分析</w:t>
      </w:r>
    </w:p>
    <w:p>
      <w:pPr>
        <w:pStyle w:val="2"/>
        <w:rPr>
          <w:rFonts w:hint="eastAsia" w:ascii="Times New Roman" w:hAnsi="Times New Roman" w:eastAsia="宋体" w:cs="Times New Roman"/>
          <w:snapToGrid/>
          <w:color w:val="auto"/>
          <w:spacing w:val="0"/>
          <w:w w:val="100"/>
          <w:kern w:val="2"/>
          <w:position w:val="0"/>
          <w:sz w:val="21"/>
          <w:szCs w:val="24"/>
          <w:u w:val="none"/>
          <w:vertAlign w:val="baseline"/>
          <w:lang w:val="en-US" w:eastAsia="zh-CN" w:bidi="ar-SA"/>
        </w:rPr>
      </w:pPr>
      <w:r>
        <w:rPr>
          <w:rFonts w:hint="eastAsia" w:cs="Times New Roman"/>
          <w:snapToGrid/>
          <w:color w:val="auto"/>
          <w:spacing w:val="0"/>
          <w:w w:val="100"/>
          <w:kern w:val="2"/>
          <w:position w:val="0"/>
          <w:sz w:val="21"/>
          <w:szCs w:val="24"/>
          <w:u w:val="none"/>
          <w:vertAlign w:val="baseline"/>
          <w:lang w:val="en-US" w:eastAsia="zh-CN" w:bidi="ar-SA"/>
        </w:rPr>
        <w:t>中药材产业奖补</w:t>
      </w:r>
      <w:r>
        <w:rPr>
          <w:rFonts w:hint="eastAsia" w:ascii="Times New Roman" w:hAnsi="Times New Roman" w:eastAsia="宋体" w:cs="Times New Roman"/>
          <w:snapToGrid/>
          <w:color w:val="auto"/>
          <w:spacing w:val="0"/>
          <w:w w:val="100"/>
          <w:kern w:val="2"/>
          <w:position w:val="0"/>
          <w:sz w:val="21"/>
          <w:szCs w:val="24"/>
          <w:u w:val="none"/>
          <w:vertAlign w:val="baseline"/>
          <w:lang w:val="en-US" w:eastAsia="zh-CN" w:bidi="ar-SA"/>
        </w:rPr>
        <w:t>由申请奖补对象填写申报表附相关证明材料，经基地所在村委会证明，报所在乡镇人民政府审核并公示；由市中药材产业发展中心会同市财政局、市工信局、市农业农村局，对申报对象申请奖补内容进行实地核查并公示；经市中药材产业发展领导小组领导审核签字后，由市财政局按规定程序从中药材产业发展专项资金中拨付奖补资金。</w:t>
      </w:r>
    </w:p>
    <w:p>
      <w:pPr>
        <w:widowControl/>
        <w:numPr>
          <w:ilvl w:val="0"/>
          <w:numId w:val="3"/>
        </w:numPr>
        <w:spacing w:line="480" w:lineRule="auto"/>
        <w:ind w:left="0" w:leftChars="0" w:firstLine="480" w:firstLineChars="0"/>
        <w:rPr>
          <w:rFonts w:hint="eastAsia"/>
        </w:rPr>
      </w:pPr>
      <w:r>
        <w:rPr>
          <w:rFonts w:hint="eastAsia"/>
        </w:rPr>
        <w:t>专项管理情况分析</w:t>
      </w:r>
    </w:p>
    <w:p>
      <w:pPr>
        <w:widowControl/>
        <w:spacing w:line="480" w:lineRule="auto"/>
        <w:ind w:firstLine="480"/>
        <w:rPr>
          <w:rFonts w:hint="eastAsia" w:ascii="Times New Roman" w:hAnsi="Times New Roman" w:cs="Times New Roman"/>
          <w:lang w:val="en-US" w:eastAsia="zh-CN"/>
        </w:rPr>
      </w:pPr>
      <w:r>
        <w:rPr>
          <w:rFonts w:hint="eastAsia" w:ascii="Times New Roman" w:hAnsi="Times New Roman" w:eastAsia="宋体" w:cs="Times New Roman"/>
          <w:snapToGrid/>
          <w:color w:val="auto"/>
          <w:spacing w:val="0"/>
          <w:w w:val="100"/>
          <w:kern w:val="2"/>
          <w:position w:val="0"/>
          <w:sz w:val="21"/>
          <w:szCs w:val="24"/>
          <w:u w:val="none"/>
          <w:vertAlign w:val="baseline"/>
          <w:lang w:val="en-US" w:eastAsia="zh-CN" w:bidi="ar-SA"/>
        </w:rPr>
        <w:t>对</w:t>
      </w:r>
      <w:r>
        <w:rPr>
          <w:rFonts w:hint="eastAsia" w:ascii="Times New Roman" w:hAnsi="Times New Roman" w:cs="Times New Roman"/>
          <w:snapToGrid/>
          <w:color w:val="auto"/>
          <w:spacing w:val="0"/>
          <w:w w:val="100"/>
          <w:kern w:val="2"/>
          <w:position w:val="0"/>
          <w:sz w:val="21"/>
          <w:szCs w:val="24"/>
          <w:u w:val="none"/>
          <w:vertAlign w:val="baseline"/>
          <w:lang w:val="en-US" w:eastAsia="zh-CN" w:bidi="ar-SA"/>
        </w:rPr>
        <w:t>已核实</w:t>
      </w:r>
      <w:r>
        <w:rPr>
          <w:rFonts w:hint="eastAsia" w:ascii="Times New Roman" w:hAnsi="Times New Roman" w:eastAsia="宋体" w:cs="Times New Roman"/>
          <w:snapToGrid/>
          <w:color w:val="auto"/>
          <w:spacing w:val="0"/>
          <w:w w:val="100"/>
          <w:kern w:val="2"/>
          <w:position w:val="0"/>
          <w:sz w:val="21"/>
          <w:szCs w:val="24"/>
          <w:u w:val="none"/>
          <w:vertAlign w:val="baseline"/>
          <w:lang w:val="en-US" w:eastAsia="zh-CN" w:bidi="ar-SA"/>
        </w:rPr>
        <w:t>申报奖补对象</w:t>
      </w:r>
      <w:r>
        <w:rPr>
          <w:rFonts w:hint="eastAsia" w:ascii="Times New Roman" w:hAnsi="Times New Roman" w:cs="Times New Roman"/>
          <w:lang w:val="en-US" w:eastAsia="zh-CN"/>
        </w:rPr>
        <w:t>严格</w:t>
      </w:r>
      <w:r>
        <w:rPr>
          <w:rFonts w:hint="eastAsia" w:ascii="Times New Roman" w:hAnsi="Times New Roman" w:eastAsia="宋体" w:cs="Times New Roman"/>
          <w:snapToGrid/>
          <w:color w:val="auto"/>
          <w:spacing w:val="0"/>
          <w:w w:val="100"/>
          <w:kern w:val="2"/>
          <w:position w:val="0"/>
          <w:sz w:val="21"/>
          <w:szCs w:val="24"/>
          <w:u w:val="none"/>
          <w:vertAlign w:val="baseline"/>
          <w:lang w:val="en-US" w:eastAsia="zh-CN" w:bidi="ar-SA"/>
        </w:rPr>
        <w:t>按专项资金管理程序发放奖补资</w:t>
      </w:r>
      <w:r>
        <w:rPr>
          <w:rFonts w:hint="eastAsia" w:ascii="Times New Roman" w:hAnsi="Times New Roman" w:cs="Times New Roman"/>
          <w:lang w:val="en-US" w:eastAsia="zh-CN"/>
        </w:rPr>
        <w:t xml:space="preserve">金，杜绝资金挪用挤占等行为、保证资金专款专用。 </w:t>
      </w:r>
    </w:p>
    <w:p>
      <w:pPr>
        <w:widowControl/>
        <w:spacing w:line="480" w:lineRule="auto"/>
        <w:ind w:firstLine="480"/>
        <w:rPr>
          <w:rFonts w:hint="eastAsia" w:ascii="Times New Roman" w:hAnsi="Times New Roman" w:eastAsia="宋体" w:cs="Times New Roman"/>
          <w:snapToGrid/>
          <w:color w:val="auto"/>
          <w:spacing w:val="0"/>
          <w:w w:val="100"/>
          <w:kern w:val="2"/>
          <w:position w:val="0"/>
          <w:sz w:val="21"/>
          <w:szCs w:val="24"/>
          <w:u w:val="none" w:color="auto"/>
          <w:vertAlign w:val="baseline"/>
          <w:lang w:val="en-US" w:eastAsia="zh-CN" w:bidi="ar-SA"/>
        </w:rPr>
      </w:pPr>
      <w:r>
        <w:rPr>
          <w:rFonts w:hint="eastAsia" w:ascii="Times New Roman" w:hAnsi="Times New Roman" w:eastAsia="宋体" w:cs="Times New Roman"/>
          <w:snapToGrid/>
          <w:color w:val="auto"/>
          <w:spacing w:val="0"/>
          <w:w w:val="100"/>
          <w:kern w:val="2"/>
          <w:position w:val="0"/>
          <w:sz w:val="21"/>
          <w:szCs w:val="24"/>
          <w:u w:val="none" w:color="auto"/>
          <w:vertAlign w:val="baseline"/>
          <w:lang w:val="en-US" w:eastAsia="zh-CN" w:bidi="ar-SA"/>
        </w:rPr>
        <w:t>四、部门（单位）整体支出绩效情况</w:t>
      </w:r>
    </w:p>
    <w:p>
      <w:pPr>
        <w:ind w:firstLine="420" w:firstLineChars="200"/>
        <w:jc w:val="left"/>
        <w:rPr>
          <w:rFonts w:hint="eastAsia" w:ascii="Times New Roman" w:hAnsi="Times New Roman" w:eastAsia="宋体" w:cs="Times New Roman"/>
          <w:snapToGrid/>
          <w:color w:val="auto"/>
          <w:spacing w:val="0"/>
          <w:w w:val="100"/>
          <w:kern w:val="2"/>
          <w:position w:val="0"/>
          <w:sz w:val="21"/>
          <w:szCs w:val="24"/>
          <w:u w:val="none" w:color="auto"/>
          <w:vertAlign w:val="baseline"/>
          <w:lang w:val="en-US" w:eastAsia="zh-CN" w:bidi="ar-SA"/>
        </w:rPr>
      </w:pPr>
      <w:r>
        <w:rPr>
          <w:rFonts w:hint="eastAsia" w:ascii="Times New Roman" w:hAnsi="Times New Roman" w:eastAsia="宋体" w:cs="Times New Roman"/>
          <w:snapToGrid/>
          <w:color w:val="auto"/>
          <w:spacing w:val="0"/>
          <w:w w:val="100"/>
          <w:kern w:val="2"/>
          <w:position w:val="0"/>
          <w:sz w:val="21"/>
          <w:szCs w:val="24"/>
          <w:u w:val="none" w:color="auto"/>
          <w:vertAlign w:val="baseline"/>
          <w:lang w:val="en-US" w:eastAsia="zh-CN" w:bidi="ar-SA"/>
        </w:rPr>
        <w:t>各项工作根据年初制定的工作方案按步骤到年底完成目标，新增中药材种植面积1万亩,成活率达90%，提高中药材种植技术技能培训提高产量，增产增收；中药材产业工作开展所需经费开支每个环节都严格按照资金管理程序使用资金，并落实中药材发展规划，指导中药材种植技术培训，扩大种植面积，形成产业链条拓宽销售渠道，增加产值。</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A5AAD"/>
    <w:multiLevelType w:val="singleLevel"/>
    <w:tmpl w:val="834A5AAD"/>
    <w:lvl w:ilvl="0" w:tentative="0">
      <w:start w:val="2"/>
      <w:numFmt w:val="chineseCounting"/>
      <w:suff w:val="nothing"/>
      <w:lvlText w:val="（%1）"/>
      <w:lvlJc w:val="left"/>
      <w:rPr>
        <w:rFonts w:hint="eastAsia"/>
      </w:rPr>
    </w:lvl>
  </w:abstractNum>
  <w:abstractNum w:abstractNumId="1">
    <w:nsid w:val="DA8BD5A3"/>
    <w:multiLevelType w:val="singleLevel"/>
    <w:tmpl w:val="DA8BD5A3"/>
    <w:lvl w:ilvl="0" w:tentative="0">
      <w:start w:val="2"/>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3F517D"/>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B2643"/>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3420A6C"/>
    <w:rsid w:val="03792830"/>
    <w:rsid w:val="044937A4"/>
    <w:rsid w:val="045230FE"/>
    <w:rsid w:val="05486BE5"/>
    <w:rsid w:val="091327A2"/>
    <w:rsid w:val="0A94383F"/>
    <w:rsid w:val="0AB44A6C"/>
    <w:rsid w:val="0CFA3DBB"/>
    <w:rsid w:val="0D351365"/>
    <w:rsid w:val="0F0D5FD7"/>
    <w:rsid w:val="10B63EB7"/>
    <w:rsid w:val="11B20BC8"/>
    <w:rsid w:val="11DB4F9C"/>
    <w:rsid w:val="12034C7A"/>
    <w:rsid w:val="13F5585D"/>
    <w:rsid w:val="145130E4"/>
    <w:rsid w:val="15634C12"/>
    <w:rsid w:val="15E17D34"/>
    <w:rsid w:val="16105AE4"/>
    <w:rsid w:val="16C00B45"/>
    <w:rsid w:val="199D5F6F"/>
    <w:rsid w:val="1C7E15D3"/>
    <w:rsid w:val="1D25698E"/>
    <w:rsid w:val="1D805262"/>
    <w:rsid w:val="1E166086"/>
    <w:rsid w:val="1E7B5778"/>
    <w:rsid w:val="211D1D46"/>
    <w:rsid w:val="21C80BA4"/>
    <w:rsid w:val="228F6A0D"/>
    <w:rsid w:val="23AB171B"/>
    <w:rsid w:val="23D262C1"/>
    <w:rsid w:val="25570EA4"/>
    <w:rsid w:val="26E508AC"/>
    <w:rsid w:val="29397A7B"/>
    <w:rsid w:val="29B611A8"/>
    <w:rsid w:val="2DC06361"/>
    <w:rsid w:val="2EC369B6"/>
    <w:rsid w:val="30A41CC0"/>
    <w:rsid w:val="316D1AAC"/>
    <w:rsid w:val="329735E0"/>
    <w:rsid w:val="33002AB1"/>
    <w:rsid w:val="35804C39"/>
    <w:rsid w:val="3A2740AD"/>
    <w:rsid w:val="3AD4698B"/>
    <w:rsid w:val="3B38549D"/>
    <w:rsid w:val="3BC2651F"/>
    <w:rsid w:val="3D866B39"/>
    <w:rsid w:val="3DD35D51"/>
    <w:rsid w:val="3F3140D7"/>
    <w:rsid w:val="40E61991"/>
    <w:rsid w:val="41070619"/>
    <w:rsid w:val="41414243"/>
    <w:rsid w:val="4143533F"/>
    <w:rsid w:val="41DF4F97"/>
    <w:rsid w:val="42EA3B0C"/>
    <w:rsid w:val="44B04298"/>
    <w:rsid w:val="481942FE"/>
    <w:rsid w:val="48FB467E"/>
    <w:rsid w:val="493B25AA"/>
    <w:rsid w:val="4B8C56CE"/>
    <w:rsid w:val="4DA26EC7"/>
    <w:rsid w:val="4E736AFF"/>
    <w:rsid w:val="4ED2519E"/>
    <w:rsid w:val="51B65C24"/>
    <w:rsid w:val="51C357A6"/>
    <w:rsid w:val="5281672B"/>
    <w:rsid w:val="5287655A"/>
    <w:rsid w:val="52915ED7"/>
    <w:rsid w:val="53AF08FB"/>
    <w:rsid w:val="54326D78"/>
    <w:rsid w:val="56222402"/>
    <w:rsid w:val="56D07D5D"/>
    <w:rsid w:val="57863FF7"/>
    <w:rsid w:val="57DB45B0"/>
    <w:rsid w:val="57E82D5B"/>
    <w:rsid w:val="58DC1C13"/>
    <w:rsid w:val="5A667E3C"/>
    <w:rsid w:val="5C1F4A20"/>
    <w:rsid w:val="5D5C5D2B"/>
    <w:rsid w:val="5DED43EE"/>
    <w:rsid w:val="5F38401C"/>
    <w:rsid w:val="6016755A"/>
    <w:rsid w:val="6019156B"/>
    <w:rsid w:val="60286820"/>
    <w:rsid w:val="6142104F"/>
    <w:rsid w:val="65A46BF4"/>
    <w:rsid w:val="6B855216"/>
    <w:rsid w:val="6F3F489E"/>
    <w:rsid w:val="6FBF19C0"/>
    <w:rsid w:val="708622C7"/>
    <w:rsid w:val="730D1E4A"/>
    <w:rsid w:val="742E1515"/>
    <w:rsid w:val="7483136F"/>
    <w:rsid w:val="757F23BB"/>
    <w:rsid w:val="76AA0933"/>
    <w:rsid w:val="77A70EDF"/>
    <w:rsid w:val="78312D25"/>
    <w:rsid w:val="7C2A567D"/>
    <w:rsid w:val="7F2724CC"/>
    <w:rsid w:val="7FE0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3">
    <w:name w:val="p0"/>
    <w:next w:val="4"/>
    <w:qFormat/>
    <w:uiPriority w:val="0"/>
    <w:pPr>
      <w:spacing w:line="365" w:lineRule="atLeast"/>
      <w:ind w:left="1"/>
    </w:pPr>
    <w:rPr>
      <w:rFonts w:ascii="Times New Roman" w:hAnsi="Times New Roman" w:eastAsia="宋体" w:cs="Times New Roman"/>
      <w:sz w:val="24"/>
      <w:lang w:val="en-US" w:eastAsia="zh-CN" w:bidi="ar-SA"/>
    </w:rPr>
  </w:style>
  <w:style w:type="paragraph" w:styleId="4">
    <w:name w:val="header"/>
    <w:basedOn w:val="1"/>
    <w:next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basedOn w:val="9"/>
    <w:link w:val="4"/>
    <w:qFormat/>
    <w:uiPriority w:val="99"/>
    <w:rPr>
      <w:sz w:val="18"/>
      <w:szCs w:val="18"/>
    </w:rPr>
  </w:style>
  <w:style w:type="character" w:customStyle="1" w:styleId="12">
    <w:name w:val="页脚 Char"/>
    <w:basedOn w:val="9"/>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3</TotalTime>
  <ScaleCrop>false</ScaleCrop>
  <LinksUpToDate>false</LinksUpToDate>
  <CharactersWithSpaces>8753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2021-07-28T00:12:00Z</cp:lastPrinted>
  <dcterms:modified xsi:type="dcterms:W3CDTF">2021-09-23T07:52:48Z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E165F38F636949D9AB9152271EE1D5A6</vt:lpwstr>
  </property>
</Properties>
</file>