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举借债务情况说明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ascii="Times New Roman" w:hAnsi="Times New Roman" w:eastAsia="仿宋_GB2312" w:cs="Times New Roman"/>
          <w:sz w:val="36"/>
          <w:szCs w:val="36"/>
        </w:rPr>
        <w:t>上级核定202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1</w:t>
      </w:r>
      <w:r>
        <w:rPr>
          <w:rFonts w:ascii="Times New Roman" w:hAnsi="Times New Roman" w:eastAsia="仿宋_GB2312" w:cs="Times New Roman"/>
          <w:sz w:val="36"/>
          <w:szCs w:val="36"/>
        </w:rPr>
        <w:t>年我市政府债务总限额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32.06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亿</w:t>
      </w:r>
      <w:r>
        <w:rPr>
          <w:rFonts w:ascii="Times New Roman" w:hAnsi="Times New Roman" w:eastAsia="仿宋_GB2312" w:cs="Times New Roman"/>
          <w:sz w:val="36"/>
          <w:szCs w:val="36"/>
        </w:rPr>
        <w:t>元，其中新增债务限额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6.07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亿</w:t>
      </w:r>
      <w:r>
        <w:rPr>
          <w:rFonts w:ascii="Times New Roman" w:hAnsi="Times New Roman" w:eastAsia="仿宋_GB2312" w:cs="Times New Roman"/>
          <w:sz w:val="36"/>
          <w:szCs w:val="36"/>
        </w:rPr>
        <w:t>元。根据上述限额，全年发行新增债券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6.07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亿</w:t>
      </w:r>
      <w:r>
        <w:rPr>
          <w:rFonts w:ascii="Times New Roman" w:hAnsi="Times New Roman" w:eastAsia="仿宋_GB2312" w:cs="Times New Roman"/>
          <w:sz w:val="36"/>
          <w:szCs w:val="36"/>
        </w:rPr>
        <w:t>元，再融资债券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7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亿</w:t>
      </w:r>
      <w:r>
        <w:rPr>
          <w:rFonts w:ascii="Times New Roman" w:hAnsi="Times New Roman" w:eastAsia="仿宋_GB2312" w:cs="Times New Roman"/>
          <w:sz w:val="36"/>
          <w:szCs w:val="36"/>
        </w:rPr>
        <w:t>元，共计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7.78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亿</w:t>
      </w:r>
      <w:r>
        <w:rPr>
          <w:rFonts w:ascii="Times New Roman" w:hAnsi="Times New Roman" w:eastAsia="仿宋_GB2312" w:cs="Times New Roman"/>
          <w:sz w:val="36"/>
          <w:szCs w:val="36"/>
        </w:rPr>
        <w:t>元，平均利率3.46%。截至202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1</w:t>
      </w:r>
      <w:r>
        <w:rPr>
          <w:rFonts w:ascii="Times New Roman" w:hAnsi="Times New Roman" w:eastAsia="仿宋_GB2312" w:cs="Times New Roman"/>
          <w:sz w:val="36"/>
          <w:szCs w:val="36"/>
        </w:rPr>
        <w:t>年底，我市地方政府债务余额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31.9</w:t>
      </w:r>
      <w:r>
        <w:rPr>
          <w:rFonts w:ascii="Times New Roman" w:hAnsi="Times New Roman" w:eastAsia="仿宋_GB2312" w:cs="Times New Roman"/>
          <w:sz w:val="36"/>
          <w:szCs w:val="36"/>
        </w:rPr>
        <w:t>万元，控制在中央核定的债务限额以内。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预计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2022年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债务限额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32.38亿元，债务余额32.21亿元，</w:t>
      </w:r>
      <w:r>
        <w:rPr>
          <w:rFonts w:ascii="Times New Roman" w:hAnsi="Times New Roman" w:eastAsia="仿宋_GB2312" w:cs="Times New Roman"/>
          <w:sz w:val="36"/>
          <w:szCs w:val="36"/>
        </w:rPr>
        <w:t>控制在中央核定的债务限额以内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CF10D2"/>
    <w:rsid w:val="001B08B0"/>
    <w:rsid w:val="00282475"/>
    <w:rsid w:val="005026BF"/>
    <w:rsid w:val="00580844"/>
    <w:rsid w:val="0080193B"/>
    <w:rsid w:val="0A626CE6"/>
    <w:rsid w:val="12C343F5"/>
    <w:rsid w:val="192170DE"/>
    <w:rsid w:val="21C161DF"/>
    <w:rsid w:val="24100A0B"/>
    <w:rsid w:val="247668E5"/>
    <w:rsid w:val="285E1454"/>
    <w:rsid w:val="2C3549D6"/>
    <w:rsid w:val="35CF10D2"/>
    <w:rsid w:val="37621E73"/>
    <w:rsid w:val="38FF0C8F"/>
    <w:rsid w:val="42B817E2"/>
    <w:rsid w:val="46197BAC"/>
    <w:rsid w:val="52DE3675"/>
    <w:rsid w:val="60EA35B7"/>
    <w:rsid w:val="6AE66A24"/>
    <w:rsid w:val="793735EC"/>
    <w:rsid w:val="7F5D8495"/>
    <w:rsid w:val="CE2FD19A"/>
    <w:rsid w:val="D7CB4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42</Characters>
  <Lines>1</Lines>
  <Paragraphs>1</Paragraphs>
  <TotalTime>1</TotalTime>
  <ScaleCrop>false</ScaleCrop>
  <LinksUpToDate>false</LinksUpToDate>
  <CharactersWithSpaces>155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2019-12-18T22:53:00Z</dcterms:created>
  <dc:creator>ysk-04</dc:creator>
  <cp:lastModifiedBy>kylin</cp:lastModifiedBy>
  <dcterms:modified xsi:type="dcterms:W3CDTF">2023-09-26T15:32:39Z</dcterms:modified>
  <dc:title>举借债务情况说明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7E1441A32C564D9686E940D357564E3C</vt:lpwstr>
  </property>
</Properties>
</file>