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2019年度</w:t>
      </w:r>
      <w:r>
        <w:rPr>
          <w:rFonts w:hint="eastAsia"/>
          <w:sz w:val="84"/>
          <w:szCs w:val="84"/>
          <w:lang w:eastAsia="zh-CN"/>
        </w:rPr>
        <w:t>洪江市社会福利院</w:t>
      </w: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spacing w:line="540" w:lineRule="exact"/>
        <w:jc w:val="center"/>
        <w:rPr>
          <w:sz w:val="56"/>
          <w:szCs w:val="56"/>
        </w:rPr>
      </w:pPr>
    </w:p>
    <w:p>
      <w:pPr>
        <w:pStyle w:val="11"/>
        <w:spacing w:line="520" w:lineRule="exact"/>
        <w:jc w:val="center"/>
        <w:rPr>
          <w:rFonts w:hint="eastAsia"/>
          <w:sz w:val="56"/>
          <w:szCs w:val="56"/>
        </w:rPr>
      </w:pPr>
    </w:p>
    <w:p>
      <w:pPr>
        <w:pStyle w:val="11"/>
        <w:spacing w:line="520" w:lineRule="exact"/>
        <w:jc w:val="center"/>
        <w:rPr>
          <w:rFonts w:hint="eastAsia"/>
          <w:sz w:val="56"/>
          <w:szCs w:val="56"/>
        </w:rPr>
      </w:pPr>
    </w:p>
    <w:p>
      <w:pPr>
        <w:pStyle w:val="11"/>
        <w:spacing w:line="520" w:lineRule="exact"/>
        <w:jc w:val="center"/>
        <w:rPr>
          <w:sz w:val="56"/>
          <w:szCs w:val="56"/>
        </w:rPr>
      </w:pPr>
      <w:r>
        <w:rPr>
          <w:rFonts w:hint="eastAsia"/>
          <w:sz w:val="56"/>
          <w:szCs w:val="56"/>
        </w:rPr>
        <w:t>目录</w:t>
      </w:r>
    </w:p>
    <w:p>
      <w:pPr>
        <w:pStyle w:val="11"/>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单位</w:t>
      </w:r>
      <w:r>
        <w:rPr>
          <w:rFonts w:hint="eastAsia"/>
          <w:b/>
          <w:sz w:val="28"/>
          <w:szCs w:val="28"/>
        </w:rPr>
        <w:t>概况</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2019</w:t>
      </w:r>
      <w:r>
        <w:rPr>
          <w:rFonts w:hint="eastAsia" w:hAnsi="仿宋_GB2312"/>
          <w:b/>
          <w:sz w:val="28"/>
          <w:szCs w:val="28"/>
        </w:rPr>
        <w:t>年度部门决算表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2019</w:t>
      </w:r>
      <w:r>
        <w:rPr>
          <w:rFonts w:hint="eastAsia" w:hAnsi="仿宋_GB2312"/>
          <w:b/>
          <w:sz w:val="28"/>
          <w:szCs w:val="28"/>
        </w:rPr>
        <w:t>年度部门决算情况说明</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附件</w:t>
      </w:r>
    </w:p>
    <w:p>
      <w:pPr>
        <w:jc w:val="center"/>
        <w:rPr>
          <w:sz w:val="72"/>
          <w:szCs w:val="72"/>
        </w:rPr>
      </w:pPr>
    </w:p>
    <w:p>
      <w:pPr>
        <w:rPr>
          <w:sz w:val="72"/>
          <w:szCs w:val="72"/>
        </w:rPr>
      </w:pPr>
    </w:p>
    <w:p>
      <w:pPr>
        <w:pStyle w:val="11"/>
        <w:jc w:val="both"/>
        <w:rPr>
          <w:rFonts w:ascii="黑体" w:hAnsi="黑体" w:eastAsia="黑体"/>
          <w:b/>
          <w:bCs/>
          <w:sz w:val="32"/>
          <w:szCs w:val="32"/>
        </w:rPr>
      </w:pPr>
      <w:r>
        <w:rPr>
          <w:rFonts w:hint="eastAsia"/>
          <w:b/>
          <w:bCs/>
          <w:sz w:val="32"/>
          <w:szCs w:val="32"/>
        </w:rPr>
        <w:t>第一部分</w:t>
      </w:r>
      <w:r>
        <w:rPr>
          <w:b/>
          <w:bCs/>
          <w:sz w:val="32"/>
          <w:szCs w:val="32"/>
        </w:rPr>
        <w:t xml:space="preserve"> </w:t>
      </w:r>
      <w:r>
        <w:rPr>
          <w:rFonts w:hint="eastAsia"/>
          <w:b/>
          <w:bCs/>
          <w:sz w:val="32"/>
          <w:szCs w:val="32"/>
          <w:lang w:eastAsia="zh-CN"/>
        </w:rPr>
        <w:t>洪江市社会福利院</w:t>
      </w:r>
      <w:r>
        <w:rPr>
          <w:rFonts w:hint="eastAsia"/>
          <w:b/>
          <w:bCs/>
          <w:sz w:val="32"/>
          <w:szCs w:val="32"/>
        </w:rPr>
        <w:t>概况</w:t>
      </w: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ascii="仿宋_GB2312" w:eastAsia="仿宋_GB2312" w:hAnsiTheme="minorEastAsia"/>
          <w:sz w:val="32"/>
          <w:szCs w:val="32"/>
        </w:rPr>
      </w:pPr>
      <w:r>
        <w:rPr>
          <w:rFonts w:hint="eastAsia" w:ascii="宋体" w:hAnsi="宋体" w:cs="宋体"/>
          <w:kern w:val="0"/>
          <w:sz w:val="32"/>
          <w:szCs w:val="32"/>
        </w:rPr>
        <w:t>我院属于洪江市民政局直属二级机构，全额拨款的事业单位，执行事业单位会计制度。我院全额拨款编制10名，实际在编8人，另有</w:t>
      </w:r>
      <w:r>
        <w:rPr>
          <w:rFonts w:hint="eastAsia" w:ascii="宋体" w:hAnsi="宋体" w:cs="宋体"/>
          <w:kern w:val="0"/>
          <w:sz w:val="32"/>
          <w:szCs w:val="32"/>
          <w:lang w:eastAsia="zh-CN"/>
        </w:rPr>
        <w:t>劳务派遣</w:t>
      </w:r>
      <w:r>
        <w:rPr>
          <w:rFonts w:hint="eastAsia" w:ascii="宋体" w:hAnsi="宋体" w:cs="宋体"/>
          <w:kern w:val="0"/>
          <w:sz w:val="32"/>
          <w:szCs w:val="32"/>
          <w:lang w:val="en-US" w:eastAsia="zh-CN"/>
        </w:rPr>
        <w:t>8</w:t>
      </w:r>
      <w:r>
        <w:rPr>
          <w:rFonts w:hint="eastAsia" w:ascii="宋体" w:hAnsi="宋体" w:cs="宋体"/>
          <w:kern w:val="0"/>
          <w:sz w:val="32"/>
          <w:szCs w:val="32"/>
        </w:rPr>
        <w:t>人。 </w:t>
      </w:r>
      <w:r>
        <w:rPr>
          <w:rFonts w:hint="eastAsia" w:ascii="宋体" w:hAnsi="宋体" w:cs="宋体"/>
          <w:kern w:val="0"/>
          <w:sz w:val="32"/>
          <w:szCs w:val="32"/>
        </w:rPr>
        <w:br w:type="textWrapping"/>
      </w:r>
      <w:r>
        <w:rPr>
          <w:rFonts w:hint="eastAsia" w:ascii="宋体" w:hAnsi="宋体" w:cs="宋体"/>
          <w:kern w:val="0"/>
          <w:sz w:val="32"/>
          <w:szCs w:val="32"/>
        </w:rPr>
        <w:t>  单位的主要职责是：按照国家有关政策、拟定老人、残疾人、孤残儿童、精神病人等社会福利事业单位的方针、政策、法规和发展计划，并监督执行；协助政府有关部门和社会团体做好老年人、残疾人的社会福利工作，开展老年人和参加人的权益保护工作；协助社会福利事业单位开展康复工作，组织社会福利事业单位管理人员、康复技术人员的培训工作；协助社会福利事业单位规范化管理及开展自费收养、生产经营等项工作；协助残疾儿童福利事业单位开展特殊教育活动；协助孤儿的助养、助学、助医工作，协助有关部门做好孤儿收养工作；协调其他有关福利事业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numPr>
          <w:ilvl w:val="0"/>
          <w:numId w:val="0"/>
        </w:numPr>
        <w:snapToGrid w:val="0"/>
        <w:spacing w:line="520" w:lineRule="exact"/>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eastAsiaTheme="minorEastAsia" w:cstheme="minorEastAsia"/>
          <w:sz w:val="32"/>
          <w:szCs w:val="32"/>
        </w:rPr>
        <w:t>我院属于洪江市民政局直属二级机构，全额拨款的事业单位，执行事业单位会计制度。我院全额拨款编制10名，实际在编</w:t>
      </w:r>
      <w:r>
        <w:rPr>
          <w:rFonts w:hint="eastAsia" w:asciiTheme="minorEastAsia" w:hAnsiTheme="minorEastAsia" w:cstheme="minorEastAsia"/>
          <w:sz w:val="32"/>
          <w:szCs w:val="32"/>
          <w:lang w:val="en-US" w:eastAsia="zh-CN"/>
        </w:rPr>
        <w:t>7</w:t>
      </w:r>
      <w:r>
        <w:rPr>
          <w:rFonts w:hint="eastAsia" w:asciiTheme="minorEastAsia" w:hAnsiTheme="minorEastAsia" w:eastAsiaTheme="minorEastAsia" w:cstheme="minorEastAsia"/>
          <w:sz w:val="32"/>
          <w:szCs w:val="32"/>
        </w:rPr>
        <w:t>人，另有</w:t>
      </w:r>
      <w:r>
        <w:rPr>
          <w:rFonts w:hint="eastAsia" w:asciiTheme="minorEastAsia" w:hAnsiTheme="minorEastAsia" w:cstheme="minorEastAsia"/>
          <w:sz w:val="32"/>
          <w:szCs w:val="32"/>
          <w:lang w:eastAsia="zh-CN"/>
        </w:rPr>
        <w:t>劳务派遣</w:t>
      </w:r>
      <w:r>
        <w:rPr>
          <w:rFonts w:hint="eastAsia" w:asciiTheme="minorEastAsia" w:hAnsiTheme="minorEastAsia" w:cstheme="minorEastAsia"/>
          <w:sz w:val="32"/>
          <w:szCs w:val="32"/>
          <w:lang w:val="en-US" w:eastAsia="zh-CN"/>
        </w:rPr>
        <w:t>8</w:t>
      </w:r>
      <w:r>
        <w:rPr>
          <w:rFonts w:hint="eastAsia" w:asciiTheme="minorEastAsia" w:hAnsiTheme="minorEastAsia" w:eastAsiaTheme="minorEastAsia" w:cstheme="minorEastAsia"/>
          <w:sz w:val="32"/>
          <w:szCs w:val="32"/>
        </w:rPr>
        <w:t>人。</w:t>
      </w:r>
    </w:p>
    <w:p>
      <w:pPr>
        <w:widowControl/>
        <w:numPr>
          <w:ilvl w:val="0"/>
          <w:numId w:val="0"/>
        </w:numPr>
        <w:spacing w:line="600" w:lineRule="exact"/>
        <w:ind w:firstLine="640" w:firstLineChars="200"/>
        <w:rPr>
          <w:rFonts w:hint="eastAsia" w:asciiTheme="minorEastAsia" w:hAnsiTheme="minorEastAsia" w:eastAsiaTheme="minorEastAsia" w:cs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eastAsiaTheme="minorEastAsia" w:cstheme="minorEastAsia"/>
          <w:bCs/>
          <w:kern w:val="0"/>
          <w:sz w:val="32"/>
          <w:szCs w:val="32"/>
          <w:lang w:eastAsia="zh-CN"/>
        </w:rPr>
        <w:t>洪江市</w:t>
      </w:r>
      <w:r>
        <w:rPr>
          <w:rFonts w:hint="eastAsia" w:asciiTheme="minorEastAsia" w:hAnsiTheme="minorEastAsia" w:cstheme="minorEastAsia"/>
          <w:bCs/>
          <w:kern w:val="0"/>
          <w:sz w:val="32"/>
          <w:szCs w:val="32"/>
          <w:lang w:eastAsia="zh-CN"/>
        </w:rPr>
        <w:t>社会福利院</w:t>
      </w:r>
      <w:r>
        <w:rPr>
          <w:rFonts w:hint="eastAsia" w:asciiTheme="minorEastAsia" w:hAnsiTheme="minorEastAsia" w:eastAsiaTheme="minorEastAsia" w:cstheme="minorEastAsia"/>
          <w:bCs/>
          <w:kern w:val="0"/>
          <w:sz w:val="32"/>
          <w:szCs w:val="32"/>
        </w:rPr>
        <w:t>2018年部门决算公开单位</w:t>
      </w:r>
      <w:r>
        <w:rPr>
          <w:rFonts w:hint="eastAsia" w:asciiTheme="minorEastAsia" w:hAnsiTheme="minorEastAsia" w:eastAsiaTheme="minorEastAsia" w:cstheme="minorEastAsia"/>
          <w:bCs/>
          <w:kern w:val="0"/>
          <w:sz w:val="32"/>
          <w:szCs w:val="32"/>
          <w:lang w:eastAsia="zh-CN"/>
        </w:rPr>
        <w:t>仅为本单位。</w:t>
      </w:r>
    </w:p>
    <w:p>
      <w:pPr>
        <w:pStyle w:val="11"/>
        <w:jc w:val="both"/>
        <w:rPr>
          <w:rFonts w:ascii="黑体" w:hAnsi="黑体" w:eastAsia="黑体"/>
          <w:b/>
          <w:bCs/>
          <w:sz w:val="28"/>
          <w:szCs w:val="28"/>
        </w:rPr>
      </w:pPr>
      <w:r>
        <w:rPr>
          <w:rFonts w:hint="eastAsia"/>
          <w:b/>
          <w:bCs/>
          <w:sz w:val="32"/>
          <w:szCs w:val="32"/>
        </w:rPr>
        <w:t>第</w:t>
      </w:r>
      <w:r>
        <w:rPr>
          <w:rFonts w:hint="eastAsia"/>
          <w:b/>
          <w:bCs/>
          <w:sz w:val="32"/>
          <w:szCs w:val="32"/>
          <w:lang w:eastAsia="zh-CN"/>
        </w:rPr>
        <w:t>二</w:t>
      </w:r>
      <w:r>
        <w:rPr>
          <w:rFonts w:hint="eastAsia"/>
          <w:b/>
          <w:bCs/>
          <w:sz w:val="32"/>
          <w:szCs w:val="32"/>
        </w:rPr>
        <w:t>部分</w:t>
      </w:r>
      <w:r>
        <w:rPr>
          <w:b/>
          <w:bCs/>
          <w:sz w:val="32"/>
          <w:szCs w:val="32"/>
        </w:rPr>
        <w:t xml:space="preserve"> </w:t>
      </w:r>
      <w:r>
        <w:rPr>
          <w:rFonts w:hint="eastAsia"/>
          <w:b/>
          <w:bCs/>
          <w:sz w:val="32"/>
          <w:szCs w:val="32"/>
          <w:lang w:val="en-US" w:eastAsia="zh-CN"/>
        </w:rPr>
        <w:t>2019年度部门决算表</w:t>
      </w:r>
    </w:p>
    <w:p>
      <w:pPr>
        <w:pStyle w:val="11"/>
        <w:spacing w:line="520" w:lineRule="exact"/>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一、收入支出决算总表</w:t>
      </w:r>
    </w:p>
    <w:p>
      <w:pPr>
        <w:jc w:val="both"/>
        <w:rPr>
          <w:rFonts w:hint="eastAsia" w:eastAsiaTheme="minorEastAsia"/>
          <w:sz w:val="72"/>
          <w:szCs w:val="72"/>
          <w:lang w:eastAsia="zh-CN"/>
        </w:rPr>
      </w:pPr>
      <w:r>
        <w:rPr>
          <w:rFonts w:hint="eastAsia" w:eastAsiaTheme="minorEastAsia"/>
          <w:sz w:val="72"/>
          <w:szCs w:val="72"/>
          <w:lang w:eastAsia="zh-CN"/>
        </w:rPr>
        <w:drawing>
          <wp:inline distT="0" distB="0" distL="114300" distR="114300">
            <wp:extent cx="6644005" cy="3401695"/>
            <wp:effectExtent l="0" t="0" r="4445" b="8255"/>
            <wp:docPr id="2" name="图片 2" descr="QQ图片2020081719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00817191718"/>
                    <pic:cNvPicPr>
                      <a:picLocks noChangeAspect="1"/>
                    </pic:cNvPicPr>
                  </pic:nvPicPr>
                  <pic:blipFill>
                    <a:blip r:embed="rId4"/>
                    <a:stretch>
                      <a:fillRect/>
                    </a:stretch>
                  </pic:blipFill>
                  <pic:spPr>
                    <a:xfrm>
                      <a:off x="0" y="0"/>
                      <a:ext cx="6644005" cy="3401695"/>
                    </a:xfrm>
                    <a:prstGeom prst="rect">
                      <a:avLst/>
                    </a:prstGeom>
                  </pic:spPr>
                </pic:pic>
              </a:graphicData>
            </a:graphic>
          </wp:inline>
        </w:drawing>
      </w:r>
    </w:p>
    <w:p>
      <w:pPr>
        <w:numPr>
          <w:ilvl w:val="0"/>
          <w:numId w:val="2"/>
        </w:numPr>
        <w:jc w:val="both"/>
        <w:rPr>
          <w:rFonts w:hint="eastAsia"/>
          <w:sz w:val="32"/>
          <w:szCs w:val="32"/>
          <w:lang w:eastAsia="zh-CN"/>
        </w:rPr>
      </w:pPr>
      <w:r>
        <w:rPr>
          <w:rFonts w:hint="eastAsia"/>
          <w:sz w:val="32"/>
          <w:szCs w:val="32"/>
          <w:lang w:eastAsia="zh-CN"/>
        </w:rPr>
        <w:t>收入决算表</w:t>
      </w:r>
    </w:p>
    <w:p>
      <w:pPr>
        <w:numPr>
          <w:ilvl w:val="0"/>
          <w:numId w:val="0"/>
        </w:numPr>
        <w:jc w:val="both"/>
        <w:rPr>
          <w:rFonts w:hint="eastAsia"/>
          <w:sz w:val="32"/>
          <w:szCs w:val="32"/>
          <w:lang w:eastAsia="zh-CN"/>
        </w:rPr>
      </w:pPr>
      <w:r>
        <w:rPr>
          <w:rFonts w:hint="eastAsia"/>
          <w:sz w:val="32"/>
          <w:szCs w:val="32"/>
          <w:lang w:eastAsia="zh-CN"/>
        </w:rPr>
        <w:drawing>
          <wp:inline distT="0" distB="0" distL="114300" distR="114300">
            <wp:extent cx="6638925" cy="3306445"/>
            <wp:effectExtent l="0" t="0" r="9525" b="8255"/>
            <wp:docPr id="3" name="图片 3" descr="QQ图片2020081719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00817192331"/>
                    <pic:cNvPicPr>
                      <a:picLocks noChangeAspect="1"/>
                    </pic:cNvPicPr>
                  </pic:nvPicPr>
                  <pic:blipFill>
                    <a:blip r:embed="rId5"/>
                    <a:stretch>
                      <a:fillRect/>
                    </a:stretch>
                  </pic:blipFill>
                  <pic:spPr>
                    <a:xfrm>
                      <a:off x="0" y="0"/>
                      <a:ext cx="6638925" cy="3306445"/>
                    </a:xfrm>
                    <a:prstGeom prst="rect">
                      <a:avLst/>
                    </a:prstGeom>
                  </pic:spPr>
                </pic:pic>
              </a:graphicData>
            </a:graphic>
          </wp:inline>
        </w:drawing>
      </w:r>
    </w:p>
    <w:p>
      <w:pPr>
        <w:numPr>
          <w:ilvl w:val="0"/>
          <w:numId w:val="2"/>
        </w:numPr>
        <w:ind w:left="0" w:leftChars="0" w:firstLine="0" w:firstLineChars="0"/>
        <w:jc w:val="both"/>
        <w:rPr>
          <w:rFonts w:hint="eastAsia"/>
          <w:sz w:val="32"/>
          <w:szCs w:val="32"/>
          <w:lang w:eastAsia="zh-CN"/>
        </w:rPr>
      </w:pPr>
      <w:r>
        <w:rPr>
          <w:rFonts w:hint="eastAsia"/>
          <w:sz w:val="32"/>
          <w:szCs w:val="32"/>
          <w:lang w:eastAsia="zh-CN"/>
        </w:rPr>
        <w:t>支出决算表</w:t>
      </w:r>
    </w:p>
    <w:p>
      <w:pPr>
        <w:numPr>
          <w:ilvl w:val="0"/>
          <w:numId w:val="0"/>
        </w:numPr>
        <w:ind w:leftChars="0"/>
        <w:jc w:val="both"/>
        <w:rPr>
          <w:rFonts w:hint="eastAsia"/>
          <w:sz w:val="32"/>
          <w:szCs w:val="32"/>
          <w:lang w:eastAsia="zh-CN"/>
        </w:rPr>
      </w:pPr>
      <w:r>
        <w:rPr>
          <w:rFonts w:hint="eastAsia"/>
          <w:sz w:val="32"/>
          <w:szCs w:val="32"/>
          <w:lang w:eastAsia="zh-CN"/>
        </w:rPr>
        <w:drawing>
          <wp:inline distT="0" distB="0" distL="114300" distR="114300">
            <wp:extent cx="6638290" cy="3769995"/>
            <wp:effectExtent l="0" t="0" r="10160" b="1905"/>
            <wp:docPr id="4" name="图片 4" descr="QQ图片2020081719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00817192422"/>
                    <pic:cNvPicPr>
                      <a:picLocks noChangeAspect="1"/>
                    </pic:cNvPicPr>
                  </pic:nvPicPr>
                  <pic:blipFill>
                    <a:blip r:embed="rId6"/>
                    <a:stretch>
                      <a:fillRect/>
                    </a:stretch>
                  </pic:blipFill>
                  <pic:spPr>
                    <a:xfrm>
                      <a:off x="0" y="0"/>
                      <a:ext cx="6638290" cy="3769995"/>
                    </a:xfrm>
                    <a:prstGeom prst="rect">
                      <a:avLst/>
                    </a:prstGeom>
                  </pic:spPr>
                </pic:pic>
              </a:graphicData>
            </a:graphic>
          </wp:inline>
        </w:drawing>
      </w:r>
    </w:p>
    <w:p>
      <w:pPr>
        <w:pStyle w:val="11"/>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四、财政拨款收入支出决算总表</w:t>
      </w:r>
    </w:p>
    <w:p>
      <w:pPr>
        <w:pStyle w:val="11"/>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drawing>
          <wp:inline distT="0" distB="0" distL="114300" distR="114300">
            <wp:extent cx="6639560" cy="3388995"/>
            <wp:effectExtent l="0" t="0" r="8890" b="1905"/>
            <wp:docPr id="5" name="图片 5" descr="QQ图片2020081719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200817192535"/>
                    <pic:cNvPicPr>
                      <a:picLocks noChangeAspect="1"/>
                    </pic:cNvPicPr>
                  </pic:nvPicPr>
                  <pic:blipFill>
                    <a:blip r:embed="rId7"/>
                    <a:stretch>
                      <a:fillRect/>
                    </a:stretch>
                  </pic:blipFill>
                  <pic:spPr>
                    <a:xfrm>
                      <a:off x="0" y="0"/>
                      <a:ext cx="6639560" cy="3388995"/>
                    </a:xfrm>
                    <a:prstGeom prst="rect">
                      <a:avLst/>
                    </a:prstGeom>
                  </pic:spPr>
                </pic:pic>
              </a:graphicData>
            </a:graphic>
          </wp:inline>
        </w:drawing>
      </w:r>
    </w:p>
    <w:p>
      <w:pPr>
        <w:pStyle w:val="11"/>
        <w:spacing w:line="520" w:lineRule="exact"/>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五、一般公共预算财政拨款支出决算表</w:t>
      </w:r>
    </w:p>
    <w:p>
      <w:pPr>
        <w:pStyle w:val="11"/>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drawing>
          <wp:inline distT="0" distB="0" distL="114300" distR="114300">
            <wp:extent cx="6644640" cy="4537710"/>
            <wp:effectExtent l="0" t="0" r="3810" b="15240"/>
            <wp:docPr id="6" name="图片 6" descr="QQ图片2020081719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200817192623"/>
                    <pic:cNvPicPr>
                      <a:picLocks noChangeAspect="1"/>
                    </pic:cNvPicPr>
                  </pic:nvPicPr>
                  <pic:blipFill>
                    <a:blip r:embed="rId8"/>
                    <a:stretch>
                      <a:fillRect/>
                    </a:stretch>
                  </pic:blipFill>
                  <pic:spPr>
                    <a:xfrm>
                      <a:off x="0" y="0"/>
                      <a:ext cx="6644640" cy="4537710"/>
                    </a:xfrm>
                    <a:prstGeom prst="rect">
                      <a:avLst/>
                    </a:prstGeom>
                  </pic:spPr>
                </pic:pic>
              </a:graphicData>
            </a:graphic>
          </wp:inline>
        </w:drawing>
      </w:r>
    </w:p>
    <w:p>
      <w:pPr>
        <w:pStyle w:val="11"/>
        <w:spacing w:line="520" w:lineRule="exact"/>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六、一般公共预算财政拨款基本支出决算表</w:t>
      </w:r>
    </w:p>
    <w:p>
      <w:pPr>
        <w:pStyle w:val="11"/>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drawing>
          <wp:inline distT="0" distB="0" distL="114300" distR="114300">
            <wp:extent cx="6642100" cy="3901440"/>
            <wp:effectExtent l="0" t="0" r="6350" b="3810"/>
            <wp:docPr id="7" name="图片 7" descr="QQ图片2020081719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200817192720"/>
                    <pic:cNvPicPr>
                      <a:picLocks noChangeAspect="1"/>
                    </pic:cNvPicPr>
                  </pic:nvPicPr>
                  <pic:blipFill>
                    <a:blip r:embed="rId9"/>
                    <a:stretch>
                      <a:fillRect/>
                    </a:stretch>
                  </pic:blipFill>
                  <pic:spPr>
                    <a:xfrm>
                      <a:off x="0" y="0"/>
                      <a:ext cx="6642100" cy="3901440"/>
                    </a:xfrm>
                    <a:prstGeom prst="rect">
                      <a:avLst/>
                    </a:prstGeom>
                  </pic:spPr>
                </pic:pic>
              </a:graphicData>
            </a:graphic>
          </wp:inline>
        </w:drawing>
      </w:r>
    </w:p>
    <w:p>
      <w:pPr>
        <w:pStyle w:val="11"/>
        <w:spacing w:line="520" w:lineRule="exact"/>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七、一般公共预算财政拨款“三公”经费支出决算表</w:t>
      </w:r>
    </w:p>
    <w:p>
      <w:pPr>
        <w:pStyle w:val="11"/>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drawing>
          <wp:inline distT="0" distB="0" distL="114300" distR="114300">
            <wp:extent cx="6638925" cy="2290445"/>
            <wp:effectExtent l="0" t="0" r="9525" b="14605"/>
            <wp:docPr id="8" name="图片 8" descr="QQ图片2020081719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200817192809"/>
                    <pic:cNvPicPr>
                      <a:picLocks noChangeAspect="1"/>
                    </pic:cNvPicPr>
                  </pic:nvPicPr>
                  <pic:blipFill>
                    <a:blip r:embed="rId10"/>
                    <a:stretch>
                      <a:fillRect/>
                    </a:stretch>
                  </pic:blipFill>
                  <pic:spPr>
                    <a:xfrm>
                      <a:off x="0" y="0"/>
                      <a:ext cx="6638925" cy="2290445"/>
                    </a:xfrm>
                    <a:prstGeom prst="rect">
                      <a:avLst/>
                    </a:prstGeom>
                  </pic:spPr>
                </pic:pic>
              </a:graphicData>
            </a:graphic>
          </wp:inline>
        </w:drawing>
      </w:r>
    </w:p>
    <w:p>
      <w:pPr>
        <w:pStyle w:val="11"/>
        <w:spacing w:line="520" w:lineRule="exact"/>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八、政府性基金预算财政拨款收入支出决算表</w:t>
      </w:r>
    </w:p>
    <w:p>
      <w:pPr>
        <w:pStyle w:val="11"/>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drawing>
          <wp:inline distT="0" distB="0" distL="114300" distR="114300">
            <wp:extent cx="6645275" cy="3257550"/>
            <wp:effectExtent l="0" t="0" r="3175" b="0"/>
            <wp:docPr id="9" name="图片 9" descr="QQ图片2020081719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图片20200817192859"/>
                    <pic:cNvPicPr>
                      <a:picLocks noChangeAspect="1"/>
                    </pic:cNvPicPr>
                  </pic:nvPicPr>
                  <pic:blipFill>
                    <a:blip r:embed="rId11"/>
                    <a:stretch>
                      <a:fillRect/>
                    </a:stretch>
                  </pic:blipFill>
                  <pic:spPr>
                    <a:xfrm>
                      <a:off x="0" y="0"/>
                      <a:ext cx="6645275" cy="3257550"/>
                    </a:xfrm>
                    <a:prstGeom prst="rect">
                      <a:avLst/>
                    </a:prstGeom>
                  </pic:spPr>
                </pic:pic>
              </a:graphicData>
            </a:graphic>
          </wp:inline>
        </w:drawing>
      </w:r>
    </w:p>
    <w:p>
      <w:pPr>
        <w:pStyle w:val="11"/>
        <w:jc w:val="both"/>
        <w:rPr>
          <w:rFonts w:ascii="黑体" w:eastAsia="黑体" w:cs="黑体"/>
          <w:color w:val="000000"/>
          <w:kern w:val="0"/>
          <w:sz w:val="70"/>
          <w:szCs w:val="70"/>
        </w:rPr>
      </w:pPr>
      <w:r>
        <w:rPr>
          <w:rFonts w:hint="eastAsia"/>
          <w:b/>
          <w:bCs/>
          <w:sz w:val="32"/>
          <w:szCs w:val="32"/>
        </w:rPr>
        <w:t>第三部分</w:t>
      </w:r>
      <w:r>
        <w:rPr>
          <w:rFonts w:hint="eastAsia"/>
          <w:b/>
          <w:bCs/>
          <w:sz w:val="32"/>
          <w:szCs w:val="32"/>
          <w:lang w:val="en-US" w:eastAsia="zh-CN"/>
        </w:rPr>
        <w:t xml:space="preserve">  </w:t>
      </w:r>
      <w:r>
        <w:rPr>
          <w:b/>
          <w:bCs/>
          <w:sz w:val="32"/>
          <w:szCs w:val="32"/>
        </w:rPr>
        <w:t>2019</w:t>
      </w:r>
      <w:r>
        <w:rPr>
          <w:rFonts w:hint="eastAsia"/>
          <w:b/>
          <w:bCs/>
          <w:sz w:val="32"/>
          <w:szCs w:val="32"/>
        </w:rPr>
        <w:t>年度部门决算情况说明</w:t>
      </w:r>
      <w:r>
        <w:rPr>
          <w:sz w:val="70"/>
          <w:szCs w:val="70"/>
        </w:rPr>
        <w:br w:type="page"/>
      </w:r>
    </w:p>
    <w:p>
      <w:pPr>
        <w:pStyle w:val="11"/>
        <w:rPr>
          <w:rFonts w:asciiTheme="minorEastAsia" w:hAnsiTheme="minorEastAsia" w:eastAsiaTheme="minorEastAsia"/>
          <w:sz w:val="32"/>
          <w:szCs w:val="32"/>
        </w:rPr>
      </w:pPr>
    </w:p>
    <w:p>
      <w:pPr>
        <w:pStyle w:val="11"/>
        <w:rPr>
          <w:rFonts w:hAnsi="黑体"/>
          <w:b w:val="0"/>
          <w:bCs/>
          <w:sz w:val="32"/>
          <w:szCs w:val="32"/>
        </w:rPr>
      </w:pPr>
      <w:r>
        <w:rPr>
          <w:rFonts w:hint="eastAsia" w:hAnsi="黑体"/>
          <w:b w:val="0"/>
          <w:bCs/>
          <w:sz w:val="32"/>
          <w:szCs w:val="32"/>
        </w:rPr>
        <w:t>一、收入支出决算总体情况说明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 年度收、支总计</w:t>
      </w:r>
      <w:r>
        <w:rPr>
          <w:rFonts w:hint="eastAsia" w:asciiTheme="minorEastAsia" w:hAnsiTheme="minorEastAsia" w:eastAsiaTheme="minorEastAsia"/>
          <w:sz w:val="32"/>
          <w:szCs w:val="32"/>
          <w:lang w:val="en-US" w:eastAsia="zh-CN"/>
        </w:rPr>
        <w:t>157.83</w:t>
      </w:r>
      <w:r>
        <w:rPr>
          <w:rFonts w:hint="eastAsia" w:asciiTheme="minorEastAsia" w:hAnsiTheme="minorEastAsia" w:eastAsiaTheme="minorEastAsia"/>
          <w:sz w:val="32"/>
          <w:szCs w:val="32"/>
        </w:rPr>
        <w:t>万元。与2018年相比</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val="en-US" w:eastAsia="zh-CN"/>
        </w:rPr>
        <w:t>17.3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%，主要是因为</w:t>
      </w:r>
      <w:r>
        <w:rPr>
          <w:rFonts w:hint="eastAsia" w:asciiTheme="minorEastAsia" w:hAnsiTheme="minorEastAsia" w:cstheme="minorEastAsia"/>
          <w:sz w:val="32"/>
          <w:szCs w:val="32"/>
          <w:lang w:eastAsia="zh-CN"/>
        </w:rPr>
        <w:t>人员后期调整减少开支。</w:t>
      </w:r>
    </w:p>
    <w:p>
      <w:pPr>
        <w:pStyle w:val="11"/>
        <w:rPr>
          <w:rFonts w:hAnsi="黑体"/>
          <w:b w:val="0"/>
          <w:bCs/>
          <w:sz w:val="32"/>
          <w:szCs w:val="32"/>
        </w:rPr>
      </w:pPr>
      <w:r>
        <w:rPr>
          <w:rFonts w:hint="eastAsia" w:hAnsi="黑体"/>
          <w:b w:val="0"/>
          <w:bCs/>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157.83</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107.83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68</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18.00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32.00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w:t>
      </w:r>
    </w:p>
    <w:p>
      <w:pPr>
        <w:pStyle w:val="11"/>
        <w:rPr>
          <w:rFonts w:hAnsi="黑体"/>
          <w:b w:val="0"/>
          <w:bCs/>
          <w:sz w:val="32"/>
          <w:szCs w:val="32"/>
        </w:rPr>
      </w:pPr>
      <w:r>
        <w:rPr>
          <w:rFonts w:hint="eastAsia" w:hAnsi="黑体"/>
          <w:b w:val="0"/>
          <w:bCs/>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157.83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157.83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val="0"/>
          <w:bCs/>
          <w:sz w:val="32"/>
          <w:szCs w:val="32"/>
        </w:rPr>
      </w:pPr>
      <w:r>
        <w:rPr>
          <w:rFonts w:hint="eastAsia" w:hAnsi="黑体"/>
          <w:b w:val="0"/>
          <w:bCs/>
          <w:sz w:val="32"/>
          <w:szCs w:val="32"/>
        </w:rPr>
        <w:t>四、财政拨款收入支出决算总体情况说明</w:t>
      </w:r>
    </w:p>
    <w:p>
      <w:pPr>
        <w:widowControl/>
        <w:spacing w:line="600" w:lineRule="exact"/>
        <w:ind w:firstLine="627" w:firstLineChars="196"/>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本年财政拨款收入支出总计</w:t>
      </w:r>
      <w:r>
        <w:rPr>
          <w:rFonts w:hint="eastAsia" w:asciiTheme="minorEastAsia" w:hAnsiTheme="minorEastAsia" w:cstheme="minorEastAsia"/>
          <w:kern w:val="0"/>
          <w:sz w:val="32"/>
          <w:szCs w:val="32"/>
          <w:lang w:val="en-US" w:eastAsia="zh-CN"/>
        </w:rPr>
        <w:t>107.83</w:t>
      </w:r>
      <w:r>
        <w:rPr>
          <w:rFonts w:hint="eastAsia" w:asciiTheme="minorEastAsia" w:hAnsiTheme="minorEastAsia" w:eastAsiaTheme="minorEastAsia" w:cstheme="minorEastAsia"/>
          <w:kern w:val="0"/>
          <w:sz w:val="32"/>
          <w:szCs w:val="32"/>
        </w:rPr>
        <w:t>万元，与上年决算数比较</w:t>
      </w:r>
      <w:r>
        <w:rPr>
          <w:rFonts w:hint="eastAsia" w:asciiTheme="minorEastAsia" w:hAnsiTheme="minorEastAsia" w:cstheme="minorEastAsia"/>
          <w:kern w:val="0"/>
          <w:sz w:val="32"/>
          <w:szCs w:val="32"/>
          <w:lang w:eastAsia="zh-CN"/>
        </w:rPr>
        <w:t>减少</w:t>
      </w:r>
      <w:r>
        <w:rPr>
          <w:rFonts w:hint="eastAsia" w:asciiTheme="minorEastAsia" w:hAnsiTheme="minorEastAsia" w:cstheme="minorEastAsia"/>
          <w:kern w:val="0"/>
          <w:sz w:val="32"/>
          <w:szCs w:val="32"/>
          <w:lang w:val="en-US" w:eastAsia="zh-CN"/>
        </w:rPr>
        <w:t>18.5</w:t>
      </w:r>
      <w:r>
        <w:rPr>
          <w:rFonts w:hint="eastAsia" w:asciiTheme="minorEastAsia" w:hAnsiTheme="minorEastAsia" w:eastAsiaTheme="minorEastAsia" w:cstheme="minorEastAsia"/>
          <w:kern w:val="0"/>
          <w:sz w:val="32"/>
          <w:szCs w:val="32"/>
        </w:rPr>
        <w:t>万元，占比</w:t>
      </w:r>
      <w:r>
        <w:rPr>
          <w:rFonts w:hint="eastAsia" w:asciiTheme="minorEastAsia" w:hAnsiTheme="minorEastAsia" w:cstheme="minorEastAsia"/>
          <w:kern w:val="0"/>
          <w:sz w:val="32"/>
          <w:szCs w:val="32"/>
          <w:lang w:val="en-US" w:eastAsia="zh-CN"/>
        </w:rPr>
        <w:t>15</w:t>
      </w:r>
      <w:r>
        <w:rPr>
          <w:rFonts w:hint="eastAsia" w:asciiTheme="minorEastAsia" w:hAnsiTheme="minorEastAsia" w:eastAsiaTheme="minorEastAsia" w:cstheme="minorEastAsia"/>
          <w:kern w:val="0"/>
          <w:sz w:val="32"/>
          <w:szCs w:val="32"/>
        </w:rPr>
        <w:t>%，原因分析如下：</w:t>
      </w:r>
    </w:p>
    <w:p>
      <w:pPr>
        <w:pStyle w:val="11"/>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sz w:val="32"/>
          <w:szCs w:val="32"/>
        </w:rPr>
        <w:t>原因</w:t>
      </w:r>
      <w:r>
        <w:rPr>
          <w:rFonts w:hint="eastAsia" w:asciiTheme="minorEastAsia" w:hAnsiTheme="minorEastAsia" w:cstheme="minorEastAsia"/>
          <w:sz w:val="32"/>
          <w:szCs w:val="32"/>
          <w:lang w:eastAsia="zh-CN"/>
        </w:rPr>
        <w:t>人员后期调整减少开支</w:t>
      </w:r>
      <w:r>
        <w:rPr>
          <w:rFonts w:hint="eastAsia" w:asciiTheme="minorEastAsia" w:hAnsiTheme="minorEastAsia" w:eastAsiaTheme="minorEastAsia" w:cstheme="minorEastAsia"/>
          <w:kern w:val="0"/>
          <w:sz w:val="32"/>
          <w:szCs w:val="32"/>
        </w:rPr>
        <w:t>(财政拨款收、支总计与上年决算数比较)</w:t>
      </w:r>
    </w:p>
    <w:p>
      <w:pPr>
        <w:pStyle w:val="11"/>
        <w:rPr>
          <w:rFonts w:hAnsi="黑体"/>
          <w:b w:val="0"/>
          <w:bCs/>
          <w:sz w:val="32"/>
          <w:szCs w:val="32"/>
        </w:rPr>
      </w:pPr>
      <w:r>
        <w:rPr>
          <w:rFonts w:hint="eastAsia" w:hAnsi="黑体"/>
          <w:b w:val="0"/>
          <w:bCs/>
          <w:sz w:val="32"/>
          <w:szCs w:val="32"/>
        </w:rPr>
        <w:t>五、一般公共预算财政拨款支出决算情况说明</w:t>
      </w:r>
    </w:p>
    <w:p>
      <w:pPr>
        <w:pStyle w:val="11"/>
        <w:ind w:firstLine="640" w:firstLineChars="200"/>
        <w:rPr>
          <w:rFonts w:asciiTheme="minorEastAsia" w:hAnsiTheme="minorEastAsia" w:eastAsiaTheme="minorEastAsia"/>
          <w:b w:val="0"/>
          <w:bCs/>
          <w:sz w:val="32"/>
          <w:szCs w:val="32"/>
        </w:rPr>
      </w:pPr>
      <w:r>
        <w:rPr>
          <w:rFonts w:hint="eastAsia" w:asciiTheme="minorEastAsia" w:hAnsiTheme="minorEastAsia" w:eastAsiaTheme="minorEastAsia"/>
          <w:b w:val="0"/>
          <w:bCs/>
          <w:sz w:val="32"/>
          <w:szCs w:val="32"/>
        </w:rPr>
        <w:t>（一）财政拨款支出决算总体情况</w:t>
      </w:r>
    </w:p>
    <w:p>
      <w:pPr>
        <w:widowControl/>
        <w:spacing w:line="600" w:lineRule="exact"/>
        <w:ind w:firstLine="627" w:firstLineChars="196"/>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本年财政拨款收入支出总计</w:t>
      </w:r>
      <w:r>
        <w:rPr>
          <w:rFonts w:hint="eastAsia" w:asciiTheme="minorEastAsia" w:hAnsiTheme="minorEastAsia" w:cstheme="minorEastAsia"/>
          <w:kern w:val="0"/>
          <w:sz w:val="32"/>
          <w:szCs w:val="32"/>
          <w:lang w:val="en-US" w:eastAsia="zh-CN"/>
        </w:rPr>
        <w:t>107.83</w:t>
      </w:r>
      <w:r>
        <w:rPr>
          <w:rFonts w:hint="eastAsia" w:asciiTheme="minorEastAsia" w:hAnsiTheme="minorEastAsia" w:eastAsiaTheme="minorEastAsia" w:cstheme="minorEastAsia"/>
          <w:kern w:val="0"/>
          <w:sz w:val="32"/>
          <w:szCs w:val="32"/>
        </w:rPr>
        <w:t>万元，与上年决算数比较</w:t>
      </w:r>
      <w:r>
        <w:rPr>
          <w:rFonts w:hint="eastAsia" w:asciiTheme="minorEastAsia" w:hAnsiTheme="minorEastAsia" w:cstheme="minorEastAsia"/>
          <w:kern w:val="0"/>
          <w:sz w:val="32"/>
          <w:szCs w:val="32"/>
          <w:lang w:eastAsia="zh-CN"/>
        </w:rPr>
        <w:t>减少</w:t>
      </w:r>
      <w:r>
        <w:rPr>
          <w:rFonts w:hint="eastAsia" w:asciiTheme="minorEastAsia" w:hAnsiTheme="minorEastAsia" w:cstheme="minorEastAsia"/>
          <w:kern w:val="0"/>
          <w:sz w:val="32"/>
          <w:szCs w:val="32"/>
          <w:lang w:val="en-US" w:eastAsia="zh-CN"/>
        </w:rPr>
        <w:t>18.5</w:t>
      </w:r>
      <w:r>
        <w:rPr>
          <w:rFonts w:hint="eastAsia" w:asciiTheme="minorEastAsia" w:hAnsiTheme="minorEastAsia" w:eastAsiaTheme="minorEastAsia" w:cstheme="minorEastAsia"/>
          <w:kern w:val="0"/>
          <w:sz w:val="32"/>
          <w:szCs w:val="32"/>
        </w:rPr>
        <w:t>万元，占比</w:t>
      </w:r>
      <w:r>
        <w:rPr>
          <w:rFonts w:hint="eastAsia" w:asciiTheme="minorEastAsia" w:hAnsiTheme="minorEastAsia" w:cstheme="minorEastAsia"/>
          <w:kern w:val="0"/>
          <w:sz w:val="32"/>
          <w:szCs w:val="32"/>
          <w:lang w:val="en-US" w:eastAsia="zh-CN"/>
        </w:rPr>
        <w:t>15</w:t>
      </w:r>
      <w:r>
        <w:rPr>
          <w:rFonts w:hint="eastAsia" w:asciiTheme="minorEastAsia" w:hAnsiTheme="minorEastAsia" w:eastAsiaTheme="minorEastAsia" w:cstheme="minorEastAsia"/>
          <w:kern w:val="0"/>
          <w:sz w:val="32"/>
          <w:szCs w:val="32"/>
        </w:rPr>
        <w:t>%，原因分析如下：</w:t>
      </w:r>
    </w:p>
    <w:p>
      <w:pPr>
        <w:pStyle w:val="11"/>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sz w:val="32"/>
          <w:szCs w:val="32"/>
        </w:rPr>
        <w:t>原因</w:t>
      </w:r>
      <w:r>
        <w:rPr>
          <w:rFonts w:hint="eastAsia" w:asciiTheme="minorEastAsia" w:hAnsiTheme="minorEastAsia" w:cstheme="minorEastAsia"/>
          <w:sz w:val="32"/>
          <w:szCs w:val="32"/>
          <w:lang w:eastAsia="zh-CN"/>
        </w:rPr>
        <w:t>人员后期调整减少开支</w:t>
      </w:r>
      <w:r>
        <w:rPr>
          <w:rFonts w:hint="eastAsia" w:asciiTheme="minorEastAsia" w:hAnsiTheme="minorEastAsia" w:eastAsiaTheme="minorEastAsia" w:cstheme="minorEastAsia"/>
          <w:kern w:val="0"/>
          <w:sz w:val="32"/>
          <w:szCs w:val="32"/>
        </w:rPr>
        <w:t>(财政拨款收、支总计与上年决算数比较)</w:t>
      </w:r>
    </w:p>
    <w:p>
      <w:pPr>
        <w:pStyle w:val="11"/>
        <w:ind w:firstLine="480" w:firstLineChars="150"/>
        <w:rPr>
          <w:rFonts w:asciiTheme="minorEastAsia" w:hAnsiTheme="minorEastAsia" w:eastAsiaTheme="minorEastAsia"/>
          <w:b w:val="0"/>
          <w:bCs/>
          <w:sz w:val="32"/>
          <w:szCs w:val="32"/>
        </w:rPr>
      </w:pPr>
      <w:r>
        <w:rPr>
          <w:rFonts w:hint="eastAsia" w:asciiTheme="minorEastAsia" w:hAnsiTheme="minorEastAsia" w:eastAsiaTheme="minorEastAsia"/>
          <w:b w:val="0"/>
          <w:bCs/>
          <w:sz w:val="32"/>
          <w:szCs w:val="32"/>
        </w:rPr>
        <w:t>（二）财政拨款支出决算结构情况</w:t>
      </w:r>
    </w:p>
    <w:p>
      <w:pPr>
        <w:widowControl/>
        <w:spacing w:line="600" w:lineRule="exact"/>
        <w:ind w:firstLine="627" w:firstLineChars="196"/>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107.83</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102.72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住房保障</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5.11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sz w:val="32"/>
          <w:szCs w:val="32"/>
          <w:lang w:eastAsia="zh-CN"/>
        </w:rPr>
        <w:t>。</w:t>
      </w:r>
    </w:p>
    <w:p>
      <w:pPr>
        <w:pStyle w:val="11"/>
        <w:ind w:firstLine="640" w:firstLineChars="200"/>
        <w:rPr>
          <w:rFonts w:asciiTheme="minorEastAsia" w:hAnsiTheme="minorEastAsia" w:eastAsiaTheme="minorEastAsia"/>
          <w:b w:val="0"/>
          <w:bCs/>
          <w:sz w:val="32"/>
          <w:szCs w:val="32"/>
        </w:rPr>
      </w:pPr>
      <w:r>
        <w:rPr>
          <w:rFonts w:hint="eastAsia" w:asciiTheme="minorEastAsia" w:hAnsiTheme="minorEastAsia" w:eastAsiaTheme="minorEastAsia"/>
          <w:b w:val="0"/>
          <w:bCs/>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2019年度财政拨款支出年初预算数为</w:t>
      </w:r>
      <w:r>
        <w:rPr>
          <w:rFonts w:hint="eastAsia" w:asciiTheme="minorEastAsia" w:hAnsiTheme="minorEastAsia" w:eastAsiaTheme="minorEastAsia"/>
          <w:sz w:val="32"/>
          <w:szCs w:val="32"/>
          <w:lang w:val="en-US" w:eastAsia="zh-CN"/>
        </w:rPr>
        <w:t>99.7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107.83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民政管理事务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45.38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57.26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126</w:t>
      </w:r>
      <w:r>
        <w:rPr>
          <w:rFonts w:hint="eastAsia" w:asciiTheme="minorEastAsia" w:hAnsiTheme="minorEastAsia" w:eastAsiaTheme="minorEastAsia"/>
          <w:sz w:val="32"/>
          <w:szCs w:val="32"/>
        </w:rPr>
        <w:t>%，决算数大于（小于）年初预算数的主要原因是：</w:t>
      </w:r>
      <w:r>
        <w:rPr>
          <w:rFonts w:hint="eastAsia" w:asciiTheme="minorEastAsia" w:hAnsiTheme="minorEastAsia" w:eastAsiaTheme="minorEastAsia"/>
          <w:sz w:val="32"/>
          <w:szCs w:val="32"/>
          <w:lang w:eastAsia="zh-CN"/>
        </w:rPr>
        <w:t>人员经费增加。</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行政事业单位离退休</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机关事业单位基本养老保险缴费支出</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7.56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7.26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96</w:t>
      </w:r>
      <w:r>
        <w:rPr>
          <w:rFonts w:hint="eastAsia" w:asciiTheme="minorEastAsia" w:hAnsiTheme="minorEastAsia" w:eastAsiaTheme="minorEastAsia"/>
          <w:sz w:val="32"/>
          <w:szCs w:val="32"/>
        </w:rPr>
        <w:t>%，决算数大于（小于）年初预算数的主要原因是：</w:t>
      </w:r>
      <w:r>
        <w:rPr>
          <w:rFonts w:hint="eastAsia" w:asciiTheme="minorEastAsia" w:hAnsiTheme="minorEastAsia" w:eastAsiaTheme="minorEastAsia"/>
          <w:sz w:val="32"/>
          <w:szCs w:val="32"/>
          <w:lang w:eastAsia="zh-CN"/>
        </w:rPr>
        <w:t>人员减少。</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社会福利（款）社会福利事业单位支出</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44.49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85</w:t>
      </w:r>
      <w:r>
        <w:rPr>
          <w:rFonts w:hint="eastAsia" w:asciiTheme="minorEastAsia" w:hAnsiTheme="minorEastAsia" w:eastAsiaTheme="minorEastAsia"/>
          <w:sz w:val="32"/>
          <w:szCs w:val="32"/>
        </w:rPr>
        <w:t>%，决算数大于（小于）年初预算数的主要原因是：</w:t>
      </w:r>
      <w:r>
        <w:rPr>
          <w:rFonts w:hint="eastAsia" w:asciiTheme="minorEastAsia" w:hAnsiTheme="minorEastAsia" w:eastAsiaTheme="minorEastAsia"/>
          <w:sz w:val="32"/>
          <w:szCs w:val="32"/>
          <w:lang w:eastAsia="zh-CN"/>
        </w:rPr>
        <w:t>正常浮动。</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住房改革支出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住房公积金</w:t>
      </w:r>
      <w:r>
        <w:rPr>
          <w:rFonts w:hint="eastAsia" w:asciiTheme="minorEastAsia" w:hAnsiTheme="minorEastAsia" w:eastAsiaTheme="minorEastAsia"/>
          <w:sz w:val="32"/>
          <w:szCs w:val="32"/>
        </w:rPr>
        <w:t>（项）。</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2.27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5.11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225</w:t>
      </w:r>
      <w:r>
        <w:rPr>
          <w:rFonts w:hint="eastAsia" w:asciiTheme="minorEastAsia" w:hAnsiTheme="minorEastAsia" w:eastAsiaTheme="minorEastAsia"/>
          <w:sz w:val="32"/>
          <w:szCs w:val="32"/>
        </w:rPr>
        <w:t>%，决算数大于（小于）年初预算数的主要原因是：</w:t>
      </w:r>
      <w:r>
        <w:rPr>
          <w:rFonts w:hint="eastAsia" w:asciiTheme="minorEastAsia" w:hAnsiTheme="minorEastAsia" w:eastAsiaTheme="minorEastAsia"/>
          <w:sz w:val="32"/>
          <w:szCs w:val="32"/>
          <w:lang w:eastAsia="zh-CN"/>
        </w:rPr>
        <w:t>单位补足</w:t>
      </w:r>
      <w:r>
        <w:rPr>
          <w:rFonts w:hint="eastAsia" w:asciiTheme="minorEastAsia" w:hAnsiTheme="minorEastAsia" w:eastAsiaTheme="minorEastAsia"/>
          <w:sz w:val="32"/>
          <w:szCs w:val="32"/>
          <w:lang w:val="en-US" w:eastAsia="zh-CN"/>
        </w:rPr>
        <w:t>6%。</w:t>
      </w:r>
    </w:p>
    <w:p>
      <w:pPr>
        <w:pStyle w:val="11"/>
        <w:rPr>
          <w:rFonts w:hAnsi="黑体"/>
          <w:b w:val="0"/>
          <w:bCs/>
          <w:sz w:val="32"/>
          <w:szCs w:val="32"/>
        </w:rPr>
      </w:pPr>
      <w:r>
        <w:rPr>
          <w:rFonts w:hint="eastAsia" w:hAnsi="黑体"/>
          <w:b w:val="0"/>
          <w:bCs/>
          <w:sz w:val="32"/>
          <w:szCs w:val="32"/>
        </w:rPr>
        <w:t>六、一般公共预算财政拨款基本支出决算情况说明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107.83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87.86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82</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19.97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%，主要包括办公费、手续</w:t>
      </w:r>
      <w:r>
        <w:rPr>
          <w:rFonts w:hint="eastAsia" w:asciiTheme="minorEastAsia" w:hAnsiTheme="minorEastAsia" w:eastAsiaTheme="minorEastAsia"/>
          <w:sz w:val="32"/>
          <w:szCs w:val="32"/>
          <w:lang w:eastAsia="zh-CN"/>
        </w:rPr>
        <w:t>费等</w:t>
      </w:r>
      <w:r>
        <w:rPr>
          <w:rFonts w:hint="eastAsia" w:asciiTheme="minorEastAsia" w:hAnsiTheme="minorEastAsia" w:eastAsiaTheme="minorEastAsia"/>
          <w:sz w:val="32"/>
          <w:szCs w:val="32"/>
        </w:rPr>
        <w:t>。</w:t>
      </w:r>
    </w:p>
    <w:p>
      <w:pPr>
        <w:pStyle w:val="11"/>
        <w:rPr>
          <w:rFonts w:hAnsi="黑体"/>
          <w:b w:val="0"/>
          <w:bCs/>
          <w:sz w:val="32"/>
          <w:szCs w:val="32"/>
        </w:rPr>
      </w:pPr>
      <w:r>
        <w:rPr>
          <w:rFonts w:hint="eastAsia" w:hAnsi="黑体"/>
          <w:b w:val="0"/>
          <w:bCs/>
          <w:sz w:val="32"/>
          <w:szCs w:val="32"/>
        </w:rPr>
        <w:t>七、一般公共预算财政拨款三公经费支出决算情况说明</w:t>
      </w:r>
    </w:p>
    <w:p>
      <w:pPr>
        <w:pStyle w:val="11"/>
        <w:ind w:firstLine="320" w:firstLineChars="100"/>
        <w:rPr>
          <w:rFonts w:asciiTheme="minorEastAsia" w:hAnsiTheme="minorEastAsia" w:eastAsiaTheme="minorEastAsia"/>
          <w:b w:val="0"/>
          <w:bCs/>
          <w:sz w:val="32"/>
          <w:szCs w:val="32"/>
        </w:rPr>
      </w:pPr>
      <w:r>
        <w:rPr>
          <w:rFonts w:hint="eastAsia" w:asciiTheme="minorEastAsia" w:hAnsiTheme="minorEastAsia" w:eastAsiaTheme="minorEastAsia"/>
          <w:b w:val="0"/>
          <w:bCs/>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0.12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0.12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开支缩减</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的主要原因是</w:t>
      </w:r>
      <w:r>
        <w:rPr>
          <w:rFonts w:hint="eastAsia" w:asciiTheme="minorEastAsia" w:hAnsiTheme="minorEastAsia" w:cstheme="minorEastAsia"/>
          <w:sz w:val="32"/>
          <w:szCs w:val="32"/>
          <w:lang w:val="en-US" w:eastAsia="zh-CN"/>
        </w:rPr>
        <w:t>为正常缩减“三公”经费开支</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320" w:firstLineChars="100"/>
        <w:rPr>
          <w:rFonts w:asciiTheme="minorEastAsia" w:hAnsiTheme="minorEastAsia" w:eastAsiaTheme="minorEastAsia"/>
          <w:b w:val="0"/>
          <w:bCs/>
          <w:sz w:val="32"/>
          <w:szCs w:val="32"/>
        </w:rPr>
      </w:pPr>
      <w:r>
        <w:rPr>
          <w:rFonts w:hint="eastAsia" w:asciiTheme="minorEastAsia" w:hAnsiTheme="minorEastAsia" w:eastAsiaTheme="minorEastAsia"/>
          <w:b w:val="0"/>
          <w:bCs/>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0.12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0.12</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正常业务往来</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0</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0</w:t>
      </w:r>
      <w:r>
        <w:rPr>
          <w:rFonts w:hint="eastAsia" w:asciiTheme="minorEastAsia" w:hAnsiTheme="minorEastAsia"/>
          <w:sz w:val="32"/>
          <w:szCs w:val="32"/>
        </w:rPr>
        <w:t>截止2019年12月31日，我单位开支财政拨款的公务用车保有量为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1"/>
        <w:rPr>
          <w:rFonts w:hAnsi="黑体"/>
          <w:b w:val="0"/>
          <w:bCs/>
          <w:sz w:val="32"/>
          <w:szCs w:val="32"/>
        </w:rPr>
      </w:pPr>
      <w:r>
        <w:rPr>
          <w:rFonts w:hint="eastAsia" w:hAnsi="黑体"/>
          <w:b w:val="0"/>
          <w:bCs/>
          <w:sz w:val="32"/>
          <w:szCs w:val="32"/>
        </w:rPr>
        <w:t>八、政府性基金预算收入支出决算情况</w:t>
      </w:r>
    </w:p>
    <w:p>
      <w:pPr>
        <w:widowControl/>
        <w:spacing w:line="600" w:lineRule="exact"/>
        <w:ind w:firstLine="640" w:firstLineChars="200"/>
        <w:rPr>
          <w:rFonts w:ascii="Times New Roman" w:hAnsi="Times New Roman" w:eastAsia="仿宋_GB2312" w:cs="Times New Roman"/>
          <w:b/>
          <w:bCs w:val="0"/>
          <w:kern w:val="0"/>
          <w:sz w:val="32"/>
          <w:szCs w:val="32"/>
        </w:rPr>
      </w:pPr>
      <w:r>
        <w:rPr>
          <w:rFonts w:hint="eastAsia" w:asciiTheme="minorEastAsia" w:hAnsiTheme="minorEastAsia" w:eastAsiaTheme="minorEastAsia"/>
          <w:b w:val="0"/>
          <w:bCs/>
          <w:sz w:val="32"/>
          <w:szCs w:val="32"/>
        </w:rPr>
        <w:t xml:space="preserve">   </w:t>
      </w:r>
      <w:r>
        <w:rPr>
          <w:rFonts w:hint="eastAsia" w:asciiTheme="minorEastAsia" w:hAnsiTheme="minorEastAsia" w:eastAsiaTheme="minorEastAsia"/>
          <w:b/>
          <w:bCs w:val="0"/>
          <w:sz w:val="32"/>
          <w:szCs w:val="32"/>
        </w:rPr>
        <w:t xml:space="preserve"> </w:t>
      </w:r>
      <w:r>
        <w:rPr>
          <w:rFonts w:hint="eastAsia" w:asciiTheme="minorEastAsia" w:hAnsiTheme="minorEastAsia" w:eastAsiaTheme="minorEastAsia" w:cstheme="minorEastAsia"/>
          <w:b w:val="0"/>
          <w:bCs/>
          <w:kern w:val="0"/>
          <w:sz w:val="32"/>
          <w:szCs w:val="32"/>
        </w:rPr>
        <w:t>本单位无政府性基金收支</w:t>
      </w:r>
    </w:p>
    <w:p>
      <w:pPr>
        <w:pStyle w:val="11"/>
        <w:rPr>
          <w:rFonts w:hAnsi="黑体"/>
          <w:b w:val="0"/>
          <w:bCs/>
          <w:sz w:val="32"/>
          <w:szCs w:val="32"/>
        </w:rPr>
      </w:pPr>
      <w:r>
        <w:rPr>
          <w:rFonts w:hint="eastAsia" w:hAnsi="黑体"/>
          <w:b w:val="0"/>
          <w:bCs/>
          <w:sz w:val="32"/>
          <w:szCs w:val="32"/>
        </w:rPr>
        <w:t>九、关于2019年度预算绩效情况说明</w:t>
      </w:r>
    </w:p>
    <w:p>
      <w:pPr>
        <w:pStyle w:val="11"/>
        <w:ind w:firstLine="800" w:firstLineChars="250"/>
        <w:rPr>
          <w:rFonts w:ascii="仿宋_GB2312" w:eastAsia="仿宋_GB2312"/>
          <w:kern w:val="0"/>
          <w:sz w:val="32"/>
          <w:szCs w:val="32"/>
        </w:rPr>
      </w:pPr>
      <w:r>
        <w:rPr>
          <w:rFonts w:hint="eastAsia" w:asciiTheme="minorEastAsia" w:hAnsiTheme="minorEastAsia" w:eastAsiaTheme="minorEastAsia" w:cstheme="minorEastAsia"/>
          <w:kern w:val="0"/>
          <w:sz w:val="32"/>
          <w:szCs w:val="32"/>
        </w:rPr>
        <w:t>从整体情况来看，</w:t>
      </w:r>
      <w:r>
        <w:rPr>
          <w:rFonts w:hint="eastAsia" w:asciiTheme="minorEastAsia" w:hAnsiTheme="minorEastAsia" w:cstheme="minorEastAsia"/>
          <w:kern w:val="0"/>
          <w:sz w:val="32"/>
          <w:szCs w:val="32"/>
          <w:lang w:eastAsia="zh-CN"/>
        </w:rPr>
        <w:t>我院</w:t>
      </w:r>
      <w:r>
        <w:rPr>
          <w:rFonts w:hint="eastAsia" w:asciiTheme="minorEastAsia" w:hAnsiTheme="minorEastAsia" w:eastAsiaTheme="minorEastAsia" w:cstheme="minorEastAsia"/>
          <w:kern w:val="0"/>
          <w:sz w:val="32"/>
          <w:szCs w:val="32"/>
        </w:rPr>
        <w:t>严格按照年初预算使用经费。在支出过程中，能严格遵守各项规章制度，严格落实《预算法》及省、市绩效管理工作的有关规定，进一步规范财政资金的管理，强化财政支出绩效理念，提升部门责任意识，提高资金使用效益，促进了</w:t>
      </w:r>
      <w:r>
        <w:rPr>
          <w:rFonts w:hint="eastAsia" w:asciiTheme="minorEastAsia" w:hAnsiTheme="minorEastAsia" w:cstheme="minorEastAsia"/>
          <w:kern w:val="0"/>
          <w:sz w:val="32"/>
          <w:szCs w:val="32"/>
          <w:lang w:eastAsia="zh-CN"/>
        </w:rPr>
        <w:t>社会福利</w:t>
      </w:r>
      <w:r>
        <w:rPr>
          <w:rFonts w:hint="eastAsia" w:asciiTheme="minorEastAsia" w:hAnsiTheme="minorEastAsia" w:eastAsiaTheme="minorEastAsia" w:cstheme="minorEastAsia"/>
          <w:kern w:val="0"/>
          <w:sz w:val="32"/>
          <w:szCs w:val="32"/>
        </w:rPr>
        <w:t>事业的发展。</w:t>
      </w:r>
      <w:r>
        <w:rPr>
          <w:rFonts w:hint="eastAsia" w:asciiTheme="minorEastAsia" w:hAnsiTheme="minorEastAsia" w:eastAsiaTheme="minorEastAsia"/>
          <w:sz w:val="32"/>
          <w:szCs w:val="32"/>
        </w:rPr>
        <w:t>（按照财政绩效部门要求已公开或其他有关部门要求需随同部门决算一同公开的绩效信息，请作为附件公开）</w:t>
      </w:r>
    </w:p>
    <w:p>
      <w:pPr>
        <w:pStyle w:val="11"/>
        <w:rPr>
          <w:rFonts w:hAnsi="黑体"/>
          <w:b w:val="0"/>
          <w:bCs/>
          <w:sz w:val="32"/>
          <w:szCs w:val="32"/>
        </w:rPr>
      </w:pPr>
      <w:r>
        <w:rPr>
          <w:rFonts w:hint="eastAsia" w:hAnsi="黑体"/>
          <w:b w:val="0"/>
          <w:bCs/>
          <w:sz w:val="32"/>
          <w:szCs w:val="32"/>
        </w:rPr>
        <w:t>十、其他重要事项情况说明</w:t>
      </w:r>
    </w:p>
    <w:p>
      <w:pPr>
        <w:autoSpaceDE w:val="0"/>
        <w:autoSpaceDN w:val="0"/>
        <w:adjustRightInd w:val="0"/>
        <w:spacing w:line="60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val="0"/>
          <w:bCs/>
          <w:kern w:val="0"/>
          <w:sz w:val="32"/>
          <w:szCs w:val="32"/>
        </w:rPr>
        <w:t>（一）机关运行经费支出情况。</w:t>
      </w:r>
      <w:r>
        <w:rPr>
          <w:rFonts w:hint="eastAsia" w:asciiTheme="minorEastAsia" w:hAnsiTheme="minorEastAsia" w:eastAsiaTheme="minorEastAsia" w:cstheme="minorEastAsia"/>
          <w:kern w:val="0"/>
          <w:sz w:val="32"/>
          <w:szCs w:val="32"/>
        </w:rPr>
        <w:t>本部门201</w:t>
      </w:r>
      <w:r>
        <w:rPr>
          <w:rFonts w:hint="eastAsia" w:asciiTheme="minorEastAsia" w:hAnsiTheme="minorEastAsia" w:cstheme="minorEastAsia"/>
          <w:kern w:val="0"/>
          <w:sz w:val="32"/>
          <w:szCs w:val="32"/>
          <w:lang w:val="en-US" w:eastAsia="zh-CN"/>
        </w:rPr>
        <w:t>9</w:t>
      </w:r>
      <w:r>
        <w:rPr>
          <w:rFonts w:hint="eastAsia" w:asciiTheme="minorEastAsia" w:hAnsiTheme="minorEastAsia" w:eastAsiaTheme="minorEastAsia" w:cstheme="minorEastAsia"/>
          <w:kern w:val="0"/>
          <w:sz w:val="32"/>
          <w:szCs w:val="32"/>
        </w:rPr>
        <w:t>年度机关运行经费支出</w:t>
      </w:r>
      <w:r>
        <w:rPr>
          <w:rFonts w:hint="eastAsia" w:asciiTheme="minorEastAsia" w:hAnsiTheme="minorEastAsia" w:cstheme="minorEastAsia"/>
          <w:kern w:val="0"/>
          <w:sz w:val="32"/>
          <w:szCs w:val="32"/>
          <w:lang w:val="en-US" w:eastAsia="zh-CN"/>
        </w:rPr>
        <w:t>8</w:t>
      </w:r>
      <w:r>
        <w:rPr>
          <w:rFonts w:hint="eastAsia" w:asciiTheme="minorEastAsia" w:hAnsiTheme="minorEastAsia" w:eastAsiaTheme="minorEastAsia" w:cstheme="minorEastAsia"/>
          <w:kern w:val="0"/>
          <w:sz w:val="32"/>
          <w:szCs w:val="32"/>
        </w:rPr>
        <w:t>万元，</w:t>
      </w:r>
      <w:r>
        <w:rPr>
          <w:rFonts w:hint="eastAsia" w:asciiTheme="minorEastAsia" w:hAnsiTheme="minorEastAsia" w:cstheme="minorEastAsia"/>
          <w:kern w:val="0"/>
          <w:sz w:val="32"/>
          <w:szCs w:val="32"/>
          <w:lang w:eastAsia="zh-CN"/>
        </w:rPr>
        <w:t>同比年初预算无增长</w:t>
      </w:r>
      <w:r>
        <w:rPr>
          <w:rFonts w:hint="eastAsia" w:asciiTheme="minorEastAsia" w:hAnsiTheme="minorEastAsia" w:eastAsiaTheme="minorEastAsia" w:cstheme="minorEastAsia"/>
          <w:kern w:val="0"/>
          <w:sz w:val="32"/>
          <w:szCs w:val="32"/>
        </w:rPr>
        <w:t>。</w:t>
      </w:r>
    </w:p>
    <w:p>
      <w:pPr>
        <w:ind w:firstLine="640" w:firstLineChars="200"/>
        <w:rPr>
          <w:rFonts w:hint="eastAsia" w:cs="黑体" w:asciiTheme="minorEastAsia" w:hAnsiTheme="minorEastAsia" w:eastAsiaTheme="minorEastAsia"/>
          <w:color w:val="000000"/>
          <w:kern w:val="0"/>
          <w:sz w:val="32"/>
          <w:szCs w:val="32"/>
          <w:lang w:val="en-US" w:eastAsia="zh-CN"/>
        </w:rPr>
      </w:pPr>
      <w:r>
        <w:rPr>
          <w:rFonts w:hint="eastAsia" w:cs="黑体" w:asciiTheme="minorEastAsia" w:hAnsiTheme="minorEastAsia"/>
          <w:b/>
          <w:color w:val="000000"/>
          <w:kern w:val="0"/>
          <w:sz w:val="32"/>
          <w:szCs w:val="32"/>
        </w:rPr>
        <w:t>（二）</w:t>
      </w:r>
      <w:r>
        <w:rPr>
          <w:rFonts w:hint="eastAsia" w:cs="黑体" w:asciiTheme="minorEastAsia" w:hAnsiTheme="minorEastAsia"/>
          <w:b w:val="0"/>
          <w:bCs/>
          <w:color w:val="000000"/>
          <w:kern w:val="0"/>
          <w:sz w:val="32"/>
          <w:szCs w:val="32"/>
        </w:rPr>
        <w:t>一般性支出情况</w:t>
      </w:r>
      <w:r>
        <w:rPr>
          <w:rFonts w:hint="eastAsia" w:cs="黑体" w:asciiTheme="minorEastAsia" w:hAnsiTheme="minorEastAsia"/>
          <w:b w:val="0"/>
          <w:bCs/>
          <w:color w:val="000000"/>
          <w:kern w:val="0"/>
          <w:sz w:val="32"/>
          <w:szCs w:val="32"/>
          <w:lang w:eastAsia="zh-CN"/>
        </w:rPr>
        <w:t>。</w:t>
      </w: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；开支培训费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w:t>
      </w:r>
    </w:p>
    <w:p>
      <w:pPr>
        <w:autoSpaceDE w:val="0"/>
        <w:autoSpaceDN w:val="0"/>
        <w:adjustRightInd w:val="0"/>
        <w:spacing w:line="600" w:lineRule="exact"/>
        <w:ind w:firstLine="640" w:firstLineChars="200"/>
        <w:rPr>
          <w:rFonts w:hint="eastAsia" w:cs="黑体" w:asciiTheme="minorEastAsia" w:hAnsiTheme="minorEastAsia"/>
          <w:color w:val="000000"/>
          <w:kern w:val="0"/>
          <w:sz w:val="32"/>
          <w:szCs w:val="32"/>
        </w:rPr>
      </w:pPr>
      <w:r>
        <w:rPr>
          <w:rFonts w:hint="eastAsia" w:asciiTheme="minorEastAsia" w:hAnsiTheme="minorEastAsia" w:eastAsiaTheme="minorEastAsia" w:cstheme="minorEastAsia"/>
          <w:kern w:val="0"/>
          <w:sz w:val="32"/>
          <w:szCs w:val="32"/>
        </w:rPr>
        <w:t>（二）政府采购支出情况。</w:t>
      </w: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%，其中：授予小微企业合同金额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w:t>
      </w:r>
    </w:p>
    <w:p>
      <w:pPr>
        <w:autoSpaceDE w:val="0"/>
        <w:autoSpaceDN w:val="0"/>
        <w:adjustRightInd w:val="0"/>
        <w:spacing w:line="600" w:lineRule="exact"/>
        <w:ind w:firstLine="640" w:firstLineChars="200"/>
        <w:rPr>
          <w:rFonts w:hint="eastAsia" w:asciiTheme="minorEastAsia" w:hAnsiTheme="minorEastAsia" w:eastAsiaTheme="minorEastAsia" w:cstheme="minorEastAsia"/>
          <w:kern w:val="0"/>
          <w:sz w:val="32"/>
          <w:szCs w:val="32"/>
        </w:rPr>
      </w:pPr>
      <w:bookmarkStart w:id="0" w:name="_GoBack"/>
      <w:bookmarkEnd w:id="0"/>
      <w:r>
        <w:rPr>
          <w:rFonts w:hint="eastAsia" w:asciiTheme="minorEastAsia" w:hAnsiTheme="minorEastAsia" w:eastAsiaTheme="minorEastAsia" w:cstheme="minorEastAsia"/>
          <w:kern w:val="0"/>
          <w:sz w:val="32"/>
          <w:szCs w:val="32"/>
        </w:rPr>
        <w:t>（三）国有资产占用情况。截至201</w:t>
      </w:r>
      <w:r>
        <w:rPr>
          <w:rFonts w:hint="eastAsia" w:asciiTheme="minorEastAsia" w:hAnsiTheme="minorEastAsia" w:cstheme="minorEastAsia"/>
          <w:kern w:val="0"/>
          <w:sz w:val="32"/>
          <w:szCs w:val="32"/>
          <w:lang w:val="en-US" w:eastAsia="zh-CN"/>
        </w:rPr>
        <w:t>9</w:t>
      </w:r>
      <w:r>
        <w:rPr>
          <w:rFonts w:hint="eastAsia" w:asciiTheme="minorEastAsia" w:hAnsiTheme="minorEastAsia" w:eastAsiaTheme="minorEastAsia" w:cstheme="minorEastAsia"/>
          <w:kern w:val="0"/>
          <w:sz w:val="32"/>
          <w:szCs w:val="32"/>
        </w:rPr>
        <w:t>年12 月31 日，我</w:t>
      </w:r>
      <w:r>
        <w:rPr>
          <w:rFonts w:hint="eastAsia" w:asciiTheme="minorEastAsia" w:hAnsiTheme="minorEastAsia" w:cstheme="minorEastAsia"/>
          <w:kern w:val="0"/>
          <w:sz w:val="32"/>
          <w:szCs w:val="32"/>
          <w:lang w:eastAsia="zh-CN"/>
        </w:rPr>
        <w:t>院</w:t>
      </w:r>
      <w:r>
        <w:rPr>
          <w:rFonts w:hint="eastAsia" w:asciiTheme="minorEastAsia" w:hAnsiTheme="minorEastAsia" w:eastAsiaTheme="minorEastAsia" w:cstheme="minorEastAsia"/>
          <w:kern w:val="0"/>
          <w:sz w:val="32"/>
          <w:szCs w:val="32"/>
        </w:rPr>
        <w:t>占有使用固定资产中，房屋构筑物6708.07平方米、2646235.59元</w:t>
      </w:r>
      <w:r>
        <w:rPr>
          <w:rFonts w:hint="eastAsia" w:asciiTheme="minorEastAsia" w:hAnsi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通用设备26.00个（台、辆等）、307801.00元</w:t>
      </w:r>
      <w:r>
        <w:rPr>
          <w:rFonts w:hint="eastAsia" w:asciiTheme="minorEastAsia" w:hAnsi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专用设备5.00个（台等）、140810.00元</w:t>
      </w:r>
      <w:r>
        <w:rPr>
          <w:rFonts w:hint="eastAsia" w:asciiTheme="minorEastAsia" w:hAnsi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家具、用具、装具及动植物230.00个（套等）、214441.00元。</w:t>
      </w:r>
    </w:p>
    <w:p>
      <w:pPr>
        <w:autoSpaceDE w:val="0"/>
        <w:autoSpaceDN w:val="0"/>
        <w:adjustRightInd w:val="0"/>
        <w:spacing w:line="600" w:lineRule="exact"/>
        <w:ind w:firstLine="800" w:firstLineChars="25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房屋构筑物中，办公用房6708.07平方米，业务用房0.00平方米，有证房屋占比100%。</w:t>
      </w:r>
    </w:p>
    <w:p>
      <w:pPr>
        <w:autoSpaceDE w:val="0"/>
        <w:autoSpaceDN w:val="0"/>
        <w:adjustRightInd w:val="0"/>
        <w:spacing w:line="600" w:lineRule="exact"/>
        <w:ind w:firstLine="800" w:firstLineChars="250"/>
        <w:rPr>
          <w:sz w:val="72"/>
          <w:szCs w:val="72"/>
        </w:rPr>
      </w:pPr>
      <w:r>
        <w:rPr>
          <w:rFonts w:hint="eastAsia" w:asciiTheme="minorEastAsia" w:hAnsiTheme="minorEastAsia" w:eastAsiaTheme="minorEastAsia" w:cstheme="minorEastAsia"/>
          <w:kern w:val="0"/>
          <w:sz w:val="32"/>
          <w:szCs w:val="32"/>
        </w:rPr>
        <w:t>我单位</w:t>
      </w:r>
      <w:r>
        <w:rPr>
          <w:rFonts w:hint="eastAsia" w:asciiTheme="minorEastAsia" w:hAnsiTheme="minorEastAsia" w:cstheme="minorEastAsia"/>
          <w:kern w:val="0"/>
          <w:sz w:val="32"/>
          <w:szCs w:val="32"/>
          <w:lang w:eastAsia="zh-CN"/>
        </w:rPr>
        <w:t>无车辆。</w:t>
      </w:r>
    </w:p>
    <w:p>
      <w:pPr>
        <w:pStyle w:val="11"/>
        <w:ind w:firstLine="640" w:firstLineChars="200"/>
        <w:jc w:val="both"/>
        <w:rPr>
          <w:rFonts w:cs="黑体" w:asciiTheme="minorEastAsia" w:hAnsiTheme="minorEastAsia"/>
          <w:color w:val="000000"/>
          <w:kern w:val="0"/>
          <w:sz w:val="32"/>
          <w:szCs w:val="32"/>
        </w:rPr>
      </w:pPr>
      <w:r>
        <w:rPr>
          <w:rFonts w:hint="eastAsia"/>
          <w:b/>
          <w:bCs/>
          <w:sz w:val="32"/>
          <w:szCs w:val="32"/>
        </w:rPr>
        <w:t>第四部分</w:t>
      </w:r>
      <w:r>
        <w:rPr>
          <w:rFonts w:hint="eastAsia"/>
          <w:b/>
          <w:bCs/>
          <w:sz w:val="32"/>
          <w:szCs w:val="32"/>
          <w:lang w:val="en-US" w:eastAsia="zh-CN"/>
        </w:rPr>
        <w:t xml:space="preserve"> </w:t>
      </w:r>
      <w:r>
        <w:rPr>
          <w:rFonts w:hint="eastAsia" w:ascii="黑体" w:eastAsia="黑体" w:cs="黑体"/>
          <w:b/>
          <w:bCs/>
          <w:color w:val="000000"/>
          <w:kern w:val="0"/>
          <w:sz w:val="32"/>
          <w:szCs w:val="32"/>
        </w:rPr>
        <w:t>名词解释</w:t>
      </w:r>
    </w:p>
    <w:p>
      <w:pPr>
        <w:pStyle w:val="5"/>
        <w:spacing w:before="105" w:beforeAutospacing="0" w:after="105" w:afterAutospacing="0" w:line="30" w:lineRule="atLeast"/>
        <w:ind w:firstLine="420"/>
        <w:textAlignment w:val="baseline"/>
        <w:rPr>
          <w:rFonts w:hint="eastAsia"/>
          <w:color w:val="000000"/>
          <w:sz w:val="28"/>
          <w:szCs w:val="28"/>
        </w:rPr>
      </w:pPr>
      <w:r>
        <w:rPr>
          <w:rFonts w:hint="eastAsia"/>
          <w:b w:val="0"/>
          <w:bCs/>
          <w:color w:val="000000"/>
          <w:sz w:val="28"/>
          <w:szCs w:val="28"/>
        </w:rPr>
        <w:t>一、财政拨款收入：</w:t>
      </w:r>
      <w:r>
        <w:rPr>
          <w:rFonts w:hint="eastAsia"/>
          <w:color w:val="000000"/>
          <w:sz w:val="28"/>
          <w:szCs w:val="28"/>
        </w:rPr>
        <w:t>指单位本年度从市级财政部门取得的财政拨款。</w:t>
      </w:r>
    </w:p>
    <w:p>
      <w:pPr>
        <w:pStyle w:val="5"/>
        <w:spacing w:before="105" w:beforeAutospacing="0" w:after="105" w:afterAutospacing="0" w:line="30" w:lineRule="atLeast"/>
        <w:ind w:firstLine="420"/>
        <w:textAlignment w:val="baseline"/>
        <w:rPr>
          <w:rFonts w:hint="eastAsia"/>
          <w:color w:val="000000"/>
          <w:sz w:val="28"/>
          <w:szCs w:val="28"/>
        </w:rPr>
      </w:pPr>
      <w:r>
        <w:rPr>
          <w:rFonts w:hint="eastAsia"/>
          <w:b w:val="0"/>
          <w:bCs/>
          <w:color w:val="000000"/>
          <w:sz w:val="28"/>
          <w:szCs w:val="28"/>
        </w:rPr>
        <w:t>二、上级补助收入：</w:t>
      </w:r>
      <w:r>
        <w:rPr>
          <w:rFonts w:hint="eastAsia"/>
          <w:color w:val="000000"/>
          <w:sz w:val="28"/>
          <w:szCs w:val="28"/>
        </w:rPr>
        <w:t>指事业单位从主管部门和上级单位取得的非财政补助收入。</w:t>
      </w:r>
    </w:p>
    <w:p>
      <w:pPr>
        <w:pStyle w:val="5"/>
        <w:spacing w:before="105" w:beforeAutospacing="0" w:after="105" w:afterAutospacing="0" w:line="30" w:lineRule="atLeast"/>
        <w:ind w:firstLine="420"/>
        <w:textAlignment w:val="baseline"/>
        <w:rPr>
          <w:rFonts w:hint="eastAsia"/>
          <w:color w:val="000000"/>
          <w:sz w:val="28"/>
          <w:szCs w:val="28"/>
        </w:rPr>
      </w:pPr>
      <w:r>
        <w:rPr>
          <w:rFonts w:hint="eastAsia"/>
          <w:b w:val="0"/>
          <w:bCs/>
          <w:color w:val="000000"/>
          <w:sz w:val="28"/>
          <w:szCs w:val="28"/>
        </w:rPr>
        <w:t>三、事业收入：</w:t>
      </w:r>
      <w:r>
        <w:rPr>
          <w:rFonts w:hint="eastAsia"/>
          <w:color w:val="000000"/>
          <w:sz w:val="28"/>
          <w:szCs w:val="28"/>
        </w:rPr>
        <w:t>指事业单位开展专业业务活动及其辅助活动取得的收入，事业单位收到的财政专户实际核拨的教育收费等资金在此反映。</w:t>
      </w:r>
    </w:p>
    <w:p>
      <w:pPr>
        <w:pStyle w:val="5"/>
        <w:spacing w:before="105" w:beforeAutospacing="0" w:after="105" w:afterAutospacing="0" w:line="30" w:lineRule="atLeast"/>
        <w:ind w:firstLine="420"/>
        <w:textAlignment w:val="baseline"/>
        <w:rPr>
          <w:rFonts w:hint="eastAsia"/>
          <w:color w:val="000000"/>
          <w:sz w:val="28"/>
          <w:szCs w:val="28"/>
        </w:rPr>
      </w:pPr>
      <w:r>
        <w:rPr>
          <w:rFonts w:hint="eastAsia"/>
          <w:b w:val="0"/>
          <w:bCs/>
          <w:color w:val="000000"/>
          <w:sz w:val="28"/>
          <w:szCs w:val="28"/>
        </w:rPr>
        <w:t>四、经营收入：</w:t>
      </w:r>
      <w:r>
        <w:rPr>
          <w:rFonts w:hint="eastAsia"/>
          <w:color w:val="000000"/>
          <w:sz w:val="28"/>
          <w:szCs w:val="28"/>
        </w:rPr>
        <w:t>指事业单位在专业业务活动及其辅助活动之外开展非独立核算经营活动取得的收入。</w:t>
      </w:r>
    </w:p>
    <w:p>
      <w:pPr>
        <w:pStyle w:val="5"/>
        <w:spacing w:before="105" w:beforeAutospacing="0" w:after="105" w:afterAutospacing="0" w:line="30" w:lineRule="atLeast"/>
        <w:ind w:firstLine="420"/>
        <w:textAlignment w:val="baseline"/>
        <w:rPr>
          <w:rFonts w:hint="eastAsia"/>
          <w:color w:val="000000"/>
          <w:sz w:val="28"/>
          <w:szCs w:val="28"/>
        </w:rPr>
      </w:pPr>
      <w:r>
        <w:rPr>
          <w:rFonts w:hint="eastAsia"/>
          <w:b w:val="0"/>
          <w:bCs/>
          <w:color w:val="000000"/>
          <w:sz w:val="28"/>
          <w:szCs w:val="28"/>
        </w:rPr>
        <w:t>五、附属单位缴款：</w:t>
      </w:r>
      <w:r>
        <w:rPr>
          <w:rFonts w:hint="eastAsia"/>
          <w:color w:val="000000"/>
          <w:sz w:val="28"/>
          <w:szCs w:val="28"/>
        </w:rPr>
        <w:t>指事业单位附属独立核算单位按照有关规定上缴的收入。</w:t>
      </w:r>
    </w:p>
    <w:p>
      <w:pPr>
        <w:pStyle w:val="5"/>
        <w:spacing w:before="105" w:beforeAutospacing="0" w:after="105" w:afterAutospacing="0" w:line="30" w:lineRule="atLeast"/>
        <w:ind w:firstLine="420"/>
        <w:textAlignment w:val="baseline"/>
        <w:rPr>
          <w:rFonts w:hint="eastAsia"/>
          <w:color w:val="000000"/>
          <w:sz w:val="28"/>
          <w:szCs w:val="28"/>
        </w:rPr>
      </w:pPr>
      <w:r>
        <w:rPr>
          <w:rFonts w:hint="eastAsia"/>
          <w:b w:val="0"/>
          <w:bCs/>
          <w:color w:val="000000"/>
          <w:sz w:val="28"/>
          <w:szCs w:val="28"/>
        </w:rPr>
        <w:t>六、其他收入：</w:t>
      </w:r>
      <w:r>
        <w:rPr>
          <w:rFonts w:hint="eastAsia"/>
          <w:color w:val="000000"/>
          <w:sz w:val="28"/>
          <w:szCs w:val="28"/>
        </w:rPr>
        <w:t>指单位取得的除上述“财政拨款收入”、“事业收入”、“经营收入”等以外的各项收入。</w:t>
      </w:r>
    </w:p>
    <w:p>
      <w:pPr>
        <w:pStyle w:val="5"/>
        <w:spacing w:before="105" w:beforeAutospacing="0" w:after="105" w:afterAutospacing="0" w:line="30" w:lineRule="atLeast"/>
        <w:ind w:firstLine="420"/>
        <w:textAlignment w:val="baseline"/>
        <w:rPr>
          <w:rFonts w:hint="eastAsia"/>
          <w:color w:val="000000"/>
          <w:sz w:val="28"/>
          <w:szCs w:val="28"/>
        </w:rPr>
      </w:pPr>
      <w:r>
        <w:rPr>
          <w:rFonts w:hint="eastAsia"/>
          <w:b w:val="0"/>
          <w:bCs/>
          <w:color w:val="000000"/>
          <w:sz w:val="28"/>
          <w:szCs w:val="28"/>
        </w:rPr>
        <w:t>七、用事业基金弥补收支差额：</w:t>
      </w:r>
      <w:r>
        <w:rPr>
          <w:rFonts w:hint="eastAsia"/>
          <w:color w:val="000000"/>
          <w:sz w:val="28"/>
          <w:szCs w:val="28"/>
        </w:rPr>
        <w:t>指事业单位用事业基金弥补当年收支差额的数额。</w:t>
      </w:r>
    </w:p>
    <w:p>
      <w:pPr>
        <w:pStyle w:val="5"/>
        <w:spacing w:before="105" w:beforeAutospacing="0" w:after="105" w:afterAutospacing="0" w:line="30" w:lineRule="atLeast"/>
        <w:ind w:firstLine="420"/>
        <w:textAlignment w:val="baseline"/>
        <w:rPr>
          <w:rFonts w:hint="eastAsia"/>
          <w:color w:val="000000"/>
          <w:sz w:val="28"/>
          <w:szCs w:val="28"/>
        </w:rPr>
      </w:pPr>
      <w:r>
        <w:rPr>
          <w:rFonts w:hint="eastAsia"/>
          <w:b w:val="0"/>
          <w:bCs/>
          <w:color w:val="000000"/>
          <w:sz w:val="28"/>
          <w:szCs w:val="28"/>
        </w:rPr>
        <w:t>八、年初结转和结余：</w:t>
      </w:r>
      <w:r>
        <w:rPr>
          <w:rFonts w:hint="eastAsia"/>
          <w:color w:val="000000"/>
          <w:sz w:val="28"/>
          <w:szCs w:val="28"/>
        </w:rPr>
        <w:t>指单位上年结转本年使用的基本支出结转、项目支出结转和结余和经营结余。</w:t>
      </w:r>
    </w:p>
    <w:p>
      <w:pPr>
        <w:pStyle w:val="5"/>
        <w:spacing w:before="105" w:beforeAutospacing="0" w:after="105" w:afterAutospacing="0" w:line="30" w:lineRule="atLeast"/>
        <w:ind w:firstLine="420"/>
        <w:textAlignment w:val="baseline"/>
        <w:rPr>
          <w:rFonts w:hint="eastAsia"/>
          <w:color w:val="000000"/>
          <w:sz w:val="28"/>
          <w:szCs w:val="28"/>
        </w:rPr>
      </w:pPr>
      <w:r>
        <w:rPr>
          <w:rFonts w:hint="eastAsia"/>
          <w:b w:val="0"/>
          <w:bCs/>
          <w:color w:val="000000"/>
          <w:sz w:val="28"/>
          <w:szCs w:val="28"/>
        </w:rPr>
        <w:t>九、一般公共服务（类）人大事务（款）行政运行（项）：</w:t>
      </w:r>
      <w:r>
        <w:rPr>
          <w:rFonts w:hint="eastAsia"/>
          <w:color w:val="000000"/>
          <w:sz w:val="28"/>
          <w:szCs w:val="28"/>
        </w:rPr>
        <w:t>指人大常委会办公厅用于保障机构正常运行、开展日常工作的基本支出。</w:t>
      </w:r>
    </w:p>
    <w:p>
      <w:pPr>
        <w:pStyle w:val="5"/>
        <w:spacing w:before="105" w:beforeAutospacing="0" w:after="105" w:afterAutospacing="0" w:line="30" w:lineRule="atLeast"/>
        <w:ind w:firstLine="420"/>
        <w:textAlignment w:val="baseline"/>
        <w:rPr>
          <w:rFonts w:hint="eastAsia"/>
          <w:color w:val="000000"/>
          <w:sz w:val="28"/>
          <w:szCs w:val="28"/>
        </w:rPr>
      </w:pPr>
      <w:r>
        <w:rPr>
          <w:rFonts w:hint="eastAsia"/>
          <w:b w:val="0"/>
          <w:bCs/>
          <w:color w:val="000000"/>
          <w:sz w:val="28"/>
          <w:szCs w:val="28"/>
        </w:rPr>
        <w:t>十、结余分配：</w:t>
      </w:r>
      <w:r>
        <w:rPr>
          <w:rFonts w:hint="eastAsia"/>
          <w:color w:val="000000"/>
          <w:sz w:val="28"/>
          <w:szCs w:val="28"/>
        </w:rPr>
        <w:t>指事业单位按规定对非财政补助结余资金提取的职工福利基金、事业基金和缴纳的所得税，以及减少单位按规定应缴回的基本建设竣工项目结余资金。</w:t>
      </w:r>
    </w:p>
    <w:p>
      <w:pPr>
        <w:pStyle w:val="5"/>
        <w:spacing w:before="105" w:beforeAutospacing="0" w:after="105" w:afterAutospacing="0" w:line="30" w:lineRule="atLeast"/>
        <w:ind w:firstLine="420"/>
        <w:textAlignment w:val="baseline"/>
        <w:rPr>
          <w:rFonts w:hint="eastAsia"/>
          <w:color w:val="000000"/>
          <w:sz w:val="28"/>
          <w:szCs w:val="28"/>
        </w:rPr>
      </w:pPr>
      <w:r>
        <w:rPr>
          <w:rFonts w:hint="eastAsia"/>
          <w:b w:val="0"/>
          <w:bCs/>
          <w:color w:val="000000"/>
          <w:sz w:val="28"/>
          <w:szCs w:val="28"/>
        </w:rPr>
        <w:t>十一、年末结转和结余资金：</w:t>
      </w:r>
      <w:r>
        <w:rPr>
          <w:rFonts w:hint="eastAsia"/>
          <w:color w:val="000000"/>
          <w:sz w:val="28"/>
          <w:szCs w:val="28"/>
        </w:rPr>
        <w:t>指本年度或以前年度预算安排、因客观条件发生变化无法按原计划实施，需要延迟到以后年度按有关规定继续使用的资金。</w:t>
      </w:r>
    </w:p>
    <w:p>
      <w:pPr>
        <w:pStyle w:val="5"/>
        <w:spacing w:before="105" w:beforeAutospacing="0" w:after="105" w:afterAutospacing="0" w:line="30" w:lineRule="atLeast"/>
        <w:ind w:firstLine="420"/>
        <w:textAlignment w:val="baseline"/>
        <w:rPr>
          <w:rFonts w:hint="eastAsia"/>
          <w:color w:val="000000"/>
          <w:sz w:val="28"/>
          <w:szCs w:val="28"/>
        </w:rPr>
      </w:pPr>
      <w:r>
        <w:rPr>
          <w:rFonts w:hint="eastAsia"/>
          <w:b w:val="0"/>
          <w:bCs/>
          <w:color w:val="000000"/>
          <w:sz w:val="28"/>
          <w:szCs w:val="28"/>
        </w:rPr>
        <w:t>十二、基本支出：</w:t>
      </w:r>
      <w:r>
        <w:rPr>
          <w:rFonts w:hint="eastAsia"/>
          <w:color w:val="000000"/>
          <w:sz w:val="28"/>
          <w:szCs w:val="28"/>
        </w:rPr>
        <w:t>指为保障机构正常运转、完成日常工作任务而发生的人员支出和公用支出。</w:t>
      </w:r>
    </w:p>
    <w:p>
      <w:pPr>
        <w:pStyle w:val="5"/>
        <w:spacing w:before="105" w:beforeAutospacing="0" w:after="105" w:afterAutospacing="0" w:line="30" w:lineRule="atLeast"/>
        <w:ind w:firstLine="420"/>
        <w:textAlignment w:val="baseline"/>
        <w:rPr>
          <w:rFonts w:hint="eastAsia"/>
          <w:color w:val="000000"/>
          <w:sz w:val="28"/>
          <w:szCs w:val="28"/>
        </w:rPr>
      </w:pPr>
      <w:r>
        <w:rPr>
          <w:rFonts w:hint="eastAsia"/>
          <w:b w:val="0"/>
          <w:bCs/>
          <w:color w:val="000000"/>
          <w:sz w:val="28"/>
          <w:szCs w:val="28"/>
        </w:rPr>
        <w:t>十三、项目支出：</w:t>
      </w:r>
      <w:r>
        <w:rPr>
          <w:rFonts w:hint="eastAsia"/>
          <w:color w:val="000000"/>
          <w:sz w:val="28"/>
          <w:szCs w:val="28"/>
        </w:rPr>
        <w:t>指在基本支出之外为完成特定的行政任务或事业发展目标所发生的支出。</w:t>
      </w:r>
    </w:p>
    <w:p>
      <w:pPr>
        <w:pStyle w:val="5"/>
        <w:spacing w:before="105" w:beforeAutospacing="0" w:after="105" w:afterAutospacing="0" w:line="30" w:lineRule="atLeast"/>
        <w:ind w:firstLine="420"/>
        <w:textAlignment w:val="baseline"/>
        <w:rPr>
          <w:rFonts w:hint="eastAsia"/>
          <w:color w:val="000000"/>
          <w:sz w:val="28"/>
          <w:szCs w:val="28"/>
        </w:rPr>
      </w:pPr>
      <w:r>
        <w:rPr>
          <w:rFonts w:hint="eastAsia"/>
          <w:b w:val="0"/>
          <w:bCs/>
          <w:color w:val="000000"/>
          <w:sz w:val="28"/>
          <w:szCs w:val="28"/>
        </w:rPr>
        <w:t>十四、上缴上级支出：</w:t>
      </w:r>
      <w:r>
        <w:rPr>
          <w:rFonts w:hint="eastAsia"/>
          <w:color w:val="000000"/>
          <w:sz w:val="28"/>
          <w:szCs w:val="28"/>
        </w:rPr>
        <w:t>指事业单位按照财政部门和主管部门的规定上缴上级单位的支出。</w:t>
      </w:r>
    </w:p>
    <w:p>
      <w:pPr>
        <w:pStyle w:val="5"/>
        <w:spacing w:before="105" w:beforeAutospacing="0" w:after="105" w:afterAutospacing="0" w:line="30" w:lineRule="atLeast"/>
        <w:ind w:firstLine="420"/>
        <w:textAlignment w:val="baseline"/>
        <w:rPr>
          <w:rFonts w:hint="eastAsia"/>
          <w:color w:val="000000"/>
          <w:sz w:val="28"/>
          <w:szCs w:val="28"/>
        </w:rPr>
      </w:pPr>
      <w:r>
        <w:rPr>
          <w:rFonts w:hint="eastAsia"/>
          <w:b w:val="0"/>
          <w:bCs/>
          <w:color w:val="000000"/>
          <w:sz w:val="28"/>
          <w:szCs w:val="28"/>
        </w:rPr>
        <w:t>十五、经营支出：</w:t>
      </w:r>
      <w:r>
        <w:rPr>
          <w:rFonts w:hint="eastAsia"/>
          <w:color w:val="000000"/>
          <w:sz w:val="28"/>
          <w:szCs w:val="28"/>
        </w:rPr>
        <w:t>指事业单位在专业业务活动及其辅助活动之外开展非独立核算经营活动发生的支出。</w:t>
      </w:r>
    </w:p>
    <w:p>
      <w:pPr>
        <w:pStyle w:val="5"/>
        <w:spacing w:before="105" w:beforeAutospacing="0" w:after="105" w:afterAutospacing="0" w:line="30" w:lineRule="atLeast"/>
        <w:ind w:firstLine="420"/>
        <w:textAlignment w:val="baseline"/>
        <w:rPr>
          <w:rFonts w:hint="eastAsia"/>
          <w:color w:val="000000"/>
          <w:sz w:val="28"/>
          <w:szCs w:val="28"/>
        </w:rPr>
      </w:pPr>
      <w:r>
        <w:rPr>
          <w:rFonts w:hint="eastAsia"/>
          <w:b w:val="0"/>
          <w:bCs/>
          <w:color w:val="000000"/>
          <w:sz w:val="28"/>
          <w:szCs w:val="28"/>
        </w:rPr>
        <w:t>十六、对附属单位补助支出：</w:t>
      </w:r>
      <w:r>
        <w:rPr>
          <w:rFonts w:hint="eastAsia"/>
          <w:color w:val="000000"/>
          <w:sz w:val="28"/>
          <w:szCs w:val="28"/>
        </w:rPr>
        <w:t>指事业单位用财政补助收入之外的收入对附属单位补助发生的支出。</w:t>
      </w:r>
    </w:p>
    <w:p>
      <w:pPr>
        <w:pStyle w:val="5"/>
        <w:spacing w:before="105" w:beforeAutospacing="0" w:after="105" w:afterAutospacing="0" w:line="30" w:lineRule="atLeast"/>
        <w:ind w:firstLine="420"/>
        <w:textAlignment w:val="baseline"/>
        <w:rPr>
          <w:rFonts w:hint="eastAsia"/>
          <w:color w:val="000000"/>
          <w:sz w:val="28"/>
          <w:szCs w:val="28"/>
        </w:rPr>
      </w:pPr>
      <w:r>
        <w:rPr>
          <w:rFonts w:hint="eastAsia"/>
          <w:b w:val="0"/>
          <w:bCs/>
          <w:color w:val="000000"/>
          <w:sz w:val="28"/>
          <w:szCs w:val="28"/>
        </w:rPr>
        <w:t>十七、“三公”经费：</w:t>
      </w:r>
      <w:r>
        <w:rPr>
          <w:rFonts w:hint="eastAsia"/>
          <w:color w:val="000000"/>
          <w:sz w:val="28"/>
          <w:szCs w:val="28"/>
        </w:rPr>
        <w:t>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5"/>
        <w:spacing w:before="105" w:beforeAutospacing="0" w:after="105" w:afterAutospacing="0" w:line="30" w:lineRule="atLeast"/>
        <w:ind w:firstLine="420"/>
        <w:textAlignment w:val="baseline"/>
        <w:rPr>
          <w:rFonts w:hint="eastAsia"/>
          <w:color w:val="000000"/>
          <w:sz w:val="28"/>
          <w:szCs w:val="28"/>
        </w:rPr>
      </w:pPr>
      <w:r>
        <w:rPr>
          <w:rFonts w:hint="eastAsia"/>
          <w:b w:val="0"/>
          <w:bCs/>
          <w:color w:val="000000"/>
          <w:sz w:val="28"/>
          <w:szCs w:val="28"/>
        </w:rPr>
        <w:t>十八、机关运行经费</w:t>
      </w:r>
      <w:r>
        <w:rPr>
          <w:rFonts w:hint="eastAsia"/>
          <w:b/>
          <w:color w:val="000000"/>
          <w:sz w:val="28"/>
          <w:szCs w:val="28"/>
        </w:rPr>
        <w:t>：</w:t>
      </w:r>
      <w:r>
        <w:rPr>
          <w:rFonts w:hint="eastAsia"/>
          <w:color w:val="000000"/>
          <w:sz w:val="28"/>
          <w:szCs w:val="28"/>
        </w:rPr>
        <w:t>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widowControl/>
        <w:ind w:firstLine="640" w:firstLineChars="200"/>
        <w:jc w:val="left"/>
        <w:rPr>
          <w:rFonts w:ascii="黑体" w:eastAsia="黑体" w:cs="黑体"/>
          <w:b/>
          <w:bCs/>
          <w:color w:val="000000"/>
          <w:kern w:val="0"/>
          <w:sz w:val="32"/>
          <w:szCs w:val="32"/>
        </w:rPr>
      </w:pPr>
      <w:r>
        <w:rPr>
          <w:rFonts w:hint="eastAsia"/>
          <w:b/>
          <w:bCs/>
          <w:sz w:val="32"/>
          <w:szCs w:val="32"/>
        </w:rPr>
        <w:t>第五部分</w:t>
      </w:r>
      <w:r>
        <w:rPr>
          <w:rFonts w:hint="eastAsia"/>
          <w:b/>
          <w:bCs/>
          <w:sz w:val="32"/>
          <w:szCs w:val="32"/>
          <w:lang w:val="en-US" w:eastAsia="zh-CN"/>
        </w:rPr>
        <w:t xml:space="preserve"> </w:t>
      </w:r>
      <w:r>
        <w:rPr>
          <w:rFonts w:hint="eastAsia" w:ascii="黑体" w:eastAsia="黑体" w:cs="黑体"/>
          <w:b/>
          <w:bCs/>
          <w:color w:val="000000"/>
          <w:kern w:val="0"/>
          <w:sz w:val="32"/>
          <w:szCs w:val="32"/>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2019年度部门整体支出绩效评价报告</w:t>
      </w:r>
    </w:p>
    <w:p>
      <w:pPr>
        <w:jc w:val="center"/>
        <w:rPr>
          <w:rFonts w:ascii="宋体" w:cs="宋体"/>
          <w:sz w:val="30"/>
          <w:szCs w:val="30"/>
        </w:rPr>
      </w:pPr>
      <w:r>
        <w:rPr>
          <w:rFonts w:ascii="黑体" w:hAnsi="黑体" w:eastAsia="黑体"/>
          <w:sz w:val="30"/>
          <w:szCs w:val="30"/>
        </w:rPr>
        <w:t>2019</w:t>
      </w:r>
      <w:r>
        <w:rPr>
          <w:rFonts w:hint="eastAsia" w:ascii="宋体" w:hAnsi="宋体" w:cs="宋体"/>
          <w:sz w:val="30"/>
          <w:szCs w:val="30"/>
        </w:rPr>
        <w:t>年洪江市</w:t>
      </w:r>
      <w:r>
        <w:rPr>
          <w:rFonts w:hint="eastAsia" w:ascii="宋体" w:hAnsi="宋体" w:cs="宋体"/>
          <w:sz w:val="30"/>
          <w:szCs w:val="30"/>
          <w:lang w:eastAsia="zh-CN"/>
        </w:rPr>
        <w:t>社会福利院</w:t>
      </w:r>
      <w:r>
        <w:rPr>
          <w:rFonts w:hint="eastAsia" w:ascii="宋体" w:hAnsi="宋体" w:cs="宋体"/>
          <w:sz w:val="30"/>
          <w:szCs w:val="30"/>
        </w:rPr>
        <w:t>整体支出绩效评价报告</w:t>
      </w:r>
    </w:p>
    <w:p>
      <w:pPr>
        <w:pStyle w:val="12"/>
        <w:widowControl/>
        <w:numPr>
          <w:ilvl w:val="0"/>
          <w:numId w:val="3"/>
        </w:numPr>
        <w:adjustRightInd w:val="0"/>
        <w:snapToGrid w:val="0"/>
        <w:spacing w:after="200"/>
        <w:ind w:firstLineChars="0"/>
        <w:jc w:val="left"/>
        <w:rPr>
          <w:rFonts w:ascii="仿宋" w:hAnsi="仿宋" w:eastAsia="仿宋"/>
          <w:sz w:val="30"/>
          <w:szCs w:val="30"/>
        </w:rPr>
      </w:pPr>
      <w:r>
        <w:rPr>
          <w:rFonts w:hint="eastAsia" w:ascii="宋体" w:hAnsi="宋体" w:cs="宋体"/>
          <w:sz w:val="30"/>
          <w:szCs w:val="30"/>
        </w:rPr>
        <w:t>基本情况</w:t>
      </w:r>
    </w:p>
    <w:p>
      <w:pPr>
        <w:ind w:firstLine="600" w:firstLineChars="200"/>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1.</w:t>
      </w:r>
      <w:r>
        <w:rPr>
          <w:rFonts w:hint="eastAsia" w:asciiTheme="minorEastAsia" w:hAnsiTheme="minorEastAsia" w:eastAsiaTheme="minorEastAsia" w:cstheme="minorEastAsia"/>
          <w:b w:val="0"/>
          <w:bCs w:val="0"/>
          <w:sz w:val="30"/>
          <w:szCs w:val="30"/>
          <w:lang w:eastAsia="zh-CN"/>
        </w:rPr>
        <w:t>职能</w:t>
      </w:r>
      <w:r>
        <w:rPr>
          <w:rFonts w:hint="eastAsia" w:asciiTheme="minorEastAsia" w:hAnsiTheme="minorEastAsia" w:eastAsiaTheme="minorEastAsia" w:cstheme="minorEastAsia"/>
          <w:b w:val="0"/>
          <w:bCs w:val="0"/>
          <w:sz w:val="30"/>
          <w:szCs w:val="30"/>
        </w:rPr>
        <w:t>简介</w:t>
      </w:r>
    </w:p>
    <w:p>
      <w:pPr>
        <w:ind w:firstLine="600" w:firstLineChars="200"/>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集中供养“三无人员”和弃婴，对其进行特殊保障</w:t>
      </w:r>
      <w:r>
        <w:rPr>
          <w:rFonts w:hint="eastAsia" w:asciiTheme="minorEastAsia" w:hAnsiTheme="minorEastAsia" w:eastAsiaTheme="minorEastAsia" w:cstheme="minorEastAsia"/>
          <w:b w:val="0"/>
          <w:bCs w:val="0"/>
          <w:sz w:val="30"/>
          <w:szCs w:val="30"/>
          <w:lang w:val="en-US" w:eastAsia="zh-CN"/>
        </w:rPr>
        <w:t>,</w:t>
      </w:r>
      <w:r>
        <w:rPr>
          <w:rFonts w:hint="eastAsia" w:asciiTheme="minorEastAsia" w:hAnsiTheme="minorEastAsia" w:eastAsiaTheme="minorEastAsia" w:cstheme="minorEastAsia"/>
          <w:b w:val="0"/>
          <w:bCs w:val="0"/>
          <w:sz w:val="30"/>
          <w:szCs w:val="30"/>
        </w:rPr>
        <w:t>承办上级部门交办的其他工作任务。</w:t>
      </w:r>
    </w:p>
    <w:p>
      <w:pPr>
        <w:ind w:firstLine="600" w:firstLineChars="200"/>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2.项目年度目标情况</w:t>
      </w:r>
    </w:p>
    <w:p>
      <w:pPr>
        <w:ind w:firstLine="600" w:firstLineChars="200"/>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目标1：对院内供养人员提供服务</w:t>
      </w:r>
    </w:p>
    <w:p>
      <w:pPr>
        <w:ind w:firstLine="600" w:firstLineChars="200"/>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目标2：院内整体管理、内控工作</w:t>
      </w:r>
    </w:p>
    <w:p>
      <w:pPr>
        <w:ind w:firstLine="600" w:firstLineChars="200"/>
        <w:rPr>
          <w:rFonts w:ascii="仿宋" w:hAnsi="仿宋" w:eastAsia="仿宋"/>
          <w:sz w:val="30"/>
          <w:szCs w:val="30"/>
        </w:rPr>
      </w:pPr>
      <w:r>
        <w:rPr>
          <w:rFonts w:ascii="仿宋" w:hAnsi="仿宋" w:eastAsia="仿宋"/>
          <w:sz w:val="30"/>
          <w:szCs w:val="30"/>
        </w:rPr>
        <w:t>3.</w:t>
      </w:r>
      <w:r>
        <w:rPr>
          <w:rFonts w:hint="eastAsia" w:ascii="宋体" w:hAnsi="宋体" w:cs="宋体"/>
          <w:sz w:val="30"/>
          <w:szCs w:val="30"/>
        </w:rPr>
        <w:t>资金安排情况</w:t>
      </w:r>
    </w:p>
    <w:p>
      <w:pPr>
        <w:ind w:firstLine="600" w:firstLineChars="200"/>
        <w:rPr>
          <w:rFonts w:ascii="仿宋" w:hAnsi="仿宋" w:eastAsia="仿宋"/>
          <w:sz w:val="30"/>
          <w:szCs w:val="30"/>
        </w:rPr>
      </w:pPr>
      <w:r>
        <w:rPr>
          <w:rFonts w:hint="eastAsia" w:ascii="宋体" w:hAnsi="宋体" w:cs="宋体"/>
          <w:sz w:val="30"/>
          <w:szCs w:val="30"/>
        </w:rPr>
        <w:t>全年预算经费安排为</w:t>
      </w:r>
      <w:r>
        <w:rPr>
          <w:rFonts w:hint="eastAsia" w:ascii="宋体" w:hAnsi="宋体" w:cs="宋体"/>
          <w:sz w:val="30"/>
          <w:szCs w:val="30"/>
          <w:lang w:val="en-US" w:eastAsia="zh-CN"/>
        </w:rPr>
        <w:t>111.22</w:t>
      </w:r>
      <w:r>
        <w:rPr>
          <w:rFonts w:hint="eastAsia" w:ascii="宋体" w:hAnsi="宋体" w:cs="宋体"/>
          <w:sz w:val="30"/>
          <w:szCs w:val="30"/>
        </w:rPr>
        <w:t>万元</w:t>
      </w:r>
      <w:r>
        <w:rPr>
          <w:rFonts w:hint="eastAsia" w:ascii="Malgun Gothic Semilight" w:hAnsi="Malgun Gothic Semilight" w:eastAsia="Malgun Gothic Semilight" w:cs="Malgun Gothic Semilight"/>
          <w:sz w:val="30"/>
          <w:szCs w:val="30"/>
        </w:rPr>
        <w:t>，</w:t>
      </w:r>
      <w:r>
        <w:rPr>
          <w:rFonts w:hint="eastAsia" w:ascii="宋体" w:hAnsi="宋体" w:cs="宋体"/>
          <w:sz w:val="30"/>
          <w:szCs w:val="30"/>
        </w:rPr>
        <w:t>至</w:t>
      </w:r>
      <w:r>
        <w:rPr>
          <w:rFonts w:ascii="仿宋" w:hAnsi="仿宋" w:eastAsia="仿宋"/>
          <w:sz w:val="30"/>
          <w:szCs w:val="30"/>
        </w:rPr>
        <w:t>2019</w:t>
      </w:r>
      <w:r>
        <w:rPr>
          <w:rFonts w:hint="eastAsia" w:ascii="宋体" w:hAnsi="宋体" w:cs="宋体"/>
          <w:sz w:val="30"/>
          <w:szCs w:val="30"/>
        </w:rPr>
        <w:t>年</w:t>
      </w:r>
      <w:r>
        <w:rPr>
          <w:rFonts w:ascii="宋体" w:hAnsi="宋体" w:cs="宋体"/>
          <w:sz w:val="30"/>
          <w:szCs w:val="30"/>
        </w:rPr>
        <w:t>12</w:t>
      </w:r>
      <w:r>
        <w:rPr>
          <w:rFonts w:hint="eastAsia" w:ascii="宋体" w:hAnsi="宋体" w:cs="宋体"/>
          <w:sz w:val="30"/>
          <w:szCs w:val="30"/>
        </w:rPr>
        <w:t>月</w:t>
      </w:r>
      <w:r>
        <w:rPr>
          <w:rFonts w:ascii="仿宋" w:hAnsi="仿宋" w:eastAsia="仿宋"/>
          <w:sz w:val="30"/>
          <w:szCs w:val="30"/>
        </w:rPr>
        <w:t>31</w:t>
      </w:r>
      <w:r>
        <w:rPr>
          <w:rFonts w:hint="eastAsia" w:ascii="宋体" w:hAnsi="宋体" w:cs="宋体"/>
          <w:sz w:val="30"/>
          <w:szCs w:val="30"/>
        </w:rPr>
        <w:t>日止</w:t>
      </w:r>
      <w:r>
        <w:rPr>
          <w:rFonts w:hint="eastAsia" w:ascii="Malgun Gothic Semilight" w:hAnsi="Malgun Gothic Semilight" w:eastAsia="Malgun Gothic Semilight" w:cs="Malgun Gothic Semilight"/>
          <w:sz w:val="30"/>
          <w:szCs w:val="30"/>
        </w:rPr>
        <w:t>，</w:t>
      </w:r>
      <w:r>
        <w:rPr>
          <w:rFonts w:hint="eastAsia" w:ascii="宋体" w:hAnsi="宋体" w:cs="宋体"/>
          <w:sz w:val="30"/>
          <w:szCs w:val="30"/>
        </w:rPr>
        <w:t>已拨付</w:t>
      </w:r>
      <w:r>
        <w:rPr>
          <w:rFonts w:hint="eastAsia" w:ascii="宋体" w:hAnsi="宋体" w:cs="宋体"/>
          <w:sz w:val="30"/>
          <w:szCs w:val="30"/>
          <w:lang w:val="en-US" w:eastAsia="zh-CN"/>
        </w:rPr>
        <w:t>111.22</w:t>
      </w:r>
      <w:r>
        <w:rPr>
          <w:rFonts w:hint="eastAsia" w:ascii="宋体" w:hAnsi="宋体" w:cs="宋体"/>
          <w:sz w:val="30"/>
          <w:szCs w:val="30"/>
        </w:rPr>
        <w:t>万</w:t>
      </w:r>
      <w:r>
        <w:rPr>
          <w:rFonts w:hint="eastAsia" w:ascii="Malgun Gothic Semilight" w:hAnsi="Malgun Gothic Semilight" w:eastAsia="Malgun Gothic Semilight" w:cs="Malgun Gothic Semilight"/>
          <w:sz w:val="30"/>
          <w:szCs w:val="30"/>
        </w:rPr>
        <w:t>。</w:t>
      </w:r>
    </w:p>
    <w:p>
      <w:pPr>
        <w:pStyle w:val="12"/>
        <w:widowControl/>
        <w:numPr>
          <w:ilvl w:val="0"/>
          <w:numId w:val="3"/>
        </w:numPr>
        <w:adjustRightInd w:val="0"/>
        <w:snapToGrid w:val="0"/>
        <w:spacing w:after="200"/>
        <w:ind w:firstLineChars="0"/>
        <w:jc w:val="left"/>
        <w:rPr>
          <w:rFonts w:ascii="仿宋" w:hAnsi="仿宋" w:eastAsia="仿宋"/>
          <w:sz w:val="30"/>
          <w:szCs w:val="30"/>
        </w:rPr>
      </w:pPr>
      <w:r>
        <w:rPr>
          <w:rFonts w:hint="eastAsia" w:ascii="宋体" w:hAnsi="宋体" w:cs="宋体"/>
          <w:sz w:val="30"/>
          <w:szCs w:val="30"/>
        </w:rPr>
        <w:t>工作开展情况</w:t>
      </w:r>
    </w:p>
    <w:p>
      <w:pPr>
        <w:ind w:firstLine="600" w:firstLineChars="200"/>
        <w:rPr>
          <w:rFonts w:ascii="仿宋" w:hAnsi="仿宋" w:eastAsia="仿宋"/>
          <w:sz w:val="30"/>
          <w:szCs w:val="30"/>
        </w:rPr>
      </w:pPr>
      <w:r>
        <w:rPr>
          <w:rFonts w:ascii="仿宋" w:hAnsi="仿宋" w:eastAsia="仿宋"/>
          <w:sz w:val="30"/>
          <w:szCs w:val="30"/>
        </w:rPr>
        <w:t>1.</w:t>
      </w:r>
      <w:r>
        <w:rPr>
          <w:rFonts w:hint="eastAsia" w:ascii="宋体" w:hAnsi="宋体" w:cs="宋体"/>
          <w:sz w:val="30"/>
          <w:szCs w:val="30"/>
        </w:rPr>
        <w:t>工作保</w:t>
      </w:r>
      <w:r>
        <w:rPr>
          <w:rFonts w:hint="eastAsia" w:ascii="宋体" w:hAnsi="宋体" w:cs="宋体"/>
          <w:sz w:val="30"/>
          <w:szCs w:val="30"/>
          <w:lang w:eastAsia="zh-CN"/>
        </w:rPr>
        <w:t>障</w:t>
      </w:r>
      <w:r>
        <w:rPr>
          <w:rFonts w:hint="eastAsia" w:ascii="宋体" w:hAnsi="宋体" w:cs="宋体"/>
          <w:sz w:val="30"/>
          <w:szCs w:val="30"/>
        </w:rPr>
        <w:t>措施情况</w:t>
      </w:r>
    </w:p>
    <w:p>
      <w:pPr>
        <w:ind w:firstLine="600" w:firstLineChars="200"/>
        <w:rPr>
          <w:rFonts w:ascii="仿宋" w:hAnsi="仿宋" w:eastAsia="仿宋"/>
          <w:sz w:val="30"/>
          <w:szCs w:val="30"/>
        </w:rPr>
      </w:pPr>
      <w:r>
        <w:rPr>
          <w:rFonts w:hint="eastAsia" w:ascii="宋体" w:hAnsi="宋体" w:cs="宋体"/>
          <w:sz w:val="30"/>
          <w:szCs w:val="30"/>
        </w:rPr>
        <w:t>完成较好</w:t>
      </w:r>
      <w:r>
        <w:rPr>
          <w:rFonts w:hint="eastAsia" w:ascii="Malgun Gothic Semilight" w:hAnsi="Malgun Gothic Semilight" w:eastAsia="Malgun Gothic Semilight" w:cs="Malgun Gothic Semilight"/>
          <w:sz w:val="30"/>
          <w:szCs w:val="30"/>
        </w:rPr>
        <w:t>，</w:t>
      </w:r>
      <w:r>
        <w:rPr>
          <w:rFonts w:hint="eastAsia" w:ascii="宋体" w:hAnsi="宋体" w:cs="宋体"/>
          <w:sz w:val="30"/>
          <w:szCs w:val="30"/>
        </w:rPr>
        <w:t>按计划完成了了全年保障工作量的</w:t>
      </w:r>
      <w:r>
        <w:rPr>
          <w:rFonts w:ascii="宋体" w:hAnsi="宋体" w:cs="宋体"/>
          <w:sz w:val="30"/>
          <w:szCs w:val="30"/>
        </w:rPr>
        <w:t>10</w:t>
      </w:r>
      <w:r>
        <w:rPr>
          <w:rFonts w:ascii="仿宋" w:hAnsi="仿宋" w:eastAsia="仿宋"/>
          <w:sz w:val="30"/>
          <w:szCs w:val="30"/>
        </w:rPr>
        <w:t>0%</w:t>
      </w:r>
      <w:r>
        <w:rPr>
          <w:rFonts w:hint="eastAsia" w:ascii="仿宋" w:hAnsi="仿宋" w:eastAsia="仿宋"/>
          <w:sz w:val="30"/>
          <w:szCs w:val="30"/>
        </w:rPr>
        <w:t>。</w:t>
      </w:r>
    </w:p>
    <w:p>
      <w:pPr>
        <w:ind w:firstLine="600" w:firstLineChars="200"/>
        <w:rPr>
          <w:rFonts w:ascii="仿宋" w:hAnsi="仿宋" w:eastAsia="仿宋"/>
          <w:sz w:val="30"/>
          <w:szCs w:val="30"/>
        </w:rPr>
      </w:pPr>
      <w:r>
        <w:rPr>
          <w:rFonts w:ascii="仿宋" w:hAnsi="仿宋" w:eastAsia="仿宋"/>
          <w:sz w:val="30"/>
          <w:szCs w:val="30"/>
        </w:rPr>
        <w:t>2.</w:t>
      </w:r>
      <w:r>
        <w:rPr>
          <w:rFonts w:hint="eastAsia" w:ascii="宋体" w:hAnsi="宋体" w:cs="宋体"/>
          <w:sz w:val="30"/>
          <w:szCs w:val="30"/>
        </w:rPr>
        <w:t>项目实施进度情况</w:t>
      </w:r>
    </w:p>
    <w:p>
      <w:pPr>
        <w:ind w:firstLine="600" w:firstLineChars="200"/>
        <w:rPr>
          <w:rFonts w:ascii="仿宋" w:hAnsi="仿宋" w:eastAsia="仿宋"/>
          <w:sz w:val="30"/>
          <w:szCs w:val="30"/>
        </w:rPr>
      </w:pPr>
      <w:r>
        <w:rPr>
          <w:rFonts w:hint="eastAsia" w:ascii="宋体" w:hAnsi="宋体" w:cs="宋体"/>
          <w:sz w:val="30"/>
          <w:szCs w:val="30"/>
        </w:rPr>
        <w:t>完成较好</w:t>
      </w:r>
      <w:r>
        <w:rPr>
          <w:rFonts w:hint="eastAsia" w:ascii="Malgun Gothic Semilight" w:hAnsi="Malgun Gothic Semilight" w:eastAsia="Malgun Gothic Semilight" w:cs="Malgun Gothic Semilight"/>
          <w:sz w:val="30"/>
          <w:szCs w:val="30"/>
        </w:rPr>
        <w:t>，</w:t>
      </w:r>
      <w:r>
        <w:rPr>
          <w:rFonts w:hint="eastAsia" w:ascii="宋体" w:hAnsi="宋体" w:cs="宋体"/>
          <w:sz w:val="30"/>
          <w:szCs w:val="30"/>
        </w:rPr>
        <w:t>按计划完成了了全年工作进度的</w:t>
      </w:r>
      <w:r>
        <w:rPr>
          <w:rFonts w:ascii="宋体" w:hAnsi="宋体" w:cs="宋体"/>
          <w:sz w:val="30"/>
          <w:szCs w:val="30"/>
        </w:rPr>
        <w:t>10</w:t>
      </w:r>
      <w:r>
        <w:rPr>
          <w:rFonts w:ascii="仿宋" w:hAnsi="仿宋" w:eastAsia="仿宋"/>
          <w:sz w:val="30"/>
          <w:szCs w:val="30"/>
        </w:rPr>
        <w:t>0%</w:t>
      </w:r>
      <w:r>
        <w:rPr>
          <w:rFonts w:hint="eastAsia" w:ascii="仿宋" w:hAnsi="仿宋" w:eastAsia="仿宋"/>
          <w:sz w:val="30"/>
          <w:szCs w:val="30"/>
        </w:rPr>
        <w:t>。</w:t>
      </w:r>
    </w:p>
    <w:p>
      <w:pPr>
        <w:ind w:firstLine="600" w:firstLineChars="200"/>
        <w:rPr>
          <w:rFonts w:ascii="仿宋" w:hAnsi="仿宋" w:eastAsia="仿宋"/>
          <w:sz w:val="30"/>
          <w:szCs w:val="30"/>
        </w:rPr>
      </w:pPr>
      <w:r>
        <w:rPr>
          <w:rFonts w:ascii="仿宋" w:hAnsi="仿宋" w:eastAsia="仿宋"/>
          <w:sz w:val="30"/>
          <w:szCs w:val="30"/>
        </w:rPr>
        <w:t>3.</w:t>
      </w:r>
      <w:r>
        <w:rPr>
          <w:rFonts w:hint="eastAsia" w:ascii="宋体" w:hAnsi="宋体" w:cs="宋体"/>
          <w:sz w:val="30"/>
          <w:szCs w:val="30"/>
        </w:rPr>
        <w:t>资金执行进度情况</w:t>
      </w:r>
    </w:p>
    <w:p>
      <w:pPr>
        <w:ind w:firstLine="600" w:firstLineChars="200"/>
        <w:rPr>
          <w:rFonts w:ascii="仿宋" w:hAnsi="仿宋" w:eastAsia="仿宋"/>
          <w:sz w:val="30"/>
          <w:szCs w:val="30"/>
        </w:rPr>
      </w:pPr>
      <w:r>
        <w:rPr>
          <w:rFonts w:hint="eastAsia" w:ascii="宋体" w:hAnsi="宋体" w:cs="宋体"/>
          <w:sz w:val="30"/>
          <w:szCs w:val="30"/>
        </w:rPr>
        <w:t>完成较好</w:t>
      </w:r>
      <w:r>
        <w:rPr>
          <w:rFonts w:hint="eastAsia" w:ascii="Malgun Gothic Semilight" w:hAnsi="Malgun Gothic Semilight" w:eastAsia="Malgun Gothic Semilight" w:cs="Malgun Gothic Semilight"/>
          <w:sz w:val="30"/>
          <w:szCs w:val="30"/>
        </w:rPr>
        <w:t>，</w:t>
      </w:r>
      <w:r>
        <w:rPr>
          <w:rFonts w:hint="eastAsia" w:ascii="宋体" w:hAnsi="宋体" w:cs="宋体"/>
          <w:sz w:val="30"/>
          <w:szCs w:val="30"/>
        </w:rPr>
        <w:t>按计划完成了了全年资金支付工作量的</w:t>
      </w:r>
      <w:r>
        <w:rPr>
          <w:rFonts w:ascii="宋体" w:hAnsi="宋体" w:cs="宋体"/>
          <w:sz w:val="30"/>
          <w:szCs w:val="30"/>
        </w:rPr>
        <w:t>10</w:t>
      </w:r>
      <w:r>
        <w:rPr>
          <w:rFonts w:ascii="仿宋" w:hAnsi="仿宋" w:eastAsia="仿宋"/>
          <w:sz w:val="30"/>
          <w:szCs w:val="30"/>
        </w:rPr>
        <w:t>0%</w:t>
      </w:r>
      <w:r>
        <w:rPr>
          <w:rFonts w:hint="eastAsia" w:ascii="仿宋" w:hAnsi="仿宋" w:eastAsia="仿宋"/>
          <w:sz w:val="30"/>
          <w:szCs w:val="30"/>
        </w:rPr>
        <w:t>。</w:t>
      </w:r>
    </w:p>
    <w:p>
      <w:pPr>
        <w:ind w:firstLine="600" w:firstLineChars="200"/>
        <w:rPr>
          <w:rFonts w:ascii="仿宋" w:hAnsi="仿宋" w:eastAsia="仿宋"/>
          <w:sz w:val="30"/>
          <w:szCs w:val="30"/>
        </w:rPr>
      </w:pPr>
      <w:r>
        <w:rPr>
          <w:rFonts w:ascii="仿宋" w:hAnsi="仿宋" w:eastAsia="仿宋"/>
          <w:sz w:val="30"/>
          <w:szCs w:val="30"/>
        </w:rPr>
        <w:t>4.</w:t>
      </w:r>
      <w:r>
        <w:rPr>
          <w:rFonts w:hint="eastAsia" w:ascii="宋体" w:hAnsi="宋体" w:cs="宋体"/>
          <w:sz w:val="30"/>
          <w:szCs w:val="30"/>
        </w:rPr>
        <w:t>绩效目标实现情况</w:t>
      </w:r>
    </w:p>
    <w:p>
      <w:pPr>
        <w:ind w:firstLine="600" w:firstLineChars="200"/>
        <w:rPr>
          <w:rFonts w:ascii="仿宋" w:hAnsi="仿宋" w:eastAsia="仿宋"/>
          <w:sz w:val="30"/>
          <w:szCs w:val="30"/>
        </w:rPr>
      </w:pPr>
      <w:r>
        <w:rPr>
          <w:rFonts w:hint="eastAsia" w:ascii="宋体" w:hAnsi="宋体" w:cs="宋体"/>
          <w:sz w:val="30"/>
          <w:szCs w:val="30"/>
        </w:rPr>
        <w:t>完成较好</w:t>
      </w:r>
      <w:r>
        <w:rPr>
          <w:rFonts w:hint="eastAsia" w:ascii="Malgun Gothic Semilight" w:hAnsi="Malgun Gothic Semilight" w:eastAsia="Malgun Gothic Semilight" w:cs="Malgun Gothic Semilight"/>
          <w:sz w:val="30"/>
          <w:szCs w:val="30"/>
        </w:rPr>
        <w:t>，</w:t>
      </w:r>
      <w:r>
        <w:rPr>
          <w:rFonts w:hint="eastAsia" w:ascii="宋体" w:hAnsi="宋体" w:cs="宋体"/>
          <w:sz w:val="30"/>
          <w:szCs w:val="30"/>
        </w:rPr>
        <w:t>达到了预期的绩效工作目标</w:t>
      </w:r>
      <w:r>
        <w:rPr>
          <w:rFonts w:hint="eastAsia" w:ascii="Malgun Gothic Semilight" w:hAnsi="Malgun Gothic Semilight" w:eastAsia="Malgun Gothic Semilight" w:cs="Malgun Gothic Semilight"/>
          <w:sz w:val="30"/>
          <w:szCs w:val="30"/>
        </w:rPr>
        <w:t>。</w:t>
      </w:r>
    </w:p>
    <w:p>
      <w:pPr>
        <w:ind w:firstLine="600" w:firstLineChars="200"/>
        <w:rPr>
          <w:rFonts w:ascii="仿宋" w:hAnsi="仿宋" w:eastAsia="仿宋"/>
          <w:sz w:val="30"/>
          <w:szCs w:val="30"/>
        </w:rPr>
      </w:pPr>
      <w:r>
        <w:rPr>
          <w:rFonts w:ascii="仿宋" w:hAnsi="仿宋" w:eastAsia="仿宋"/>
          <w:sz w:val="30"/>
          <w:szCs w:val="30"/>
        </w:rPr>
        <w:t>5.</w:t>
      </w:r>
      <w:r>
        <w:rPr>
          <w:rFonts w:hint="eastAsia" w:ascii="宋体" w:hAnsi="宋体" w:cs="宋体"/>
          <w:sz w:val="30"/>
          <w:szCs w:val="30"/>
        </w:rPr>
        <w:t>绩效目标全年预期完成情况</w:t>
      </w:r>
    </w:p>
    <w:p>
      <w:pPr>
        <w:ind w:firstLine="600" w:firstLineChars="200"/>
        <w:rPr>
          <w:rFonts w:ascii="仿宋" w:hAnsi="仿宋" w:eastAsia="仿宋"/>
          <w:sz w:val="30"/>
          <w:szCs w:val="30"/>
        </w:rPr>
      </w:pPr>
      <w:r>
        <w:rPr>
          <w:rFonts w:hint="eastAsia" w:ascii="宋体" w:hAnsi="宋体" w:cs="宋体"/>
          <w:sz w:val="30"/>
          <w:szCs w:val="30"/>
        </w:rPr>
        <w:t>完成较好</w:t>
      </w:r>
      <w:r>
        <w:rPr>
          <w:rFonts w:hint="eastAsia" w:ascii="Malgun Gothic Semilight" w:hAnsi="Malgun Gothic Semilight" w:eastAsia="Malgun Gothic Semilight" w:cs="Malgun Gothic Semilight"/>
          <w:sz w:val="30"/>
          <w:szCs w:val="30"/>
        </w:rPr>
        <w:t>，</w:t>
      </w:r>
      <w:r>
        <w:rPr>
          <w:rFonts w:hint="eastAsia" w:ascii="宋体" w:hAnsi="宋体" w:cs="宋体"/>
          <w:sz w:val="30"/>
          <w:szCs w:val="30"/>
        </w:rPr>
        <w:t>按计划完成了了全年工作量的</w:t>
      </w:r>
      <w:r>
        <w:rPr>
          <w:rFonts w:ascii="宋体" w:hAnsi="宋体" w:cs="宋体"/>
          <w:sz w:val="30"/>
          <w:szCs w:val="30"/>
        </w:rPr>
        <w:t>10</w:t>
      </w:r>
      <w:r>
        <w:rPr>
          <w:rFonts w:ascii="仿宋" w:hAnsi="仿宋" w:eastAsia="仿宋"/>
          <w:sz w:val="30"/>
          <w:szCs w:val="30"/>
        </w:rPr>
        <w:t>0%</w:t>
      </w:r>
      <w:r>
        <w:rPr>
          <w:rFonts w:hint="eastAsia" w:ascii="仿宋" w:hAnsi="仿宋" w:eastAsia="仿宋"/>
          <w:sz w:val="30"/>
          <w:szCs w:val="30"/>
        </w:rPr>
        <w:t>。</w:t>
      </w:r>
    </w:p>
    <w:p>
      <w:pPr>
        <w:pStyle w:val="12"/>
        <w:widowControl/>
        <w:numPr>
          <w:ilvl w:val="0"/>
          <w:numId w:val="3"/>
        </w:numPr>
        <w:adjustRightInd w:val="0"/>
        <w:snapToGrid w:val="0"/>
        <w:spacing w:after="200"/>
        <w:ind w:firstLineChars="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绩效目标偏差情况</w:t>
      </w:r>
    </w:p>
    <w:p>
      <w:pPr>
        <w:pStyle w:val="12"/>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预算经费申报金额严重不足，</w:t>
      </w:r>
      <w:r>
        <w:rPr>
          <w:rFonts w:hint="eastAsia" w:asciiTheme="minorEastAsia" w:hAnsiTheme="minorEastAsia" w:eastAsiaTheme="minorEastAsia" w:cstheme="minorEastAsia"/>
          <w:sz w:val="30"/>
          <w:szCs w:val="30"/>
          <w:lang w:eastAsia="zh-CN"/>
        </w:rPr>
        <w:t>院内老人儿童的护理与生活费用</w:t>
      </w:r>
      <w:r>
        <w:rPr>
          <w:rFonts w:hint="eastAsia" w:asciiTheme="minorEastAsia" w:hAnsiTheme="minorEastAsia" w:eastAsiaTheme="minorEastAsia" w:cstheme="minorEastAsia"/>
          <w:sz w:val="30"/>
          <w:szCs w:val="30"/>
        </w:rPr>
        <w:t>实际产生费用超出了预算申报金额。</w:t>
      </w:r>
    </w:p>
    <w:p>
      <w:pPr>
        <w:pStyle w:val="12"/>
        <w:widowControl/>
        <w:numPr>
          <w:ilvl w:val="0"/>
          <w:numId w:val="3"/>
        </w:numPr>
        <w:adjustRightInd w:val="0"/>
        <w:snapToGrid w:val="0"/>
        <w:spacing w:after="200"/>
        <w:ind w:firstLineChars="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绩效目标纠偏措施</w:t>
      </w:r>
    </w:p>
    <w:p>
      <w:pPr>
        <w:pStyle w:val="12"/>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本年度应增加预算经费，但因为今年财政经费困难的实际情况，暂缓存申报，等财政收支情况好转后再进行申报修改预算金额。</w:t>
      </w:r>
    </w:p>
    <w:p>
      <w:pPr>
        <w:pStyle w:val="12"/>
        <w:ind w:firstLine="0" w:firstLineChars="0"/>
        <w:rPr>
          <w:rFonts w:ascii="仿宋" w:hAnsi="仿宋" w:eastAsia="仿宋"/>
          <w:sz w:val="30"/>
          <w:szCs w:val="30"/>
        </w:rPr>
      </w:pPr>
    </w:p>
    <w:p>
      <w:pPr>
        <w:ind w:firstLine="640" w:firstLineChars="200"/>
        <w:jc w:val="left"/>
        <w:rPr>
          <w:rFonts w:ascii="宋体" w:cs="黑体"/>
          <w:color w:val="000000"/>
          <w:kern w:val="0"/>
          <w:sz w:val="32"/>
          <w:szCs w:val="32"/>
        </w:rPr>
      </w:pPr>
    </w:p>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微软雅黑"/>
    <w:panose1 w:val="02010609030101010101"/>
    <w:charset w:val="86"/>
    <w:family w:val="modern"/>
    <w:pitch w:val="default"/>
    <w:sig w:usb0="00000000" w:usb1="00000000" w:usb2="0000001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仿宋">
    <w:altName w:val="微软雅黑"/>
    <w:panose1 w:val="00000000000000000000"/>
    <w:charset w:val="86"/>
    <w:family w:val="modern"/>
    <w:pitch w:val="default"/>
    <w:sig w:usb0="00000000" w:usb1="00000000" w:usb2="00000016"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CBB60"/>
    <w:multiLevelType w:val="singleLevel"/>
    <w:tmpl w:val="8F3CBB60"/>
    <w:lvl w:ilvl="0" w:tentative="0">
      <w:start w:val="2"/>
      <w:numFmt w:val="chineseCounting"/>
      <w:suff w:val="nothing"/>
      <w:lvlText w:val="%1、"/>
      <w:lvlJc w:val="left"/>
      <w:rPr>
        <w:rFonts w:hint="eastAsia"/>
      </w:rPr>
    </w:lvl>
  </w:abstractNum>
  <w:abstractNum w:abstractNumId="1">
    <w:nsid w:val="0581469A"/>
    <w:multiLevelType w:val="multilevel"/>
    <w:tmpl w:val="0581469A"/>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23061C6D"/>
    <w:rsid w:val="362D2C98"/>
    <w:rsid w:val="727F57CA"/>
    <w:rsid w:val="77FA5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 w:type="character" w:customStyle="1" w:styleId="14">
    <w:name w:val="font61"/>
    <w:basedOn w:val="7"/>
    <w:qFormat/>
    <w:uiPriority w:val="0"/>
    <w:rPr>
      <w:rFonts w:hint="eastAsia" w:ascii="Times New Roman" w:eastAsia="楷体_GB2312" w:cs="楷体_GB2312"/>
      <w:sz w:val="3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1</TotalTime>
  <ScaleCrop>false</ScaleCrop>
  <LinksUpToDate>false</LinksUpToDate>
  <CharactersWithSpaces>8418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月下无心柳</cp:lastModifiedBy>
  <cp:lastPrinted>2020-07-15T07:25:00Z</cp:lastPrinted>
  <dcterms:modified xsi:type="dcterms:W3CDTF">2020-08-19T02:57:20Z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