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第二部分</w:t>
      </w:r>
    </w:p>
    <w:p>
      <w:pPr>
        <w:jc w:val="center"/>
        <w:rPr>
          <w:sz w:val="72"/>
          <w:szCs w:val="72"/>
        </w:rPr>
      </w:pPr>
      <w:bookmarkStart w:id="2" w:name="_GoBack"/>
      <w:r>
        <w:rPr>
          <w:rFonts w:hint="eastAsia"/>
          <w:b/>
          <w:bCs/>
          <w:sz w:val="36"/>
          <w:szCs w:val="36"/>
        </w:rPr>
        <w:t>部门决算表</w:t>
      </w:r>
    </w:p>
    <w:p>
      <w:pPr>
        <w:jc w:val="center"/>
        <w:rPr>
          <w:rFonts w:hint="eastAsia" w:ascii="华文中宋" w:hAnsi="华文中宋" w:eastAsia="华文中宋" w:cs="华文中宋"/>
          <w:b/>
          <w:bCs/>
          <w:sz w:val="36"/>
          <w:szCs w:val="32"/>
        </w:rPr>
      </w:pPr>
      <w:r>
        <w:rPr>
          <w:rFonts w:hint="eastAsia" w:ascii="华文中宋" w:hAnsi="华文中宋" w:eastAsia="华文中宋" w:cs="华文中宋"/>
          <w:b/>
          <w:bCs/>
          <w:sz w:val="36"/>
          <w:szCs w:val="32"/>
        </w:rPr>
        <w:t>收入支出决算总表</w:t>
      </w:r>
      <w:bookmarkEnd w:id="2"/>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洪江市质量安全监督站</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公开</w:t>
      </w:r>
      <w:r>
        <w:rPr>
          <w:rFonts w:hint="eastAsia" w:ascii="Times New Roman" w:hAnsi="Times New Roman" w:eastAsia="仿宋_GB2312" w:cs="Times New Roman"/>
          <w:color w:val="000000"/>
          <w:kern w:val="0"/>
          <w:szCs w:val="21"/>
          <w:lang w:val="en-US" w:eastAsia="zh-CN"/>
        </w:rPr>
        <w:t>01表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6"/>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43.75</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38.65</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六、科学技术支出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noWrap/>
            <w:vAlign w:val="center"/>
          </w:tcPr>
          <w:p>
            <w:pPr>
              <w:widowControl/>
              <w:tabs>
                <w:tab w:val="left" w:pos="517"/>
                <w:tab w:val="right" w:pos="1338"/>
              </w:tabs>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43.75</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kern w:val="0"/>
                <w:szCs w:val="21"/>
                <w:lang w:val="en-US" w:eastAsia="zh-CN"/>
              </w:rPr>
              <w:t>38.65</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both"/>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43.75</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Cs w:val="21"/>
                <w:lang w:val="en-US" w:eastAsia="zh-CN"/>
              </w:rPr>
            </w:pPr>
            <w:r>
              <w:rPr>
                <w:rFonts w:hint="eastAsia" w:ascii="Times New Roman" w:hAnsi="Times New Roman" w:eastAsia="仿宋_GB2312" w:cs="Times New Roman"/>
                <w:b w:val="0"/>
                <w:bCs w:val="0"/>
                <w:kern w:val="0"/>
                <w:szCs w:val="21"/>
                <w:lang w:val="en-US" w:eastAsia="zh-CN"/>
              </w:rPr>
              <w:t>43.75</w:t>
            </w:r>
          </w:p>
        </w:tc>
      </w:tr>
    </w:tbl>
    <w:p>
      <w:pPr>
        <w:widowControl/>
        <w:jc w:val="left"/>
        <w:rPr>
          <w:rFonts w:hint="eastAsia" w:ascii="华文中宋" w:hAnsi="华文中宋" w:eastAsia="华文中宋" w:cs="华文中宋"/>
          <w:kern w:val="0"/>
          <w:sz w:val="21"/>
          <w:szCs w:val="21"/>
        </w:rPr>
      </w:pPr>
      <w:r>
        <w:rPr>
          <w:rFonts w:hint="eastAsia" w:ascii="华文中宋" w:hAnsi="华文中宋" w:eastAsia="华文中宋" w:cs="华文中宋"/>
          <w:kern w:val="0"/>
          <w:sz w:val="21"/>
          <w:szCs w:val="21"/>
        </w:rPr>
        <w:t>注：本表反映部门本年度的总收支和年末结转结余情况。</w:t>
      </w:r>
    </w:p>
    <w:p>
      <w:pPr>
        <w:widowControl/>
        <w:jc w:val="center"/>
        <w:rPr>
          <w:rFonts w:hint="eastAsia" w:ascii="华文中宋" w:hAnsi="华文中宋" w:eastAsia="华文中宋" w:cs="华文中宋"/>
          <w:b/>
          <w:bCs/>
          <w:color w:val="000000"/>
          <w:kern w:val="0"/>
          <w:sz w:val="36"/>
          <w:szCs w:val="36"/>
        </w:rPr>
      </w:pPr>
      <w:r>
        <w:rPr>
          <w:rFonts w:hint="eastAsia" w:ascii="华文中宋" w:hAnsi="华文中宋" w:eastAsia="华文中宋" w:cs="华文中宋"/>
          <w:b/>
          <w:bCs/>
          <w:color w:val="000000"/>
          <w:kern w:val="0"/>
          <w:sz w:val="36"/>
          <w:szCs w:val="36"/>
        </w:rPr>
        <w:t>收入决算表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洪江市质安站</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公开02表</w:t>
      </w:r>
    </w:p>
    <w:p>
      <w:pPr>
        <w:widowControl/>
        <w:ind w:right="630"/>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单位</w:t>
      </w:r>
      <w:r>
        <w:rPr>
          <w:rFonts w:ascii="Times New Roman" w:hAnsi="Times New Roman" w:eastAsia="仿宋_GB2312" w:cs="Times New Roman"/>
          <w:color w:val="000000"/>
          <w:kern w:val="0"/>
          <w:szCs w:val="21"/>
        </w:rPr>
        <w:t>万元</w:t>
      </w:r>
    </w:p>
    <w:tbl>
      <w:tblPr>
        <w:tblStyle w:val="6"/>
        <w:tblW w:w="13813" w:type="dxa"/>
        <w:jc w:val="center"/>
        <w:tblLayout w:type="fixed"/>
        <w:tblCellMar>
          <w:top w:w="0" w:type="dxa"/>
          <w:left w:w="108" w:type="dxa"/>
          <w:bottom w:w="0" w:type="dxa"/>
          <w:right w:w="108" w:type="dxa"/>
        </w:tblCellMar>
      </w:tblPr>
      <w:tblGrid>
        <w:gridCol w:w="1197"/>
        <w:gridCol w:w="2148"/>
        <w:gridCol w:w="1605"/>
        <w:gridCol w:w="1575"/>
        <w:gridCol w:w="1650"/>
        <w:gridCol w:w="1410"/>
        <w:gridCol w:w="1215"/>
        <w:gridCol w:w="1470"/>
        <w:gridCol w:w="1543"/>
      </w:tblGrid>
      <w:tr>
        <w:tblPrEx>
          <w:tblCellMar>
            <w:top w:w="0" w:type="dxa"/>
            <w:left w:w="108" w:type="dxa"/>
            <w:bottom w:w="0" w:type="dxa"/>
            <w:right w:w="108" w:type="dxa"/>
          </w:tblCellMar>
        </w:tblPrEx>
        <w:trPr>
          <w:trHeight w:val="450" w:hRule="atLeast"/>
          <w:jc w:val="center"/>
        </w:trPr>
        <w:tc>
          <w:tcPr>
            <w:tcW w:w="3345"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60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57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1650"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1410"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21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470"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1543"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tblPrEx>
          <w:tblCellMar>
            <w:top w:w="0" w:type="dxa"/>
            <w:left w:w="108" w:type="dxa"/>
            <w:bottom w:w="0" w:type="dxa"/>
            <w:right w:w="108" w:type="dxa"/>
          </w:tblCellMar>
        </w:tblPrEx>
        <w:trPr>
          <w:trHeight w:val="450" w:hRule="atLeast"/>
          <w:jc w:val="center"/>
        </w:trPr>
        <w:tc>
          <w:tcPr>
            <w:tcW w:w="1197"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214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60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7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5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1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7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43"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97" w:type="dxa"/>
            <w:vMerge w:val="continue"/>
            <w:tcBorders>
              <w:top w:val="single" w:color="auto" w:sz="4" w:space="0"/>
              <w:left w:val="single" w:color="auto" w:sz="8" w:space="0"/>
              <w:bottom w:val="single" w:color="000000" w:sz="4" w:space="0"/>
              <w:right w:val="nil"/>
            </w:tcBorders>
            <w:vAlign w:val="center"/>
          </w:tcPr>
          <w:p>
            <w:pPr>
              <w:widowControl/>
              <w:jc w:val="left"/>
              <w:rPr>
                <w:rFonts w:ascii="Times New Roman" w:hAnsi="Times New Roman" w:eastAsia="仿宋_GB2312" w:cs="Times New Roman"/>
                <w:kern w:val="0"/>
                <w:szCs w:val="21"/>
              </w:rPr>
            </w:pPr>
          </w:p>
        </w:tc>
        <w:tc>
          <w:tcPr>
            <w:tcW w:w="214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0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7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5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1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7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43"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3345" w:type="dxa"/>
            <w:gridSpan w:val="2"/>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543"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CellMar>
            <w:top w:w="0" w:type="dxa"/>
            <w:left w:w="108" w:type="dxa"/>
            <w:bottom w:w="0" w:type="dxa"/>
            <w:right w:w="108" w:type="dxa"/>
          </w:tblCellMar>
        </w:tblPrEx>
        <w:trPr>
          <w:trHeight w:val="450" w:hRule="atLeast"/>
          <w:jc w:val="center"/>
        </w:trPr>
        <w:tc>
          <w:tcPr>
            <w:tcW w:w="3345" w:type="dxa"/>
            <w:gridSpan w:val="2"/>
            <w:tcBorders>
              <w:top w:val="nil"/>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43.75</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43.75</w:t>
            </w:r>
          </w:p>
        </w:tc>
        <w:tc>
          <w:tcPr>
            <w:tcW w:w="16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543"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w:t>
            </w:r>
          </w:p>
        </w:tc>
        <w:tc>
          <w:tcPr>
            <w:tcW w:w="21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卫生健康支出</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5.16</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5.16</w:t>
            </w:r>
          </w:p>
        </w:tc>
        <w:tc>
          <w:tcPr>
            <w:tcW w:w="16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543"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21011</w:t>
            </w:r>
          </w:p>
        </w:tc>
        <w:tc>
          <w:tcPr>
            <w:tcW w:w="21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行政事业单位医疗</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5.16</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5.16</w:t>
            </w:r>
          </w:p>
        </w:tc>
        <w:tc>
          <w:tcPr>
            <w:tcW w:w="16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543"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2101102</w:t>
            </w:r>
          </w:p>
        </w:tc>
        <w:tc>
          <w:tcPr>
            <w:tcW w:w="21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事业单位医疗</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5.16</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5.16</w:t>
            </w:r>
          </w:p>
        </w:tc>
        <w:tc>
          <w:tcPr>
            <w:tcW w:w="16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543"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212</w:t>
            </w:r>
          </w:p>
        </w:tc>
        <w:tc>
          <w:tcPr>
            <w:tcW w:w="21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城乡社区支出</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38.59</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38.59</w:t>
            </w:r>
          </w:p>
        </w:tc>
        <w:tc>
          <w:tcPr>
            <w:tcW w:w="16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543"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21206</w:t>
            </w:r>
          </w:p>
        </w:tc>
        <w:tc>
          <w:tcPr>
            <w:tcW w:w="21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建设市场管理与监督</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38.59</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38.59</w:t>
            </w:r>
          </w:p>
        </w:tc>
        <w:tc>
          <w:tcPr>
            <w:tcW w:w="16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543"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2120601</w:t>
            </w:r>
          </w:p>
        </w:tc>
        <w:tc>
          <w:tcPr>
            <w:tcW w:w="2148"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建设市场管理与监督</w:t>
            </w:r>
          </w:p>
        </w:tc>
        <w:tc>
          <w:tcPr>
            <w:tcW w:w="1605" w:type="dxa"/>
            <w:tcBorders>
              <w:top w:val="nil"/>
              <w:left w:val="nil"/>
              <w:bottom w:val="single" w:color="auto" w:sz="8"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38.59</w:t>
            </w:r>
          </w:p>
        </w:tc>
        <w:tc>
          <w:tcPr>
            <w:tcW w:w="1575" w:type="dxa"/>
            <w:tcBorders>
              <w:top w:val="nil"/>
              <w:left w:val="nil"/>
              <w:bottom w:val="single" w:color="auto" w:sz="8"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38.59</w:t>
            </w:r>
          </w:p>
        </w:tc>
        <w:tc>
          <w:tcPr>
            <w:tcW w:w="1650"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410"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15"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470"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543"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bl>
    <w:p>
      <w:pPr>
        <w:widowControl/>
        <w:jc w:val="center"/>
        <w:rPr>
          <w:rFonts w:hint="eastAsia" w:ascii="华文中宋" w:hAnsi="华文中宋" w:eastAsia="华文中宋" w:cs="华文中宋"/>
          <w:b/>
          <w:bCs/>
          <w:color w:val="000000"/>
          <w:kern w:val="0"/>
          <w:sz w:val="36"/>
          <w:szCs w:val="36"/>
        </w:rPr>
      </w:pPr>
    </w:p>
    <w:p>
      <w:pPr>
        <w:widowControl/>
        <w:jc w:val="center"/>
        <w:rPr>
          <w:rFonts w:hint="eastAsia" w:ascii="华文中宋" w:hAnsi="华文中宋" w:eastAsia="华文中宋" w:cs="华文中宋"/>
          <w:b/>
          <w:bCs/>
          <w:color w:val="000000"/>
          <w:kern w:val="0"/>
          <w:sz w:val="36"/>
          <w:szCs w:val="36"/>
        </w:rPr>
      </w:pPr>
    </w:p>
    <w:p>
      <w:pPr>
        <w:widowControl/>
        <w:jc w:val="center"/>
        <w:rPr>
          <w:rFonts w:hint="eastAsia" w:ascii="华文中宋" w:hAnsi="华文中宋" w:eastAsia="华文中宋" w:cs="华文中宋"/>
          <w:b/>
          <w:bCs/>
          <w:color w:val="000000"/>
          <w:kern w:val="0"/>
          <w:sz w:val="36"/>
          <w:szCs w:val="36"/>
          <w:lang w:eastAsia="zh-CN"/>
        </w:rPr>
      </w:pPr>
    </w:p>
    <w:p>
      <w:pPr>
        <w:widowControl/>
        <w:jc w:val="center"/>
        <w:rPr>
          <w:rFonts w:hint="eastAsia" w:ascii="华文中宋" w:hAnsi="华文中宋" w:eastAsia="华文中宋" w:cs="华文中宋"/>
          <w:b/>
          <w:bCs/>
          <w:color w:val="000000"/>
          <w:kern w:val="0"/>
          <w:sz w:val="36"/>
          <w:szCs w:val="36"/>
          <w:lang w:eastAsia="zh-CN"/>
        </w:rPr>
      </w:pPr>
      <w:r>
        <w:rPr>
          <w:rFonts w:hint="eastAsia" w:ascii="华文中宋" w:hAnsi="华文中宋" w:eastAsia="华文中宋" w:cs="华文中宋"/>
          <w:b/>
          <w:bCs/>
          <w:color w:val="000000"/>
          <w:kern w:val="0"/>
          <w:sz w:val="36"/>
          <w:szCs w:val="36"/>
          <w:lang w:eastAsia="zh-CN"/>
        </w:rPr>
        <w:t>支出决算表</w:t>
      </w:r>
    </w:p>
    <w:p>
      <w:pPr>
        <w:widowControl/>
        <w:spacing w:line="400" w:lineRule="exact"/>
        <w:ind w:firstLine="600" w:firstLineChars="3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rPr>
        <w:t>洪江市质安站</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公开03表</w:t>
      </w:r>
    </w:p>
    <w:p>
      <w:pPr>
        <w:widowControl/>
        <w:spacing w:line="400" w:lineRule="exact"/>
        <w:ind w:right="700" w:firstLine="12200" w:firstLineChars="6100"/>
        <w:jc w:val="both"/>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单位：万元</w:t>
      </w:r>
    </w:p>
    <w:tbl>
      <w:tblPr>
        <w:tblStyle w:val="6"/>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2"/>
        <w:gridCol w:w="2681"/>
        <w:gridCol w:w="2100"/>
        <w:gridCol w:w="1950"/>
        <w:gridCol w:w="1545"/>
        <w:gridCol w:w="1800"/>
        <w:gridCol w:w="1530"/>
        <w:gridCol w:w="13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783"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210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95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154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180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53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1381"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2681"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210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5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54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0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53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381"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681"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10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5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54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0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53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381"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783"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10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95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54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0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5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38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783"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10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38.65</w:t>
            </w:r>
          </w:p>
        </w:tc>
        <w:tc>
          <w:tcPr>
            <w:tcW w:w="195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38.65</w:t>
            </w:r>
          </w:p>
        </w:tc>
        <w:tc>
          <w:tcPr>
            <w:tcW w:w="1545"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0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53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381"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w:t>
            </w:r>
          </w:p>
        </w:tc>
        <w:tc>
          <w:tcPr>
            <w:tcW w:w="2681" w:type="dxa"/>
            <w:shd w:val="clear" w:color="auto" w:fill="auto"/>
            <w:noWrap/>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卫生健康支出</w:t>
            </w:r>
          </w:p>
        </w:tc>
        <w:tc>
          <w:tcPr>
            <w:tcW w:w="210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5.16</w:t>
            </w:r>
          </w:p>
        </w:tc>
        <w:tc>
          <w:tcPr>
            <w:tcW w:w="195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5.16</w:t>
            </w:r>
          </w:p>
        </w:tc>
        <w:tc>
          <w:tcPr>
            <w:tcW w:w="1545"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0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53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381"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21011</w:t>
            </w:r>
          </w:p>
        </w:tc>
        <w:tc>
          <w:tcPr>
            <w:tcW w:w="2681" w:type="dxa"/>
            <w:shd w:val="clear" w:color="auto" w:fill="auto"/>
            <w:noWrap/>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行政事业单位医疗</w:t>
            </w:r>
          </w:p>
        </w:tc>
        <w:tc>
          <w:tcPr>
            <w:tcW w:w="210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5.16</w:t>
            </w:r>
          </w:p>
        </w:tc>
        <w:tc>
          <w:tcPr>
            <w:tcW w:w="195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5.16</w:t>
            </w:r>
          </w:p>
        </w:tc>
        <w:tc>
          <w:tcPr>
            <w:tcW w:w="1545"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0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53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381"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2101102</w:t>
            </w:r>
          </w:p>
        </w:tc>
        <w:tc>
          <w:tcPr>
            <w:tcW w:w="2681" w:type="dxa"/>
            <w:shd w:val="clear" w:color="auto" w:fill="auto"/>
            <w:noWrap/>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事业单位医疗</w:t>
            </w:r>
          </w:p>
        </w:tc>
        <w:tc>
          <w:tcPr>
            <w:tcW w:w="210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5.16</w:t>
            </w:r>
          </w:p>
        </w:tc>
        <w:tc>
          <w:tcPr>
            <w:tcW w:w="195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5.16</w:t>
            </w:r>
          </w:p>
        </w:tc>
        <w:tc>
          <w:tcPr>
            <w:tcW w:w="1545"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0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53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381"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212</w:t>
            </w:r>
          </w:p>
        </w:tc>
        <w:tc>
          <w:tcPr>
            <w:tcW w:w="2681" w:type="dxa"/>
            <w:shd w:val="clear" w:color="auto" w:fill="auto"/>
            <w:noWrap/>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城乡社区支出</w:t>
            </w:r>
          </w:p>
        </w:tc>
        <w:tc>
          <w:tcPr>
            <w:tcW w:w="210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33.49</w:t>
            </w:r>
          </w:p>
        </w:tc>
        <w:tc>
          <w:tcPr>
            <w:tcW w:w="195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33.49</w:t>
            </w:r>
          </w:p>
        </w:tc>
        <w:tc>
          <w:tcPr>
            <w:tcW w:w="1545"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0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53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381"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21206</w:t>
            </w:r>
          </w:p>
        </w:tc>
        <w:tc>
          <w:tcPr>
            <w:tcW w:w="2681" w:type="dxa"/>
            <w:shd w:val="clear" w:color="auto" w:fill="auto"/>
            <w:noWrap/>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建设市场管理与监督</w:t>
            </w:r>
          </w:p>
        </w:tc>
        <w:tc>
          <w:tcPr>
            <w:tcW w:w="210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33.49</w:t>
            </w:r>
          </w:p>
        </w:tc>
        <w:tc>
          <w:tcPr>
            <w:tcW w:w="195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33.49</w:t>
            </w:r>
          </w:p>
        </w:tc>
        <w:tc>
          <w:tcPr>
            <w:tcW w:w="1545"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0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53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381"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2120601</w:t>
            </w:r>
          </w:p>
        </w:tc>
        <w:tc>
          <w:tcPr>
            <w:tcW w:w="2681" w:type="dxa"/>
            <w:shd w:val="clear" w:color="auto" w:fill="auto"/>
            <w:noWrap/>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建设市场管理与监督</w:t>
            </w:r>
          </w:p>
        </w:tc>
        <w:tc>
          <w:tcPr>
            <w:tcW w:w="210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33.49</w:t>
            </w:r>
          </w:p>
        </w:tc>
        <w:tc>
          <w:tcPr>
            <w:tcW w:w="195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33.49</w:t>
            </w:r>
          </w:p>
        </w:tc>
        <w:tc>
          <w:tcPr>
            <w:tcW w:w="1545"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0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53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381"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bl>
    <w:p>
      <w:pPr>
        <w:widowControl/>
        <w:jc w:val="left"/>
        <w:rPr>
          <w:rFonts w:hint="eastAsia" w:ascii="华文中宋" w:hAnsi="华文中宋" w:eastAsia="华文中宋" w:cs="华文中宋"/>
          <w:sz w:val="21"/>
          <w:szCs w:val="21"/>
        </w:rPr>
        <w:sectPr>
          <w:headerReference r:id="rId3" w:type="default"/>
          <w:footerReference r:id="rId4" w:type="default"/>
          <w:pgSz w:w="16838" w:h="11906" w:orient="landscape"/>
          <w:pgMar w:top="1514" w:right="1440" w:bottom="1797" w:left="1440" w:header="851" w:footer="992" w:gutter="0"/>
          <w:cols w:space="425" w:num="1"/>
          <w:docGrid w:type="linesAndChars" w:linePitch="312" w:charSpace="0"/>
        </w:sectPr>
      </w:pPr>
      <w:r>
        <w:rPr>
          <w:rFonts w:hint="eastAsia" w:ascii="华文中宋" w:hAnsi="华文中宋" w:eastAsia="华文中宋" w:cs="华文中宋"/>
          <w:kern w:val="0"/>
          <w:sz w:val="21"/>
          <w:szCs w:val="21"/>
        </w:rPr>
        <w:t>注：本表反映部门本年度各项支出情况</w:t>
      </w:r>
    </w:p>
    <w:p>
      <w:pPr>
        <w:widowControl/>
        <w:jc w:val="center"/>
        <w:rPr>
          <w:rFonts w:hint="eastAsia" w:ascii="华文中宋" w:hAnsi="华文中宋" w:eastAsia="华文中宋" w:cs="华文中宋"/>
          <w:color w:val="000000"/>
          <w:kern w:val="0"/>
          <w:sz w:val="36"/>
          <w:szCs w:val="21"/>
        </w:rPr>
      </w:pPr>
      <w:r>
        <w:rPr>
          <w:rFonts w:hint="eastAsia" w:ascii="华文中宋" w:hAnsi="华文中宋" w:eastAsia="华文中宋" w:cs="华文中宋"/>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right="630" w:firstLine="11760" w:firstLineChars="5600"/>
        <w:jc w:val="center"/>
        <w:rPr>
          <w:rFonts w:ascii="Times New Roman" w:hAnsi="Times New Roman" w:eastAsia="仿宋_GB2312" w:cs="Times New Roman"/>
          <w:color w:val="000000"/>
          <w:kern w:val="0"/>
          <w:szCs w:val="21"/>
        </w:rPr>
      </w:pPr>
      <w:r>
        <w:rPr>
          <w:rFonts w:hint="eastAsia" w:ascii="仿宋" w:hAnsi="仿宋" w:eastAsia="仿宋" w:cs="仿宋"/>
          <w:color w:val="000000"/>
          <w:kern w:val="0"/>
          <w:szCs w:val="21"/>
        </w:rPr>
        <w:t>公开04表</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洪江市质安站</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6"/>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43.75</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一、一般公共服务支出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88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38.65</w:t>
            </w:r>
          </w:p>
        </w:tc>
        <w:tc>
          <w:tcPr>
            <w:tcW w:w="166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38.65</w:t>
            </w:r>
          </w:p>
        </w:tc>
        <w:tc>
          <w:tcPr>
            <w:tcW w:w="1572"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二、外交支出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88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66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572"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三、国防支出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88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66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572"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四、公共安全支出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88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66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572"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五、教育支出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88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66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572"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六、科学技术支出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88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66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572"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w:t>
            </w:r>
            <w:r>
              <w:rPr>
                <w:rFonts w:ascii="Times New Roman" w:hAnsi="Times New Roman" w:eastAsia="仿宋_GB2312" w:cs="Times New Roman"/>
                <w:kern w:val="0"/>
                <w:szCs w:val="21"/>
              </w:rPr>
              <w:t>…</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88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43.75</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88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38.65</w:t>
            </w:r>
          </w:p>
        </w:tc>
        <w:tc>
          <w:tcPr>
            <w:tcW w:w="166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38.65</w:t>
            </w:r>
          </w:p>
        </w:tc>
        <w:tc>
          <w:tcPr>
            <w:tcW w:w="1572" w:type="dxa"/>
            <w:shd w:val="clear" w:color="auto" w:fill="auto"/>
            <w:noWrap/>
            <w:vAlign w:val="center"/>
          </w:tcPr>
          <w:p>
            <w:pPr>
              <w:widowControl/>
              <w:jc w:val="center"/>
              <w:rPr>
                <w:rFonts w:hint="eastAsia" w:ascii="Times New Roman" w:hAnsi="Times New Roman" w:eastAsia="仿宋_GB2312" w:cs="Times New Roman"/>
                <w:b/>
                <w:bCs/>
                <w:kern w:val="0"/>
                <w:szCs w:val="21"/>
                <w:lang w:val="en-US" w:eastAsia="zh-CN"/>
              </w:rPr>
            </w:pPr>
            <w:r>
              <w:rPr>
                <w:rFonts w:hint="eastAsia" w:ascii="Times New Roman" w:hAnsi="Times New Roman" w:eastAsia="仿宋_GB2312" w:cs="Times New Roman"/>
                <w:b/>
                <w:bCs/>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8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88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w:t>
            </w:r>
          </w:p>
        </w:tc>
        <w:tc>
          <w:tcPr>
            <w:tcW w:w="166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w:t>
            </w:r>
          </w:p>
        </w:tc>
        <w:tc>
          <w:tcPr>
            <w:tcW w:w="1572"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88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88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88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43.75</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88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43.75</w:t>
            </w:r>
          </w:p>
        </w:tc>
        <w:tc>
          <w:tcPr>
            <w:tcW w:w="166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43.75</w:t>
            </w:r>
          </w:p>
        </w:tc>
        <w:tc>
          <w:tcPr>
            <w:tcW w:w="1572" w:type="dxa"/>
            <w:shd w:val="clear" w:color="auto" w:fill="auto"/>
            <w:noWrap/>
            <w:vAlign w:val="center"/>
          </w:tcPr>
          <w:p>
            <w:pPr>
              <w:widowControl/>
              <w:jc w:val="center"/>
              <w:rPr>
                <w:rFonts w:hint="eastAsia" w:ascii="Times New Roman" w:hAnsi="Times New Roman" w:eastAsia="仿宋_GB2312" w:cs="Times New Roman"/>
                <w:b/>
                <w:bCs/>
                <w:kern w:val="0"/>
                <w:szCs w:val="21"/>
                <w:lang w:val="en-US" w:eastAsia="zh-CN"/>
              </w:rPr>
            </w:pPr>
            <w:r>
              <w:rPr>
                <w:rFonts w:hint="eastAsia" w:ascii="Times New Roman" w:hAnsi="Times New Roman" w:eastAsia="仿宋_GB2312" w:cs="Times New Roman"/>
                <w:b/>
                <w:bCs/>
                <w:kern w:val="0"/>
                <w:szCs w:val="21"/>
                <w:lang w:val="en-US" w:eastAsia="zh-CN"/>
              </w:rPr>
              <w:t>0</w:t>
            </w:r>
          </w:p>
        </w:tc>
      </w:tr>
    </w:tbl>
    <w:p>
      <w:pPr>
        <w:widowControl/>
        <w:jc w:val="left"/>
        <w:rPr>
          <w:rFonts w:hint="eastAsia" w:ascii="华文中宋" w:hAnsi="华文中宋" w:eastAsia="华文中宋" w:cs="华文中宋"/>
          <w:kern w:val="0"/>
          <w:sz w:val="21"/>
          <w:szCs w:val="21"/>
        </w:rPr>
      </w:pPr>
      <w:r>
        <w:rPr>
          <w:rFonts w:hint="eastAsia" w:ascii="华文中宋" w:hAnsi="华文中宋" w:eastAsia="华文中宋" w:cs="华文中宋"/>
          <w:kern w:val="0"/>
          <w:sz w:val="21"/>
          <w:szCs w:val="21"/>
        </w:rPr>
        <w:t>注：本表反映部门本年度一般公共预算财政拨款和政府性基金预算财政拨款的总收支和年末结转结余情况。</w:t>
      </w:r>
    </w:p>
    <w:p>
      <w:pPr>
        <w:widowControl/>
        <w:jc w:val="center"/>
        <w:rPr>
          <w:rFonts w:hint="eastAsia" w:ascii="华文中宋" w:hAnsi="华文中宋" w:eastAsia="华文中宋" w:cs="华文中宋"/>
          <w:kern w:val="0"/>
          <w:sz w:val="36"/>
          <w:szCs w:val="36"/>
        </w:rPr>
      </w:pPr>
      <w:bookmarkStart w:id="0" w:name="RANGE!A1:F16"/>
      <w:r>
        <w:rPr>
          <w:rFonts w:hint="eastAsia" w:ascii="华文中宋" w:hAnsi="华文中宋" w:eastAsia="华文中宋" w:cs="华文中宋"/>
          <w:kern w:val="0"/>
          <w:sz w:val="36"/>
          <w:szCs w:val="36"/>
        </w:rPr>
        <w:t>一般公共预算财政拨款支出决算表</w:t>
      </w:r>
      <w:bookmarkEnd w:id="0"/>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：洪江市质安站</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38.65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38.65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21011</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2101102</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事业单位医疗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212</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城乡社区支出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33.49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33.49</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21206</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建设市场管理与监督</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33.49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33.49</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2120601</w:t>
            </w:r>
          </w:p>
        </w:tc>
        <w:tc>
          <w:tcPr>
            <w:tcW w:w="3527"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建设市场管理与监督</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33.49</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33.49</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hint="eastAsia" w:ascii="华文中宋" w:hAnsi="华文中宋" w:eastAsia="华文中宋" w:cs="华文中宋"/>
                <w:kern w:val="0"/>
                <w:sz w:val="21"/>
                <w:szCs w:val="21"/>
              </w:rPr>
              <w:t>注：本表反映部门本年度一般公共预算财政拨款支出情况。</w:t>
            </w:r>
          </w:p>
        </w:tc>
      </w:tr>
    </w:tbl>
    <w:p>
      <w:pPr>
        <w:widowControl/>
        <w:jc w:val="left"/>
        <w:rPr>
          <w:rFonts w:ascii="Times New Roman" w:hAnsi="Times New Roman" w:eastAsia="黑体" w:cs="Times New Roman"/>
          <w:bCs/>
          <w:kern w:val="0"/>
          <w:sz w:val="32"/>
          <w:szCs w:val="32"/>
        </w:rPr>
      </w:pPr>
    </w:p>
    <w:p>
      <w:pPr>
        <w:jc w:val="center"/>
        <w:rPr>
          <w:sz w:val="36"/>
          <w:szCs w:val="36"/>
        </w:rPr>
      </w:pPr>
    </w:p>
    <w:p>
      <w:pPr>
        <w:jc w:val="left"/>
        <w:rPr>
          <w:rFonts w:asciiTheme="minorEastAsia" w:hAnsiTheme="minorEastAsia"/>
          <w:sz w:val="32"/>
          <w:szCs w:val="32"/>
        </w:rPr>
        <w:sectPr>
          <w:pgSz w:w="16838" w:h="11906" w:orient="landscape"/>
          <w:pgMar w:top="1179" w:right="1440" w:bottom="1800" w:left="2007" w:header="851" w:footer="992" w:gutter="0"/>
          <w:cols w:space="425" w:num="1"/>
          <w:docGrid w:type="lines" w:linePitch="312" w:charSpace="0"/>
        </w:sectPr>
      </w:pPr>
    </w:p>
    <w:p>
      <w:pPr>
        <w:widowControl/>
        <w:jc w:val="center"/>
        <w:rPr>
          <w:rFonts w:hint="eastAsia" w:ascii="华文中宋" w:hAnsi="华文中宋" w:eastAsia="华文中宋" w:cs="华文中宋"/>
          <w:color w:val="000000"/>
          <w:kern w:val="0"/>
          <w:sz w:val="36"/>
          <w:szCs w:val="36"/>
        </w:rPr>
      </w:pPr>
      <w:bookmarkStart w:id="1" w:name="RANGE!A1:I39"/>
      <w:r>
        <w:rPr>
          <w:rFonts w:hint="eastAsia" w:ascii="华文中宋" w:hAnsi="华文中宋" w:eastAsia="华文中宋" w:cs="华文中宋"/>
          <w:color w:val="000000"/>
          <w:kern w:val="0"/>
          <w:sz w:val="36"/>
          <w:szCs w:val="36"/>
        </w:rPr>
        <w:t>一般公共预算财政拨款基本支出决算表</w:t>
      </w:r>
      <w:bookmarkEnd w:id="1"/>
    </w:p>
    <w:p>
      <w:pPr>
        <w:widowControl/>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洪江市质安站</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公开06表</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r>
        <w:rPr>
          <w:rFonts w:hint="eastAsia" w:ascii="Times New Roman" w:hAnsi="Times New Roman" w:eastAsia="仿宋_GB2312" w:cs="Times New Roman"/>
          <w:color w:val="000000"/>
          <w:kern w:val="0"/>
          <w:szCs w:val="21"/>
          <w:lang w:val="en-US" w:eastAsia="zh-CN"/>
        </w:rPr>
        <w:t xml:space="preserve">                                                                                                                                </w:t>
      </w:r>
    </w:p>
    <w:tbl>
      <w:tblPr>
        <w:tblStyle w:val="6"/>
        <w:tblpPr w:leftFromText="180" w:rightFromText="180" w:vertAnchor="text" w:horzAnchor="page" w:tblpX="1181" w:tblpY="704"/>
        <w:tblOverlap w:val="never"/>
        <w:tblW w:w="15125" w:type="dxa"/>
        <w:tblInd w:w="0" w:type="dxa"/>
        <w:tblLayout w:type="fixed"/>
        <w:tblCellMar>
          <w:top w:w="0" w:type="dxa"/>
          <w:left w:w="108" w:type="dxa"/>
          <w:bottom w:w="0" w:type="dxa"/>
          <w:right w:w="108" w:type="dxa"/>
        </w:tblCellMar>
      </w:tblPr>
      <w:tblGrid>
        <w:gridCol w:w="1149"/>
        <w:gridCol w:w="2416"/>
        <w:gridCol w:w="1746"/>
        <w:gridCol w:w="1110"/>
        <w:gridCol w:w="2297"/>
        <w:gridCol w:w="856"/>
        <w:gridCol w:w="1076"/>
        <w:gridCol w:w="1945"/>
        <w:gridCol w:w="2530"/>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41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174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194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253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241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32.09</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6.56</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1945"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26.93</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1945"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1945"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1945"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1945"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1945"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0.16</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1945"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0.4</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1945"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5.16</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1945"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1945"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3.3</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1945"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1945"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1945"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1945"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241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1945"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0.25</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1945"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1945"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1945"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1945"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1945"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1945"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1945"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1945"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1945"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1.30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1945"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241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1746" w:type="dxa"/>
            <w:tcBorders>
              <w:top w:val="single" w:color="auto" w:sz="8" w:space="0"/>
              <w:left w:val="nil"/>
              <w:bottom w:val="single" w:color="auto" w:sz="8" w:space="0"/>
              <w:right w:val="single" w:color="auto" w:sz="8" w:space="0"/>
            </w:tcBorders>
            <w:shd w:val="clear" w:color="auto" w:fill="auto"/>
            <w:noWrap/>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110"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shd w:val="clear" w:color="auto" w:fill="auto"/>
            <w:noWrap/>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07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945"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3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746" w:type="dxa"/>
            <w:tcBorders>
              <w:top w:val="nil"/>
              <w:left w:val="nil"/>
              <w:bottom w:val="single" w:color="auto" w:sz="8" w:space="0"/>
              <w:right w:val="single" w:color="auto" w:sz="8" w:space="0"/>
            </w:tcBorders>
            <w:shd w:val="clear" w:color="auto" w:fill="auto"/>
            <w:noWrap/>
          </w:tcPr>
          <w:p>
            <w:pPr>
              <w:widowControl/>
              <w:jc w:val="center"/>
              <w:rPr>
                <w:rFonts w:hint="eastAsia" w:ascii="Times New Roman" w:hAnsi="Times New Roman" w:eastAsia="宋体" w:cs="Times New Roman"/>
                <w:color w:val="000000"/>
                <w:kern w:val="0"/>
                <w:sz w:val="18"/>
                <w:szCs w:val="18"/>
                <w:lang w:val="en-US" w:eastAsia="zh-CN"/>
              </w:rPr>
            </w:pP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945"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1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746" w:type="dxa"/>
            <w:tcBorders>
              <w:top w:val="nil"/>
              <w:left w:val="nil"/>
              <w:bottom w:val="single" w:color="auto" w:sz="8" w:space="0"/>
              <w:right w:val="single" w:color="auto" w:sz="8" w:space="0"/>
            </w:tcBorders>
            <w:shd w:val="clear" w:color="auto" w:fill="auto"/>
            <w:noWrap/>
          </w:tcPr>
          <w:p>
            <w:pPr>
              <w:widowControl/>
              <w:jc w:val="center"/>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0.15</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945"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30" w:type="dxa"/>
            <w:tcBorders>
              <w:top w:val="nil"/>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3565" w:type="dxa"/>
            <w:gridSpan w:val="2"/>
            <w:tcBorders>
              <w:top w:val="nil"/>
              <w:left w:val="single" w:color="auto" w:sz="8" w:space="0"/>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1746" w:type="dxa"/>
            <w:tcBorders>
              <w:top w:val="nil"/>
              <w:left w:val="nil"/>
              <w:bottom w:val="single" w:color="auto" w:sz="8" w:space="0"/>
              <w:right w:val="single" w:color="auto" w:sz="8"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32.09</w:t>
            </w:r>
          </w:p>
        </w:tc>
        <w:tc>
          <w:tcPr>
            <w:tcW w:w="7284" w:type="dxa"/>
            <w:gridSpan w:val="5"/>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253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6.56</w:t>
            </w:r>
          </w:p>
        </w:tc>
      </w:tr>
    </w:tbl>
    <w:p>
      <w:pPr>
        <w:widowControl/>
        <w:jc w:val="center"/>
        <w:rPr>
          <w:rFonts w:ascii="Times New Roman" w:hAnsi="Times New Roman" w:eastAsia="方正小标宋_GBK" w:cs="Times New Roman"/>
          <w:color w:val="000000"/>
          <w:kern w:val="0"/>
          <w:sz w:val="36"/>
          <w:szCs w:val="36"/>
        </w:rPr>
      </w:pPr>
      <w:r>
        <w:rPr>
          <w:rFonts w:hint="eastAsia" w:ascii="华文中宋" w:hAnsi="华文中宋" w:eastAsia="华文中宋" w:cs="华文中宋"/>
          <w:kern w:val="0"/>
          <w:sz w:val="24"/>
          <w:szCs w:val="24"/>
        </w:rPr>
        <w:br w:type="page"/>
      </w:r>
      <w:r>
        <w:rPr>
          <w:rFonts w:hint="eastAsia" w:ascii="Times New Roman" w:hAnsi="Times New Roman" w:eastAsia="方正小标宋_GBK" w:cs="Times New Roman"/>
          <w:color w:val="000000"/>
          <w:kern w:val="0"/>
          <w:sz w:val="36"/>
          <w:szCs w:val="36"/>
        </w:rPr>
        <w:t>一般公共预算财政拨款“三公”经费支出决算表</w:t>
      </w:r>
    </w:p>
    <w:p>
      <w:pPr>
        <w:widowControl/>
        <w:ind w:right="42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洪江市质安站</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p>
      <w:pPr>
        <w:widowControl/>
        <w:ind w:right="420"/>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bl>
    <w:p>
      <w:pPr>
        <w:autoSpaceDE w:val="0"/>
        <w:autoSpaceDN w:val="0"/>
        <w:adjustRightInd w:val="0"/>
        <w:ind w:left="315" w:leftChars="150"/>
        <w:jc w:val="left"/>
        <w:rPr>
          <w:rFonts w:hint="eastAsia" w:ascii="华文中宋" w:hAnsi="华文中宋" w:eastAsia="华文中宋" w:cs="华文中宋"/>
          <w:kern w:val="0"/>
          <w:sz w:val="21"/>
          <w:szCs w:val="21"/>
        </w:rPr>
      </w:pPr>
      <w:r>
        <w:rPr>
          <w:rFonts w:hint="eastAsia" w:ascii="华文中宋" w:hAnsi="华文中宋" w:eastAsia="华文中宋" w:cs="华文中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黑体" w:hAnsi="黑体" w:eastAsia="黑体"/>
          <w:szCs w:val="21"/>
        </w:rPr>
      </w:pPr>
    </w:p>
    <w:p>
      <w:pPr>
        <w:widowControl/>
        <w:jc w:val="left"/>
        <w:rPr>
          <w:rFonts w:ascii="黑体" w:hAnsi="黑体" w:eastAsia="黑体"/>
          <w:szCs w:val="21"/>
        </w:rPr>
      </w:pPr>
      <w:r>
        <w:rPr>
          <w:rFonts w:ascii="黑体" w:hAnsi="黑体" w:eastAsia="黑体"/>
          <w:sz w:val="24"/>
          <w:szCs w:val="24"/>
        </w:rPr>
        <w:br w:type="page"/>
      </w: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630" w:firstLineChars="3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洪江市质安站</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bl>
    <w:p>
      <w:pPr>
        <w:widowControl/>
        <w:ind w:firstLine="630" w:firstLineChars="300"/>
        <w:jc w:val="left"/>
        <w:rPr>
          <w:rFonts w:hint="eastAsia" w:ascii="华文中宋" w:hAnsi="华文中宋" w:eastAsia="华文中宋" w:cs="华文中宋"/>
          <w:kern w:val="0"/>
          <w:sz w:val="21"/>
          <w:szCs w:val="21"/>
        </w:rPr>
      </w:pPr>
      <w:r>
        <w:rPr>
          <w:rFonts w:hint="eastAsia" w:ascii="华文中宋" w:hAnsi="华文中宋" w:eastAsia="华文中宋" w:cs="华文中宋"/>
          <w:kern w:val="0"/>
          <w:sz w:val="21"/>
          <w:szCs w:val="21"/>
        </w:rPr>
        <w:t>注：本表反映部门本年度政府性基金预算财政拨款收入、支出及结转和结余情况</w:t>
      </w:r>
    </w:p>
    <w:p>
      <w:pPr>
        <w:widowControl/>
        <w:ind w:firstLine="420" w:firstLineChars="200"/>
        <w:jc w:val="left"/>
        <w:rPr>
          <w:rFonts w:hint="eastAsia" w:ascii="华文中宋" w:hAnsi="华文中宋" w:eastAsia="华文中宋" w:cs="华文中宋"/>
          <w:kern w:val="0"/>
          <w:sz w:val="21"/>
          <w:szCs w:val="21"/>
        </w:rPr>
      </w:pPr>
      <w:r>
        <w:rPr>
          <w:rFonts w:hint="eastAsia" w:ascii="华文中宋" w:hAnsi="华文中宋" w:eastAsia="华文中宋" w:cs="华文中宋"/>
          <w:kern w:val="0"/>
          <w:sz w:val="21"/>
          <w:szCs w:val="21"/>
        </w:rPr>
        <w:t>(若本单位无政府性基金收支,请说明：</w:t>
      </w:r>
      <w:r>
        <w:rPr>
          <w:rFonts w:hint="eastAsia" w:ascii="华文中宋" w:hAnsi="华文中宋" w:eastAsia="华文中宋" w:cs="华文中宋"/>
          <w:kern w:val="0"/>
          <w:sz w:val="21"/>
          <w:szCs w:val="21"/>
          <w:lang w:eastAsia="zh-CN"/>
        </w:rPr>
        <w:t>洪江市质安站</w:t>
      </w:r>
      <w:r>
        <w:rPr>
          <w:rFonts w:hint="eastAsia" w:ascii="华文中宋" w:hAnsi="华文中宋" w:eastAsia="华文中宋" w:cs="华文中宋"/>
          <w:kern w:val="0"/>
          <w:sz w:val="21"/>
          <w:szCs w:val="21"/>
        </w:rPr>
        <w:t>没有政府性基金收入，也没有使用政府性基金安排的支出，故本表无数据)。</w:t>
      </w:r>
    </w:p>
    <w:p>
      <w:pPr>
        <w:widowControl/>
        <w:jc w:val="left"/>
        <w:rPr>
          <w:rFonts w:hint="eastAsia" w:ascii="华文中宋" w:hAnsi="华文中宋" w:eastAsia="华文中宋" w:cs="华文中宋"/>
          <w:kern w:val="0"/>
          <w:sz w:val="21"/>
          <w:szCs w:val="21"/>
        </w:rPr>
      </w:pPr>
    </w:p>
    <w:p>
      <w:pPr>
        <w:widowControl/>
        <w:jc w:val="both"/>
        <w:rPr>
          <w:rFonts w:hint="eastAsia" w:ascii="Times New Roman" w:hAnsi="Times New Roman" w:eastAsia="黑体" w:cs="Times New Roman"/>
          <w:bCs/>
          <w:kern w:val="0"/>
          <w:sz w:val="32"/>
          <w:szCs w:val="32"/>
        </w:rPr>
      </w:pPr>
    </w:p>
    <w:sectPr>
      <w:pgSz w:w="16838" w:h="11906" w:orient="landscape"/>
      <w:pgMar w:top="2024" w:right="1457" w:bottom="720" w:left="145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23D10032"/>
    <w:rsid w:val="243A798B"/>
    <w:rsid w:val="2D3D3B91"/>
    <w:rsid w:val="34411CF3"/>
    <w:rsid w:val="4738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TotalTime>4</TotalTime>
  <ScaleCrop>false</ScaleCrop>
  <LinksUpToDate>false</LinksUpToDate>
  <CharactersWithSpaces>8418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时光不老，我们不散</cp:lastModifiedBy>
  <cp:lastPrinted>2020-08-06T08:54:00Z</cp:lastPrinted>
  <dcterms:modified xsi:type="dcterms:W3CDTF">2020-09-02T00:46:29Z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