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hAnsi="黑体" w:eastAsia="黑体"/>
          <w:lang w:eastAsia="zh-CN"/>
        </w:rPr>
      </w:pPr>
      <w:r>
        <w:rPr>
          <w:rFonts w:hint="eastAsia" w:hAnsi="黑体" w:eastAsia="黑体"/>
          <w:lang w:eastAsia="zh-CN"/>
        </w:rPr>
        <w:t>HNPR-2022-13006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/>
    <w:p>
      <w:pPr>
        <w:spacing w:after="115" w:afterLines="20"/>
        <w:jc w:val="center"/>
        <w:rPr>
          <w:rFonts w:hint="eastAsia" w:ascii="仿宋_GB2312" w:eastAsia="仿宋_GB2312"/>
          <w:lang w:eastAsia="zh-CN"/>
        </w:rPr>
      </w:pPr>
      <w:bookmarkStart w:id="0" w:name="PO_WH"/>
      <w:r>
        <w:rPr>
          <w:rFonts w:hint="eastAsia" w:ascii="仿宋_GB2312"/>
          <w:szCs w:val="32"/>
          <w:lang w:eastAsia="zh-CN"/>
        </w:rPr>
        <w:t>湘环发〔2022〕8号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600" w:line="8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3" w:name="_GoBack"/>
      <w:bookmarkStart w:id="1" w:name="PO_WORDZW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湖南省生态环境厅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关于印发《湖南省生态环境保护行政处罚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裁量权基准规定（2021版）》的通知</w:t>
      </w:r>
      <w:bookmarkEnd w:id="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各市州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生态环境局，厅机关各处室、直属各单位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为贯彻落实生态环境部《关于进一步规范适用环境行政处罚自由裁量权的指导意见》（环执法〔2019〕42号）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《湖南省司法厅《关于贯彻落实〈行政处罚法〉免罚轻罚规定进一步完善行政处罚裁量基准的指导意见》（湘司发〔2021〕12号）精神，进一步规范全省生态环境行政执法行为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，我厅制定了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《湖南省生态环境保护行政处罚裁量权基准规定（2021版）》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，现予以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印发，请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遵照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执行。本文件自印发之日起施行，有效期5年。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0" w:leftChars="200" w:hanging="954" w:hangingChars="30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附件：《湖南省生态环境保护行政处罚裁量权基准规定（2021版）》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7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8" w:firstLineChars="1600"/>
        <w:jc w:val="both"/>
        <w:textAlignment w:val="auto"/>
        <w:outlineLvl w:val="9"/>
        <w:rPr>
          <w:sz w:val="32"/>
          <w:szCs w:val="32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湖南省生态环境厅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8" w:firstLineChars="1600"/>
        <w:jc w:val="both"/>
        <w:textAlignment w:val="auto"/>
        <w:outlineLvl w:val="9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</w:p>
    <w:bookmarkEnd w:id="1"/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ascii="仿宋_GB2312" w:hAnsi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rFonts w:ascii="仿宋_GB2312" w:hAnsi="仿宋"/>
          <w:szCs w:val="32"/>
        </w:rPr>
      </w:pPr>
    </w:p>
    <w:tbl>
      <w:tblPr>
        <w:tblStyle w:val="5"/>
        <w:tblW w:w="8845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12" w:type="dxa"/>
            <w:vAlign w:val="center"/>
          </w:tcPr>
          <w:p>
            <w:pPr>
              <w:snapToGrid w:val="0"/>
              <w:ind w:left="190" w:leftChars="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2" w:name="PO_YFRQ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2022年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日</w:t>
            </w:r>
            <w:bookmarkEnd w:id="2"/>
            <w:r>
              <w:rPr>
                <w:rFonts w:hint="eastAsia" w:ascii="仿宋_GB2312" w:hAnsi="仿宋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  <w:p>
    <w:pPr>
      <w:pStyle w:val="2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-</w:t>
    </w:r>
    <w:r>
      <w:rPr>
        <w:rFonts w:hint="eastAsia" w:ascii="仿宋_GB2312" w:hAnsi="仿宋_GB2312" w:eastAsia="仿宋_GB2312" w:cs="仿宋_GB2312"/>
        <w:sz w:val="28"/>
        <w:szCs w:val="28"/>
      </w:rPr>
      <w:t xml:space="preserve"> 2 -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documentProtection w:enforcement="0"/>
  <w:defaultTabStop w:val="420"/>
  <w:evenAndOddHeaders w:val="true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925DD"/>
    <w:rsid w:val="00CA567D"/>
    <w:rsid w:val="00CD25F6"/>
    <w:rsid w:val="00D47D1F"/>
    <w:rsid w:val="00D7681B"/>
    <w:rsid w:val="00D95457"/>
    <w:rsid w:val="00EC3822"/>
    <w:rsid w:val="00EE61B5"/>
    <w:rsid w:val="00F03766"/>
    <w:rsid w:val="00F0685D"/>
    <w:rsid w:val="00F42F7C"/>
    <w:rsid w:val="00F64505"/>
    <w:rsid w:val="00F730E5"/>
    <w:rsid w:val="318E2A01"/>
    <w:rsid w:val="38FB7B8F"/>
    <w:rsid w:val="3B3E4B9F"/>
    <w:rsid w:val="520D285C"/>
    <w:rsid w:val="5FFEB747"/>
    <w:rsid w:val="672240B2"/>
    <w:rsid w:val="68E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2022-01-06T16:10:00Z</dcterms:created>
  <dc:creator>Administrator</dc:creator>
  <cp:lastModifiedBy>kylin</cp:lastModifiedBy>
  <cp:lastPrinted>2017-03-09T11:07:00Z</cp:lastPrinted>
  <dcterms:modified xsi:type="dcterms:W3CDTF">2022-07-27T19:20:34Z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DC6D9D9B953444BE8A3C824E68A2FDD7</vt:lpwstr>
  </property>
</Properties>
</file>