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  <w:t>2022年洪江市市场监督管理局</w:t>
      </w:r>
    </w:p>
    <w:p>
      <w:pPr>
        <w:pStyle w:val="12"/>
        <w:ind w:left="72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  <w:t>部门决算分析报告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情况</w:t>
      </w:r>
    </w:p>
    <w:p>
      <w:pPr>
        <w:autoSpaceDE w:val="0"/>
        <w:autoSpaceDN w:val="0"/>
        <w:adjustRightInd w:val="0"/>
        <w:ind w:firstLine="480"/>
        <w:rPr>
          <w:rFonts w:hint="eastAsia" w:ascii="仿宋" w:hAnsi="仿宋" w:eastAsia="仿宋" w:cs="仿宋"/>
          <w:b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zh-CN"/>
        </w:rPr>
        <w:t>（一）基本情况</w:t>
      </w:r>
    </w:p>
    <w:p>
      <w:pPr>
        <w:autoSpaceDE w:val="0"/>
        <w:autoSpaceDN w:val="0"/>
        <w:adjustRightInd w:val="0"/>
        <w:ind w:firstLine="48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1、主要职能：</w:t>
      </w:r>
    </w:p>
    <w:p>
      <w:pPr>
        <w:autoSpaceDE w:val="0"/>
        <w:autoSpaceDN w:val="0"/>
        <w:adjustRightInd w:val="0"/>
        <w:ind w:firstLine="480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负责市场综合监督管理、市场主体统一登记注册、组织和指导市场监管综合执法工作。依法对经营者集中行为进行反垄断审查，根据授权负责垄断协议、滥用市场支配地位和滥用行政权力排除、限制竞争等反垄断工作；依法监督管理市场交易、网络商品交易及有关服务的行为。拟订推进质量强市战略政策措施并组织实施，会同有关部门组织实施重大工程设备质量监理制度，组织质量事故调查、贯彻实施缺陷产品召回制度；监督管理产品防伪工作。负责产品质量安全风险监控、全市监督抽查工作，综合管理特种设备安全监察、监督工作。</w:t>
      </w:r>
    </w:p>
    <w:p>
      <w:pPr>
        <w:autoSpaceDE w:val="0"/>
        <w:autoSpaceDN w:val="0"/>
        <w:adjustRightInd w:val="0"/>
        <w:ind w:firstLine="480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组织制定食品安全相关政策并组织实施，负责食品安全应急体系建设，组织指导食品安全事件应急处置和调查处理工作；建立覆盖食品生产、流通、消费全过程的监督检查制度和隐患排查治理机制并组织实施，防范区域性、系统性食品安全风险。</w:t>
      </w:r>
    </w:p>
    <w:p>
      <w:pPr>
        <w:autoSpaceDE w:val="0"/>
        <w:autoSpaceDN w:val="0"/>
        <w:adjustRightInd w:val="0"/>
        <w:ind w:firstLine="480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负责统一管理计量工作；规范、监督商品量和市场计量行为。依法承担地方标准立项、编号和发布工作，指导开展标准化试点示范工作。推行采用国际标准。推进检验检测机构改革，规范检验检测市场，完善检验检测体系，指导协调检验检测行业发展。</w:t>
      </w:r>
    </w:p>
    <w:p>
      <w:pPr>
        <w:autoSpaceDE w:val="0"/>
        <w:autoSpaceDN w:val="0"/>
        <w:adjustRightInd w:val="0"/>
        <w:ind w:firstLine="480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负责市场监督管理、知识产权领域科技和信息化建设、新闻宣传、对外交流与合作，配合推进知识产权强省建设。保护知识产权和负责知识产权创造利用。组织开展有关服务领域消费维权工作，查处制售假冒伪劣等违法行为，指导消费者咨询、申诉、举报受理、处理和网络体系建设等工作，保护经营者、消费者合法权益。负责药品（含中药、民族药，下同）、医疗器械和化妆品安全监督管理。依法实施合同行政监督管理，依法查处合同欺诈等违法行为；管理动产抵押登记，组织监督管理拍卖行为。</w:t>
      </w:r>
    </w:p>
    <w:p>
      <w:pPr>
        <w:numPr>
          <w:ilvl w:val="0"/>
          <w:numId w:val="2"/>
        </w:numPr>
        <w:ind w:firstLine="320" w:firstLineChars="100"/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>机构情况：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10101"/>
          <w:sz w:val="32"/>
          <w:szCs w:val="32"/>
        </w:rPr>
        <w:t>纳入</w:t>
      </w: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>年部门决算编制范围有</w:t>
      </w:r>
      <w:r>
        <w:rPr>
          <w:rFonts w:hint="eastAsia" w:ascii="仿宋" w:hAnsi="仿宋" w:eastAsia="仿宋" w:cs="仿宋"/>
          <w:color w:val="010101"/>
          <w:sz w:val="32"/>
          <w:szCs w:val="32"/>
          <w:lang w:eastAsia="zh-CN"/>
        </w:rPr>
        <w:t>市场监督管理局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>部门本级</w:t>
      </w:r>
      <w:r>
        <w:rPr>
          <w:rFonts w:hint="eastAsia" w:ascii="仿宋" w:hAnsi="仿宋" w:eastAsia="仿宋" w:cs="仿宋"/>
          <w:sz w:val="32"/>
          <w:szCs w:val="32"/>
        </w:rPr>
        <w:t>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市场监督管理局</w:t>
      </w:r>
      <w:r>
        <w:rPr>
          <w:rFonts w:hint="eastAsia" w:ascii="仿宋" w:hAnsi="仿宋" w:eastAsia="仿宋" w:cs="仿宋"/>
          <w:sz w:val="32"/>
          <w:szCs w:val="32"/>
        </w:rPr>
        <w:t>举报投诉中心、市场主体行政许可登记服务中心等3个直属行政机构，市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场</w:t>
      </w:r>
      <w:r>
        <w:rPr>
          <w:rFonts w:hint="eastAsia" w:ascii="仿宋" w:hAnsi="仿宋" w:eastAsia="仿宋" w:cs="仿宋"/>
          <w:sz w:val="32"/>
          <w:szCs w:val="32"/>
        </w:rPr>
        <w:t>监督检验检测所、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市场</w:t>
      </w:r>
      <w:r>
        <w:rPr>
          <w:rFonts w:hint="eastAsia" w:ascii="仿宋" w:hAnsi="仿宋" w:eastAsia="仿宋" w:cs="仿宋"/>
          <w:sz w:val="32"/>
          <w:szCs w:val="32"/>
        </w:rPr>
        <w:t>监督管理局信息中心等4个二级机构，黔城所、安江所等20个乡镇食品药品工商质量监督管理所。</w:t>
      </w:r>
    </w:p>
    <w:p>
      <w:pPr>
        <w:numPr>
          <w:ilvl w:val="0"/>
          <w:numId w:val="2"/>
        </w:numPr>
        <w:ind w:left="0" w:leftChars="0" w:firstLine="320" w:firstLineChars="1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人员情况：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2022年12月共有人员263人，其中在职137人，正式退休116人，提前退休10人。2022年人员异动情况具体如下：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2022年人员调出4人，退休2人;新招事业人员1人。</w:t>
      </w:r>
    </w:p>
    <w:p>
      <w:pPr>
        <w:numPr>
          <w:ilvl w:val="0"/>
          <w:numId w:val="3"/>
        </w:numPr>
        <w:ind w:firstLine="320" w:firstLineChars="1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当年取得的主要事业成效。</w:t>
      </w:r>
      <w:bookmarkStart w:id="0" w:name="YS060102"/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积极推进知识产权项目建设。今年以来，我局抓住省、怀化市局知识产权项目建设机遇，申报了知识产权服务分中心建设、地理标志产品保护、地理证明商标保护、知识产权试点学校建设等各类知识产权保护和运用项目。经与省、怀化市知识产权局积极对接，并多次进行工作汇报，目前，怀化地区唯一一家知识产权服务分中心成功落户我市黔城工业园区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强化监督抽检，严把质量安全关。完成流通环节食用农产品抽检1040批次，完成检验1040批次，合格1020批次，合格率98.07%，检验结果录入上报率100%；预包装食品散装食品监督抽检22批次，抽检结果均及时通过政府门户网站向社会公众予以公示。抽样农资肥料样品39份，查办抽检不符合企业标准肥料案件1起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加大案件查处力度，严厉打击违法违规行为。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截至目前，共查办案件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80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件，收缴罚没款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170余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万元。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畅通12315热线，为消费者提供便捷高效服务。目前，12315投诉举报中心共受理各消费者投诉举报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247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件,为消费者挽回经济损失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20余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万元。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严查广告媒体，规范广告市场秩序。组织力量开展了新型冠状肺炎疫情期间广告、软色情广告、农村户外广告、广告导向内容、医疗广告、长江流域禁捕广告、网络直播广告、非法金融放贷领域广告资讯、烟草广告等专项整治等行动，对辖区内广告主、广告经营者、广告发布者进行巡查检查，加大对各类网站发布的医疗、口罩、野生动物、食品、教育等广告的监测力度，及时发现和处理违法广告，全年共查处监测各类广告600条次，办理广告违法案件3起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强化商标创建工作，大力加强知识产权保护运用。在我局精心指导和宣传下，企业品牌意识明显增强，商标申请数呈现逐年增长态势。截止2020年三季度，洪江市2020年申请商标771件，注册商标703件。利用“黔阳牌”驰名商标品牌优势，打造“互联网+产业扶贫”新模式，将黔阳冰糖橙等特色农产品销往全国各地，并走出国门远销加拿大，产业带动30多万农民及4万多贫困户稳定脱贫致富。全年完成发明专利申报103件，同比增长26%，超出年度任务11件。截止11月中旬，各类专利授权60件，其中发明专利授权2件；全市拥有发明专利23件，每万人发明专利拥有量达0.54件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强化落实“双随机一公开”，深入做好企业年报工作。制定《洪江市市场监督管理局“双随机、一公开”监管工作实施方案》，实施“双随机一公开”抽查和日常监督巡查相结合的监管模式，逐步实现“双随机、一公开”监管全覆盖、常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化。今年已随机抽查各类市场主体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145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户，已完成实地核查并公示。持续加强企业年报工作，2019年度参加年报企业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1997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户，年报率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91.15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%，参加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农民专业合作社年报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687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户，个体工商户已年报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11890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户，下一步将对因未年报被列入经营异常的企业满3年仍未履行公示义务的企业列入严重违法企业名单。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收入支出预算执行情况分析</w:t>
      </w:r>
      <w:bookmarkEnd w:id="0"/>
    </w:p>
    <w:p>
      <w:pPr>
        <w:numPr>
          <w:ilvl w:val="0"/>
          <w:numId w:val="0"/>
        </w:numPr>
        <w:ind w:firstLine="320" w:firstLineChars="1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（一）收入支出预算安排情况。</w:t>
      </w:r>
    </w:p>
    <w:p>
      <w:p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2022年一般公共财政预算拨收入及一般公共服务预算支出为1694.24万元与2021年一般公共财政预算收入及一般公共服务预算支出1694.24万元，无增减变动。</w:t>
      </w:r>
    </w:p>
    <w:p>
      <w:pPr>
        <w:ind w:firstLine="320" w:firstLineChars="100"/>
        <w:jc w:val="both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-153670</wp:posOffset>
            </wp:positionH>
            <wp:positionV relativeFrom="paragraph">
              <wp:posOffset>-624205</wp:posOffset>
            </wp:positionV>
            <wp:extent cx="5248910" cy="1429385"/>
            <wp:effectExtent l="4445" t="4445" r="23495" b="13970"/>
            <wp:wrapTight wrapText="bothSides">
              <wp:wrapPolygon>
                <wp:start x="-18" y="-67"/>
                <wp:lineTo x="-18" y="21523"/>
                <wp:lineTo x="21540" y="21523"/>
                <wp:lineTo x="21540" y="-67"/>
                <wp:lineTo x="-18" y="-67"/>
              </wp:wrapPolygon>
            </wp:wrapTight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b/>
          <w:sz w:val="32"/>
          <w:szCs w:val="32"/>
        </w:rPr>
        <w:t>收入支出预算执行情况。</w:t>
      </w:r>
    </w:p>
    <w:p>
      <w:pPr>
        <w:snapToGrid w:val="0"/>
        <w:spacing w:line="520" w:lineRule="exact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收入支出与预算对比分析。</w:t>
      </w:r>
    </w:p>
    <w:p>
      <w:pPr>
        <w:numPr>
          <w:ilvl w:val="0"/>
          <w:numId w:val="0"/>
        </w:numPr>
        <w:snapToGrid w:val="0"/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2022年一般公共财政实际收入共2485.37万元，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超出预算数791.13万元，其中有省局拨入的47万元及因项目工作需求向地方财政中途追加140.24万元、人员支出项目增加603.89，主要是工资、社保、公积金、基础绩效奖金，退休人员生活补助的增加。全年支出数共2486.89万元，超出预算支出792.65万元。</w:t>
      </w:r>
      <w:r>
        <w:rPr>
          <w:rFonts w:hint="eastAsia" w:ascii="仿宋" w:hAnsi="仿宋" w:eastAsia="仿宋" w:cs="仿宋"/>
          <w:sz w:val="32"/>
          <w:szCs w:val="32"/>
        </w:rPr>
        <w:t>当年预算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执行</w:t>
      </w:r>
      <w:r>
        <w:rPr>
          <w:rFonts w:hint="eastAsia" w:ascii="仿宋" w:hAnsi="仿宋" w:eastAsia="仿宋" w:cs="仿宋"/>
          <w:sz w:val="32"/>
          <w:szCs w:val="32"/>
        </w:rPr>
        <w:t>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146.78%。</w:t>
      </w:r>
    </w:p>
    <w:p>
      <w:pPr>
        <w:snapToGrid w:val="0"/>
        <w:spacing w:line="52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181610</wp:posOffset>
            </wp:positionV>
            <wp:extent cx="5080000" cy="2677795"/>
            <wp:effectExtent l="4445" t="4445" r="20955" b="22860"/>
            <wp:wrapTopAndBottom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收入支出结构分析。</w:t>
      </w:r>
    </w:p>
    <w:p>
      <w:pPr>
        <w:numPr>
          <w:ilvl w:val="0"/>
          <w:numId w:val="0"/>
        </w:numPr>
        <w:snapToGrid w:val="0"/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napToGrid w:val="0"/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262890</wp:posOffset>
            </wp:positionH>
            <wp:positionV relativeFrom="paragraph">
              <wp:posOffset>739140</wp:posOffset>
            </wp:positionV>
            <wp:extent cx="4846955" cy="3101340"/>
            <wp:effectExtent l="4445" t="4445" r="6350" b="18415"/>
            <wp:wrapTopAndBottom/>
            <wp:docPr id="6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2022年的收入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2485.37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元为一般公共财政拨款收入；2022年支出数共2486.89万元，其中一般公共服务支出2145.13万元占总支出的86.25%；社会保障和就业支出192.64万元占总支出的7.75%；住房保障支出81.21万元占3.27%；卫生健康支出67.90万元占总支出的2.73%。</w:t>
      </w:r>
    </w:p>
    <w:p>
      <w:pPr>
        <w:numPr>
          <w:ilvl w:val="0"/>
          <w:numId w:val="0"/>
        </w:numPr>
        <w:snapToGrid w:val="0"/>
        <w:spacing w:line="520" w:lineRule="exact"/>
        <w:ind w:left="480" w:leftChars="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支出按经济分类科目分析。</w:t>
      </w:r>
    </w:p>
    <w:p>
      <w:pPr>
        <w:numPr>
          <w:ilvl w:val="0"/>
          <w:numId w:val="4"/>
        </w:numPr>
        <w:snapToGrid w:val="0"/>
        <w:spacing w:line="520" w:lineRule="exact"/>
        <w:ind w:left="410" w:leftChars="0" w:firstLine="64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“三公”经费支出情况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2022年“三公”经费支出共计26.91万元，其中公务接待费1.07万元，公务用车运行费25.84万元；2021年“三公”经费支出共计55.81万元，其中公务接待2.07万元，公务用车运行费12.26万元，公务用车购置费41.47万元。</w:t>
      </w:r>
    </w:p>
    <w:p>
      <w:pPr>
        <w:numPr>
          <w:ilvl w:val="0"/>
          <w:numId w:val="0"/>
        </w:numPr>
        <w:snapToGrid w:val="0"/>
        <w:spacing w:line="520" w:lineRule="exact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2022年“三公”经费与2021年相比整体减少51.78%，其中公务接待减少48.79%，公务用车运行费增加了110.7%，公务用车购置费无 。                                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（2）会议费支出情况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2022年会议支出共计0万元</w:t>
      </w:r>
    </w:p>
    <w:p>
      <w:pPr>
        <w:numPr>
          <w:ilvl w:val="0"/>
          <w:numId w:val="0"/>
        </w:numPr>
        <w:snapToGrid w:val="0"/>
        <w:spacing w:line="52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3）</w:t>
      </w:r>
      <w:r>
        <w:rPr>
          <w:rFonts w:hint="eastAsia" w:ascii="仿宋" w:hAnsi="仿宋" w:eastAsia="仿宋" w:cs="仿宋"/>
          <w:sz w:val="32"/>
          <w:szCs w:val="32"/>
        </w:rPr>
        <w:t>培训费支出情况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</w:rPr>
        <w:t>培训费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共计1.64万元，与2021比增加了1.58万元。</w:t>
      </w:r>
    </w:p>
    <w:p>
      <w:pPr>
        <w:numPr>
          <w:ilvl w:val="0"/>
          <w:numId w:val="0"/>
        </w:numPr>
        <w:ind w:leftChars="10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财政拨款收入、支出分析。</w:t>
      </w:r>
    </w:p>
    <w:p>
      <w:pPr>
        <w:numPr>
          <w:ilvl w:val="0"/>
          <w:numId w:val="0"/>
        </w:numPr>
        <w:ind w:leftChars="100" w:firstLine="320" w:firstLineChars="1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2022年财政拨款收入共计2485.37万元，其中基本收入2298.13万元，项目收入187.24万元；财政拨款支出共计2486.89万元，其中基本支出2299.65万元，项目支出187.24万元。</w:t>
      </w:r>
    </w:p>
    <w:p>
      <w:pPr>
        <w:numPr>
          <w:ilvl w:val="0"/>
          <w:numId w:val="0"/>
        </w:numPr>
        <w:ind w:leftChars="100" w:firstLine="320" w:firstLineChars="1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基本支出主要为：行政运行1957.89万元、机关事业养老保险171.51万元、其他社会保险17.05万元、住房公积金81.21万元、医疗保险67.9万元。</w:t>
      </w:r>
    </w:p>
    <w:p>
      <w:pPr>
        <w:numPr>
          <w:ilvl w:val="0"/>
          <w:numId w:val="0"/>
        </w:numPr>
        <w:ind w:leftChars="100" w:firstLine="320" w:firstLineChars="1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项目支出主要为：市场主体管理10万元、药品事务11万元、食品安全监管166.24万元。</w:t>
      </w:r>
    </w:p>
    <w:p>
      <w:pPr>
        <w:numPr>
          <w:ilvl w:val="0"/>
          <w:numId w:val="0"/>
        </w:numPr>
        <w:ind w:leftChars="100" w:firstLine="320" w:firstLineChars="1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p>
      <w:pPr>
        <w:snapToGrid w:val="0"/>
        <w:spacing w:line="520" w:lineRule="exact"/>
        <w:ind w:firstLine="640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（三）年末结转和结余情况。</w:t>
      </w:r>
    </w:p>
    <w:p>
      <w:pPr>
        <w:snapToGrid w:val="0"/>
        <w:spacing w:line="52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无</w:t>
      </w:r>
    </w:p>
    <w:p>
      <w:pPr>
        <w:snapToGrid w:val="0"/>
        <w:spacing w:line="520" w:lineRule="exact"/>
        <w:ind w:firstLine="640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（四）与预算支出相关的其他指标分析。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截至20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年12月31日，本单位共有车辆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辆，其中，领导干部用车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辆、机要通信用车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辆、应急保障用车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辆、执法执勤用车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辆、特种专业技术用车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辆、其他用车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单位价值50万元以上通用设备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台（套）；单位价值100万元以上专用设备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台（套）。</w:t>
      </w:r>
    </w:p>
    <w:p>
      <w:pPr>
        <w:snapToGrid w:val="0"/>
        <w:spacing w:line="520" w:lineRule="exact"/>
        <w:ind w:firstLine="640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（五）绩效目标完成情况。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color w:val="01010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</w:rPr>
        <w:t>年，在市局的领导下，坚持依法行政、执法为民，稳中求进，改革创新，积极作为，突出抓改革强监管促发展，各方面工作稳步推进。主要绩效如下：</w:t>
      </w:r>
    </w:p>
    <w:p>
      <w:pPr>
        <w:numPr>
          <w:ilvl w:val="0"/>
          <w:numId w:val="5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聚焦安全监管，在严守安全底线上压实责任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开展了节假日食品市场、酒类产品质量、食用植物油、固体饮料、婴幼儿奶粉、食品安全护苗、护老行动、食品冷库及冷冻冷藏食品、非洲猪瘟及白板肉、疫情防控食品安全等专项整治工作，共出动执法人员6108人次，出动执法车辆千余台次，检查食品经营户2395户次，查处流通环节食品案件立案23起，办结22起。加大对农贸市场（乡镇集市）、超市、餐饮单位的监督检查力度，多措并举做好非洲猪瘟防控、打击生猪私屠滥宰和市场白板肉整治，严查两证两章，严格执行索证索票、进货查验制度，严禁采购使用来历不明、未经检验检疫的猪肉、肉制品，开展专项执法行动105次，出动执法人员2106人次，出动执法车辆159台次，发放相关通告文件等告知书200份，查扣无肉品品质检验合格证、章猪肉104.76公斤。</w:t>
      </w:r>
    </w:p>
    <w:p>
      <w:pPr>
        <w:numPr>
          <w:ilvl w:val="0"/>
          <w:numId w:val="5"/>
        </w:numPr>
        <w:ind w:left="0" w:leftChars="0"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加大监管力度，在维护市场秩序上精准发力。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完成流通环节食用农产品抽检1040批次，完成检验1040批次，合格1020批次，合格率98.07%，检验结果录入上报率100%；预包装食品散装食品监督抽检22批次，抽检结果均及时通过政府门户网站向社会公众予以公示。抽样农资肥料样品39份，查办抽检不符合企业标准肥料案件1起。</w:t>
      </w:r>
    </w:p>
    <w:p>
      <w:pPr>
        <w:numPr>
          <w:ilvl w:val="0"/>
          <w:numId w:val="5"/>
        </w:numPr>
        <w:ind w:left="0" w:leftChars="0"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优化营商环境，在激发高质量发展上增添动能。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今年已随机抽查各类市场主体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145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户，已完成实地核查并公示。持续加强企业年报工作，2019年度参加年报企业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1997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户，年报率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91.15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%，参加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农民专业合作社年报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687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户，个体工商户已年报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11890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户，下一步将对因未年报被列入经营异常的企业满3年仍未履行公示义务的企业列入严重违法企业名单。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截止2020年三季度，洪江市2020年申请商标771件，注册商标703件。利用“黔阳牌”驰名商标品牌优势，打造“互联网+产业扶贫”新模式，将黔阳冰糖橙等特色农产品销往全国各地，并走出国门远销加拿大，产业带动30多万农民及4万多贫困户稳定脱贫致富。全年完成发明专利申报103件，同比增长26%，超出年度任务11件。截止11月中旬，各类专利授权60件，其中发明专利授权2件；全市拥有发明专利23件，每万人发明专利拥有量达0.54件。</w:t>
      </w:r>
    </w:p>
    <w:p>
      <w:pPr>
        <w:numPr>
          <w:ilvl w:val="0"/>
          <w:numId w:val="5"/>
        </w:numPr>
        <w:ind w:left="0" w:leftChars="0"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夯实基层基础，在抓好监管队伍建设上提质增效。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局党组书记与班子成员、各股室、队、所负责人签订党风廉政目标责任书，明确责任，把推进党风廉政建设与业务工作紧密结合，一起部署，一起落实，一起检查，确保党风廉政建设责任制落到实处。组织全局干部职工深入开展了廉政警示教育活动，观看廉政警示教育片。把作风提升与干部评优评先、提拔晋级挂钩，有力促进干部担当作为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积极组织广大党员干部认真学习贯彻十九大精神、习近平总书记视察湖南重要讲话精神、《习近平谈治国理政》第三卷、《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中国共产党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</w:t>
      </w:r>
      <w:bookmarkStart w:id="1" w:name="_GoBack"/>
      <w:bookmarkEnd w:id="1"/>
      <w:r>
        <w:rPr>
          <w:rFonts w:hint="eastAsia" w:ascii="仿宋" w:hAnsi="仿宋" w:eastAsia="仿宋" w:cs="仿宋"/>
          <w:sz w:val="32"/>
          <w:szCs w:val="32"/>
          <w:lang w:eastAsia="zh-CN"/>
        </w:rPr>
        <w:t>》《准则》《条例》等，坚持“三会一课”制度、民主评议党员制度、民主生活会制度等党内政治生活制度常态化、制度化。自觉增强党要管党、从严治党的意识，认真落实支部书记“第一责任”职责，建立健全党支部建设工作制度，做到定时开会、定时检查、定时解决难题，形成了主要领导亲自抓，分管领导具体抓，班子成员配合抓，齐抓共管的工作格局。积极创建“让党中央放心、让人民群众满意”模范机关，进一步提升机关党建工作。</w:t>
      </w:r>
    </w:p>
    <w:p>
      <w:pPr>
        <w:snapToGrid w:val="0"/>
        <w:spacing w:line="520" w:lineRule="exact"/>
        <w:ind w:firstLine="640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（六）当年预算执行及绩效管理中存在问题、原因及改进措施。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00"/>
        <w:jc w:val="left"/>
        <w:textAlignment w:val="auto"/>
        <w:rPr>
          <w:rFonts w:hint="eastAsia" w:ascii="仿宋" w:hAnsi="仿宋" w:eastAsia="仿宋" w:cs="仿宋"/>
          <w:color w:val="01010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eastAsia="zh-CN"/>
        </w:rPr>
        <w:t>当年预算执行仍然存在偏差，因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</w:rPr>
        <w:t>结合上一年度预算执行情况和本年度预算收支变化因素，科学、合理地编制本年预算草案，避免预算支出与实际执行出现较大偏差的情况，执行中确需调剂预算的，按规定程序报经批准。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00"/>
        <w:jc w:val="left"/>
        <w:textAlignment w:val="auto"/>
        <w:rPr>
          <w:rFonts w:hint="eastAsia" w:ascii="仿宋" w:hAnsi="仿宋" w:eastAsia="仿宋" w:cs="仿宋"/>
          <w:bCs/>
          <w:color w:val="010101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010101"/>
          <w:kern w:val="0"/>
          <w:sz w:val="32"/>
          <w:szCs w:val="32"/>
          <w:lang w:eastAsia="zh-CN"/>
        </w:rPr>
        <w:t>财政预算资金不能及时到位，影响工作的开展进度。因及时与财政沟通协调，尽量保证项目工作经费按时到位，保证工作的顺利开展。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color w:val="010101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10101"/>
          <w:kern w:val="0"/>
          <w:sz w:val="32"/>
          <w:szCs w:val="32"/>
        </w:rPr>
        <w:t>规范账务处理，提高财务信息质量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</w:rPr>
        <w:t>；严格按照《会计法》、《行政单位会计制度》、《行政单位财务规则》等规定执行财务核算，并结合实际情况，完整、准确地披露相关信息，尽可能地做到决算与预算相衔接。</w:t>
      </w:r>
    </w:p>
    <w:p>
      <w:pPr>
        <w:numPr>
          <w:ilvl w:val="0"/>
          <w:numId w:val="6"/>
        </w:numPr>
        <w:snapToGrid w:val="0"/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本年度部门决算等财务工作开展情况</w:t>
      </w:r>
    </w:p>
    <w:p>
      <w:pPr>
        <w:snapToGrid w:val="0"/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我局建立健全完整的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财务</w:t>
      </w:r>
      <w:r>
        <w:rPr>
          <w:rFonts w:hint="eastAsia" w:ascii="仿宋" w:hAnsi="仿宋" w:eastAsia="仿宋" w:cs="仿宋"/>
          <w:sz w:val="32"/>
          <w:szCs w:val="32"/>
        </w:rPr>
        <w:t>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制度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</w:t>
      </w:r>
      <w:r>
        <w:rPr>
          <w:rFonts w:hint="eastAsia" w:ascii="仿宋" w:hAnsi="仿宋" w:eastAsia="仿宋" w:cs="仿宋"/>
          <w:sz w:val="32"/>
          <w:szCs w:val="32"/>
        </w:rPr>
        <w:t>决算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工作和财务报表的编制</w:t>
      </w:r>
      <w:r>
        <w:rPr>
          <w:rFonts w:hint="eastAsia" w:ascii="仿宋" w:hAnsi="仿宋" w:eastAsia="仿宋" w:cs="仿宋"/>
          <w:sz w:val="32"/>
          <w:szCs w:val="32"/>
        </w:rPr>
        <w:t>、审核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由我局财务人员按月分工分岗完成，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并及时对</w:t>
      </w:r>
      <w:r>
        <w:rPr>
          <w:rFonts w:hint="eastAsia" w:ascii="仿宋" w:hAnsi="仿宋" w:eastAsia="仿宋" w:cs="仿宋"/>
          <w:sz w:val="32"/>
          <w:szCs w:val="32"/>
        </w:rPr>
        <w:t>本部门决算及绩效信息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进行</w:t>
      </w:r>
      <w:r>
        <w:rPr>
          <w:rFonts w:hint="eastAsia" w:ascii="仿宋" w:hAnsi="仿宋" w:eastAsia="仿宋" w:cs="仿宋"/>
          <w:sz w:val="32"/>
          <w:szCs w:val="32"/>
        </w:rPr>
        <w:t>公开。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snapToGrid w:val="0"/>
        <w:spacing w:line="52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00"/>
        <w:jc w:val="left"/>
        <w:textAlignment w:val="auto"/>
        <w:rPr>
          <w:rFonts w:hint="eastAsia" w:ascii="仿宋" w:hAnsi="仿宋" w:eastAsia="仿宋" w:cs="仿宋"/>
          <w:color w:val="010101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/>
        <w:jc w:val="left"/>
        <w:textAlignment w:val="auto"/>
        <w:rPr>
          <w:rFonts w:hint="eastAsia" w:ascii="仿宋" w:hAnsi="仿宋" w:eastAsia="仿宋" w:cs="仿宋"/>
          <w:color w:val="010101"/>
          <w:kern w:val="0"/>
          <w:sz w:val="32"/>
          <w:szCs w:val="32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43623D"/>
    <w:multiLevelType w:val="singleLevel"/>
    <w:tmpl w:val="9443623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69E82E6"/>
    <w:multiLevelType w:val="singleLevel"/>
    <w:tmpl w:val="B69E82E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9DE3AB7"/>
    <w:multiLevelType w:val="singleLevel"/>
    <w:tmpl w:val="D9DE3AB7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373518C1"/>
    <w:multiLevelType w:val="multilevel"/>
    <w:tmpl w:val="373518C1"/>
    <w:lvl w:ilvl="0" w:tentative="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359449C"/>
    <w:multiLevelType w:val="singleLevel"/>
    <w:tmpl w:val="4359449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65A92ABD"/>
    <w:multiLevelType w:val="singleLevel"/>
    <w:tmpl w:val="65A92ABD"/>
    <w:lvl w:ilvl="0" w:tentative="0">
      <w:start w:val="1"/>
      <w:numFmt w:val="decimal"/>
      <w:suff w:val="nothing"/>
      <w:lvlText w:val="（%1）"/>
      <w:lvlJc w:val="left"/>
      <w:pPr>
        <w:ind w:left="41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iZDI4MDUzNzUyMzgxMWIwODMyODc1ZTVhMmQ4OWIifQ=="/>
  </w:docVars>
  <w:rsids>
    <w:rsidRoot w:val="004506F9"/>
    <w:rsid w:val="0002229B"/>
    <w:rsid w:val="000273BD"/>
    <w:rsid w:val="000415B7"/>
    <w:rsid w:val="000658A3"/>
    <w:rsid w:val="00074155"/>
    <w:rsid w:val="000A3F69"/>
    <w:rsid w:val="00152C6D"/>
    <w:rsid w:val="00162D39"/>
    <w:rsid w:val="001A67DB"/>
    <w:rsid w:val="001D51E5"/>
    <w:rsid w:val="001F0C3B"/>
    <w:rsid w:val="00214427"/>
    <w:rsid w:val="00265724"/>
    <w:rsid w:val="0027426B"/>
    <w:rsid w:val="003479BD"/>
    <w:rsid w:val="003768D5"/>
    <w:rsid w:val="004506F9"/>
    <w:rsid w:val="004717A2"/>
    <w:rsid w:val="00491741"/>
    <w:rsid w:val="00500E5F"/>
    <w:rsid w:val="005122EF"/>
    <w:rsid w:val="00517C33"/>
    <w:rsid w:val="00523644"/>
    <w:rsid w:val="0054069E"/>
    <w:rsid w:val="005767CC"/>
    <w:rsid w:val="00590D9F"/>
    <w:rsid w:val="00595D26"/>
    <w:rsid w:val="005A74E6"/>
    <w:rsid w:val="005D4D55"/>
    <w:rsid w:val="005E2CFB"/>
    <w:rsid w:val="0062378F"/>
    <w:rsid w:val="00651EEC"/>
    <w:rsid w:val="006A351B"/>
    <w:rsid w:val="006B0422"/>
    <w:rsid w:val="006C1B53"/>
    <w:rsid w:val="006D7730"/>
    <w:rsid w:val="006E5284"/>
    <w:rsid w:val="006F3EB5"/>
    <w:rsid w:val="00702E34"/>
    <w:rsid w:val="00704395"/>
    <w:rsid w:val="00720FF1"/>
    <w:rsid w:val="00812ED5"/>
    <w:rsid w:val="008277D9"/>
    <w:rsid w:val="008A3E8D"/>
    <w:rsid w:val="009237C4"/>
    <w:rsid w:val="00950252"/>
    <w:rsid w:val="00967F5D"/>
    <w:rsid w:val="009A0F95"/>
    <w:rsid w:val="009B3ADF"/>
    <w:rsid w:val="009C3B52"/>
    <w:rsid w:val="00A42218"/>
    <w:rsid w:val="00A70249"/>
    <w:rsid w:val="00B33BEA"/>
    <w:rsid w:val="00B57C9F"/>
    <w:rsid w:val="00B845B3"/>
    <w:rsid w:val="00B85D8B"/>
    <w:rsid w:val="00BE3674"/>
    <w:rsid w:val="00C3049A"/>
    <w:rsid w:val="00C31B1E"/>
    <w:rsid w:val="00C77645"/>
    <w:rsid w:val="00CE04C3"/>
    <w:rsid w:val="00CE76A0"/>
    <w:rsid w:val="00D148C6"/>
    <w:rsid w:val="00DD06FF"/>
    <w:rsid w:val="00DD5FE9"/>
    <w:rsid w:val="00E00C7A"/>
    <w:rsid w:val="00E11E62"/>
    <w:rsid w:val="00E55B68"/>
    <w:rsid w:val="00F74360"/>
    <w:rsid w:val="00FB462F"/>
    <w:rsid w:val="00FE16FA"/>
    <w:rsid w:val="00FE328A"/>
    <w:rsid w:val="02666967"/>
    <w:rsid w:val="03DC5C7A"/>
    <w:rsid w:val="057B5521"/>
    <w:rsid w:val="06727683"/>
    <w:rsid w:val="07220A9D"/>
    <w:rsid w:val="07FE47EC"/>
    <w:rsid w:val="091268B7"/>
    <w:rsid w:val="0921322D"/>
    <w:rsid w:val="09A309AD"/>
    <w:rsid w:val="0B80557B"/>
    <w:rsid w:val="0D141536"/>
    <w:rsid w:val="0D1869C3"/>
    <w:rsid w:val="0D7609A4"/>
    <w:rsid w:val="0E9E1D4B"/>
    <w:rsid w:val="0EE0333A"/>
    <w:rsid w:val="0F97532A"/>
    <w:rsid w:val="10C72C52"/>
    <w:rsid w:val="10F64A08"/>
    <w:rsid w:val="113B1ECB"/>
    <w:rsid w:val="114E3662"/>
    <w:rsid w:val="12F30DD2"/>
    <w:rsid w:val="13321545"/>
    <w:rsid w:val="139301B6"/>
    <w:rsid w:val="146963F3"/>
    <w:rsid w:val="152E03BA"/>
    <w:rsid w:val="160938F8"/>
    <w:rsid w:val="167024B7"/>
    <w:rsid w:val="16FD67BB"/>
    <w:rsid w:val="185C2FB7"/>
    <w:rsid w:val="1C220028"/>
    <w:rsid w:val="1D6971F8"/>
    <w:rsid w:val="1DF3105A"/>
    <w:rsid w:val="1F06556C"/>
    <w:rsid w:val="222F5266"/>
    <w:rsid w:val="224B1F01"/>
    <w:rsid w:val="228C0216"/>
    <w:rsid w:val="237D00DF"/>
    <w:rsid w:val="23A506EB"/>
    <w:rsid w:val="23DE61AF"/>
    <w:rsid w:val="25BF7508"/>
    <w:rsid w:val="26846011"/>
    <w:rsid w:val="27702657"/>
    <w:rsid w:val="29472FE0"/>
    <w:rsid w:val="2AB87699"/>
    <w:rsid w:val="2C212513"/>
    <w:rsid w:val="2C3F1B71"/>
    <w:rsid w:val="2CE5234A"/>
    <w:rsid w:val="2D6516C1"/>
    <w:rsid w:val="2DEC2C91"/>
    <w:rsid w:val="2E3A5083"/>
    <w:rsid w:val="2EB46AA6"/>
    <w:rsid w:val="2F2D121D"/>
    <w:rsid w:val="31A008D4"/>
    <w:rsid w:val="328B7041"/>
    <w:rsid w:val="34901DD8"/>
    <w:rsid w:val="3582637A"/>
    <w:rsid w:val="35B85BCF"/>
    <w:rsid w:val="374D4171"/>
    <w:rsid w:val="3865546C"/>
    <w:rsid w:val="38883E31"/>
    <w:rsid w:val="39111F98"/>
    <w:rsid w:val="3A4B3EFF"/>
    <w:rsid w:val="3AA25C58"/>
    <w:rsid w:val="3CB25D22"/>
    <w:rsid w:val="3EA84F0C"/>
    <w:rsid w:val="42D95310"/>
    <w:rsid w:val="458631A1"/>
    <w:rsid w:val="45D90264"/>
    <w:rsid w:val="462B17FD"/>
    <w:rsid w:val="462E7BF6"/>
    <w:rsid w:val="47C173D7"/>
    <w:rsid w:val="480E290B"/>
    <w:rsid w:val="48F55BE6"/>
    <w:rsid w:val="49141EA6"/>
    <w:rsid w:val="49C17171"/>
    <w:rsid w:val="49D47167"/>
    <w:rsid w:val="49DE0788"/>
    <w:rsid w:val="4A042CC0"/>
    <w:rsid w:val="4C8B3711"/>
    <w:rsid w:val="4CA76C65"/>
    <w:rsid w:val="4F1E56D6"/>
    <w:rsid w:val="4FA559C7"/>
    <w:rsid w:val="4FBB4329"/>
    <w:rsid w:val="50CC0396"/>
    <w:rsid w:val="50ED418B"/>
    <w:rsid w:val="51575B1D"/>
    <w:rsid w:val="518E1414"/>
    <w:rsid w:val="51A11B6E"/>
    <w:rsid w:val="52001CE0"/>
    <w:rsid w:val="52824B8A"/>
    <w:rsid w:val="530C7607"/>
    <w:rsid w:val="53AD434C"/>
    <w:rsid w:val="56423E4C"/>
    <w:rsid w:val="570361F8"/>
    <w:rsid w:val="59480C78"/>
    <w:rsid w:val="5A962CAD"/>
    <w:rsid w:val="5AB90C7F"/>
    <w:rsid w:val="5B7F2857"/>
    <w:rsid w:val="5C896A3C"/>
    <w:rsid w:val="5CC5264A"/>
    <w:rsid w:val="5D53365D"/>
    <w:rsid w:val="5D6404B9"/>
    <w:rsid w:val="5DDD2277"/>
    <w:rsid w:val="5E0064B8"/>
    <w:rsid w:val="5E0D274D"/>
    <w:rsid w:val="5FFF53DB"/>
    <w:rsid w:val="60A351E3"/>
    <w:rsid w:val="617067CF"/>
    <w:rsid w:val="61A95052"/>
    <w:rsid w:val="629F2E26"/>
    <w:rsid w:val="62BA2F0C"/>
    <w:rsid w:val="636A4467"/>
    <w:rsid w:val="641D5F85"/>
    <w:rsid w:val="659A0023"/>
    <w:rsid w:val="66063748"/>
    <w:rsid w:val="66320952"/>
    <w:rsid w:val="67852F40"/>
    <w:rsid w:val="67893882"/>
    <w:rsid w:val="685F0A19"/>
    <w:rsid w:val="68DD2BBC"/>
    <w:rsid w:val="69030CAD"/>
    <w:rsid w:val="6ADB0FC0"/>
    <w:rsid w:val="6D1D5AE8"/>
    <w:rsid w:val="6DA560EA"/>
    <w:rsid w:val="6DEB1E88"/>
    <w:rsid w:val="6E002CF8"/>
    <w:rsid w:val="6E077FF3"/>
    <w:rsid w:val="6EDD5FDB"/>
    <w:rsid w:val="70D47F48"/>
    <w:rsid w:val="711F7D6D"/>
    <w:rsid w:val="736B2494"/>
    <w:rsid w:val="75EE5D24"/>
    <w:rsid w:val="77EC1278"/>
    <w:rsid w:val="78964D9C"/>
    <w:rsid w:val="797162D5"/>
    <w:rsid w:val="7AAC2709"/>
    <w:rsid w:val="7BAF307E"/>
    <w:rsid w:val="7BDD02A7"/>
    <w:rsid w:val="7BF30969"/>
    <w:rsid w:val="7CF57619"/>
    <w:rsid w:val="7E124ACD"/>
    <w:rsid w:val="7EF1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_rels/chart2.xml.rels><?xml version="1.0" encoding="UTF-8" standalone="yes"?>
<Relationships xmlns="http://schemas.openxmlformats.org/package/2006/relationships"><Relationship Id="rId7" Type="http://schemas.microsoft.com/office/2011/relationships/chartColorStyle" Target="colors3.xml"/><Relationship Id="rId6" Type="http://schemas.microsoft.com/office/2011/relationships/chartStyle" Target="style3.xml"/><Relationship Id="rId5" Type="http://schemas.openxmlformats.org/officeDocument/2006/relationships/image" Target="../media/image3.png"/><Relationship Id="rId4" Type="http://schemas.openxmlformats.org/officeDocument/2006/relationships/image" Target="../media/image2.png"/><Relationship Id="rId3" Type="http://schemas.openxmlformats.org/officeDocument/2006/relationships/image" Target="../media/image1.png"/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3.xlsx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2021---2022</a:t>
            </a:r>
            <a:r>
              <a:rPr altLang="en-US"/>
              <a:t>年</a:t>
            </a:r>
            <a:r>
              <a:t>预算收入、支出对比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预算收入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/>
                      <a:t>1694.24</a:t>
                    </a:r>
                    <a:endParaRPr lang="en-US" altLang="zh-CN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/>
                      <a:t>1694.24</a:t>
                    </a:r>
                    <a:endParaRPr lang="en-US" altLang="zh-CN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extLst>
                <c:ext xmlns:c15="http://schemas.microsoft.com/office/drawing/2012/chart" uri="{02D57815-91ED-43cb-92C2-25804820EDAC}">
                  <c15:fullRef>
                    <c15:sqref>Sheet1!$B$1:$D$1</c15:sqref>
                  </c15:fullRef>
                </c:ext>
              </c:extLst>
              <c:f>Sheet1!$B$1:$C$1</c:f>
              <c:strCache>
                <c:ptCount val="2"/>
                <c:pt idx="0">
                  <c:v>2021年</c:v>
                </c:pt>
                <c:pt idx="1">
                  <c:v>2022年</c:v>
                </c:pt>
              </c:strCache>
            </c:strRef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Sheet1!$B$2:$D$2</c15:sqref>
                  </c15:fullRef>
                </c:ext>
              </c:extLst>
              <c:f>Sheet1!$B$2:$C$2</c:f>
              <c:numCache>
                <c:formatCode>General</c:formatCode>
                <c:ptCount val="2"/>
                <c:pt idx="0">
                  <c:v>1641.87</c:v>
                </c:pt>
                <c:pt idx="1">
                  <c:v>1680.69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预算支出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/>
                      <a:t>1694.24</a:t>
                    </a:r>
                    <a:endParaRPr lang="en-US" altLang="zh-CN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/>
                      <a:t>1694.24</a:t>
                    </a:r>
                    <a:endParaRPr lang="en-US" altLang="zh-CN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extLst>
                <c:ext xmlns:c15="http://schemas.microsoft.com/office/drawing/2012/chart" uri="{02D57815-91ED-43cb-92C2-25804820EDAC}">
                  <c15:fullRef>
                    <c15:sqref>Sheet1!$B$1:$D$1</c15:sqref>
                  </c15:fullRef>
                </c:ext>
              </c:extLst>
              <c:f>Sheet1!$B$1:$C$1</c:f>
              <c:strCache>
                <c:ptCount val="2"/>
                <c:pt idx="0">
                  <c:v>2021年</c:v>
                </c:pt>
                <c:pt idx="1">
                  <c:v>2022年</c:v>
                </c:pt>
              </c:strCache>
            </c:strRef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Sheet1!$B$3:$D$3</c15:sqref>
                  </c15:fullRef>
                </c:ext>
              </c:extLst>
              <c:f>Sheet1!$B$3:$C$3</c:f>
              <c:numCache>
                <c:formatCode>General</c:formatCode>
                <c:ptCount val="2"/>
                <c:pt idx="0">
                  <c:v>1641.87</c:v>
                </c:pt>
                <c:pt idx="1">
                  <c:v>1680.69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396891444"/>
        <c:axId val="242611360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Sheet1!$A$4</c15:sqref>
                        </c15:formulaRef>
                      </c:ext>
                    </c:extLst>
                    <c:strCache>
                      <c:ptCount val="1"/>
                      <c:pt idx="0">
                        <c:v>类别 3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0" vertOverflow="ellipsis" vert="horz" wrap="square" lIns="38100" tIns="19050" rIns="38100" bIns="19050" anchor="ctr" anchorCtr="1"/>
                    <a:lstStyle/>
                    <a:p>
                      <a:pPr>
                        <a:defRPr lang="zh-CN"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xmlns:c15="http://schemas.microsoft.com/office/drawing/2012/chart" uri="{CE6537A1-D6FC-4f65-9D91-7224C49458BB}">
                      <c15:layout/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ullRef>
                          <c15:sqref>Sheet1!$B$1:$D$1</c15:sqref>
                        </c15:fullRef>
                        <c15:formulaRef>
                          <c15:sqref>Sheet1!$B$1:$C$1</c15:sqref>
                        </c15:formulaRef>
                      </c:ext>
                    </c:extLst>
                    <c:strCache>
                      <c:ptCount val="2"/>
                      <c:pt idx="0">
                        <c:v>2021年</c:v>
                      </c:pt>
                      <c:pt idx="1">
                        <c:v>2022年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ullRef>
                          <c15:sqref>Sheet1!$B$4:$D$4</c15:sqref>
                        </c15:fullRef>
                        <c15:formulaRef>
                          <c15:sqref>Sheet1!$B$4:$C$4</c15:sqref>
                        </c15:formulaRef>
                      </c:ext>
                    </c:extLst>
                    <c:numCache>
                      <c:formatCode>General</c:formatCode>
                      <c:ptCount val="2"/>
                      <c:pt idx="0">
                        <c:v>4.3</c:v>
                      </c:pt>
                      <c:pt idx="1">
                        <c:v>1.8</c:v>
                      </c:pt>
                    </c:numCache>
                  </c:numRef>
                </c:val>
              </c15:ser>
            </c15:filteredBarSeries>
            <c15:filteredBarSeries>
              <c15:ser>
                <c:idx val="3"/>
                <c:order val="3"/>
                <c:tx>
                  <c:strRef>
                    <c:extLst>
                      <c:ext uri="{02D57815-91ED-43cb-92C2-25804820EDAC}">
                        <c15:formulaRef>
                          <c15:sqref>Sheet1!$A$5</c15:sqref>
                        </c15:formulaRef>
                      </c:ext>
                    </c:extLst>
                    <c:strCache>
                      <c:ptCount val="1"/>
                      <c:pt idx="0">
                        <c:v>类别 4</c:v>
                      </c:pt>
                    </c:strCache>
                  </c:strRef>
                </c:tx>
                <c:spPr>
                  <a:solidFill>
                    <a:schemeClr val="accent4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0" vertOverflow="ellipsis" vert="horz" wrap="square" lIns="38100" tIns="19050" rIns="38100" bIns="19050" anchor="ctr" anchorCtr="1"/>
                    <a:lstStyle/>
                    <a:p>
                      <a:pPr>
                        <a:defRPr lang="zh-CN"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xmlns:c15="http://schemas.microsoft.com/office/drawing/2012/chart" uri="{CE6537A1-D6FC-4f65-9D91-7224C49458BB}">
                      <c15:layout/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ullRef>
                          <c15:sqref>Sheet1!$B$1:$D$1</c15:sqref>
                        </c15:fullRef>
                        <c15:formulaRef>
                          <c15:sqref>Sheet1!$B$1:$C$1</c15:sqref>
                        </c15:formulaRef>
                      </c:ext>
                    </c:extLst>
                    <c:strCache>
                      <c:ptCount val="2"/>
                      <c:pt idx="0">
                        <c:v>2021年</c:v>
                      </c:pt>
                      <c:pt idx="1">
                        <c:v>2022年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ullRef>
                          <c15:sqref>Sheet1!$B$5:$D$5</c15:sqref>
                        </c15:fullRef>
                        <c15:formulaRef>
                          <c15:sqref>Sheet1!$B$5:$C$5</c15:sqref>
                        </c15:formulaRef>
                      </c:ext>
                    </c:extLst>
                    <c:numCache>
                      <c:formatCode>General</c:formatCode>
                      <c:ptCount val="2"/>
                      <c:pt idx="0">
                        <c:v>4.5</c:v>
                      </c:pt>
                      <c:pt idx="1">
                        <c:v>2.8</c:v>
                      </c:pt>
                    </c:numCache>
                  </c:numRef>
                </c:val>
              </c15:ser>
            </c15:filteredBarSeries>
          </c:ext>
        </c:extLst>
      </c:barChart>
      <c:catAx>
        <c:axId val="39689144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42611360"/>
        <c:crosses val="autoZero"/>
        <c:auto val="1"/>
        <c:lblAlgn val="ctr"/>
        <c:lblOffset val="100"/>
        <c:noMultiLvlLbl val="0"/>
      </c:catAx>
      <c:valAx>
        <c:axId val="24261136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968914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400" b="0" i="0" u="none" strike="noStrike" kern="1200" spc="0" baseline="0">
                <a:solidFill>
                  <a:srgbClr val="91908C"/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  <a:r>
              <a:rPr lang="en-US" altLang="zh-CN"/>
              <a:t>2022</a:t>
            </a:r>
            <a:r>
              <a:rPr altLang="en-US"/>
              <a:t>年</a:t>
            </a:r>
            <a:r>
              <a:t>预算收入支出完成情况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702"/>
          <c:y val="0.0345032013279583"/>
          <c:w val="0.92605"/>
          <c:h val="0.708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预算数</c:v>
                </c:pt>
              </c:strCache>
            </c:strRef>
          </c:tx>
          <c:spPr>
            <a:blipFill rotWithShape="1">
              <a:blip xmlns:r="http://schemas.openxmlformats.org/officeDocument/2006/relationships" r:embed="rId3"/>
              <a:stretch>
                <a:fillRect/>
              </a:stretch>
            </a:blip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10000"/>
                </a:prstClr>
              </a:outerShdw>
            </a:effectLst>
          </c:spPr>
          <c:invertIfNegative val="0"/>
          <c:dLbls>
            <c:delete val="1"/>
          </c:dLbls>
          <c:cat>
            <c:strRef>
              <c:extLst>
                <c:ext xmlns:c15="http://schemas.microsoft.com/office/drawing/2012/chart" uri="{02D57815-91ED-43cb-92C2-25804820EDAC}">
                  <c15:fullRef>
                    <c15:sqref>Sheet1!$A$2:$A$5</c15:sqref>
                  </c15:fullRef>
                </c:ext>
              </c:extLst>
              <c:f>Sheet1!$A$2:$A$3</c:f>
              <c:strCache>
                <c:ptCount val="2"/>
                <c:pt idx="0">
                  <c:v>收入</c:v>
                </c:pt>
                <c:pt idx="1">
                  <c:v>支出</c:v>
                </c:pt>
              </c:strCache>
            </c:strRef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Sheet1!$B$2:$B$5</c15:sqref>
                  </c15:fullRef>
                </c:ext>
              </c:extLst>
              <c:f>Sheet1!$B$2:$B$3</c:f>
              <c:numCache>
                <c:formatCode>General</c:formatCode>
                <c:ptCount val="2"/>
                <c:pt idx="0">
                  <c:v>1694.24</c:v>
                </c:pt>
                <c:pt idx="1">
                  <c:v>1694.24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实际数</c:v>
                </c:pt>
              </c:strCache>
            </c:strRef>
          </c:tx>
          <c:spPr>
            <a:blipFill rotWithShape="1">
              <a:blip xmlns:r="http://schemas.openxmlformats.org/officeDocument/2006/relationships" r:embed="rId4"/>
              <a:stretch>
                <a:fillRect/>
              </a:stretch>
            </a:blip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10000"/>
                </a:prstClr>
              </a:outerShdw>
            </a:effectLst>
          </c:spPr>
          <c:invertIfNegative val="0"/>
          <c:dLbls>
            <c:delete val="1"/>
          </c:dLbls>
          <c:cat>
            <c:strRef>
              <c:extLst>
                <c:ext xmlns:c15="http://schemas.microsoft.com/office/drawing/2012/chart" uri="{02D57815-91ED-43cb-92C2-25804820EDAC}">
                  <c15:fullRef>
                    <c15:sqref>Sheet1!$A$2:$A$5</c15:sqref>
                  </c15:fullRef>
                </c:ext>
              </c:extLst>
              <c:f>Sheet1!$A$2:$A$3</c:f>
              <c:strCache>
                <c:ptCount val="2"/>
                <c:pt idx="0">
                  <c:v>收入</c:v>
                </c:pt>
                <c:pt idx="1">
                  <c:v>支出</c:v>
                </c:pt>
              </c:strCache>
            </c:strRef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Sheet1!$C$2:$C$5</c15:sqref>
                  </c15:fullRef>
                </c:ext>
              </c:extLst>
              <c:f>Sheet1!$C$2:$C$3</c:f>
              <c:numCache>
                <c:formatCode>General</c:formatCode>
                <c:ptCount val="2"/>
                <c:pt idx="0">
                  <c:v>2485.37</c:v>
                </c:pt>
                <c:pt idx="1">
                  <c:v>2486.89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0"/>
        <c:overlap val="-40"/>
        <c:axId val="196800559"/>
        <c:axId val="9542746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Sheet1!$D$1</c15:sqref>
                        </c15:formulaRef>
                      </c:ext>
                    </c:extLst>
                    <c:strCache>
                      <c:ptCount val="1"/>
                      <c:pt idx="0">
                        <c:v>系列 3</c:v>
                      </c:pt>
                    </c:strCache>
                  </c:strRef>
                </c:tx>
                <c:spPr>
                  <a:blipFill rotWithShape="1">
                    <a:blip xmlns:r="http://schemas.openxmlformats.org/officeDocument/2006/relationships" r:embed="rId5"/>
                    <a:stretch>
                      <a:fillRect/>
                    </a:stretch>
                  </a:blipFill>
                  <a:ln>
                    <a:noFill/>
                  </a:ln>
                  <a:effectLst>
                    <a:outerShdw blurRad="76200" dir="18900000" sy="23000" kx="-1200000" algn="bl" rotWithShape="0">
                      <a:prstClr val="black">
                        <a:alpha val="10000"/>
                      </a:prstClr>
                    </a:outerShdw>
                  </a:effectLst>
                </c:spPr>
                <c:invertIfNegative val="0"/>
                <c:dLbls>
                  <c:delete val="1"/>
                </c:dLbls>
                <c:cat>
                  <c:strRef>
                    <c:extLst>
                      <c:ext uri="{02D57815-91ED-43cb-92C2-25804820EDAC}">
                        <c15:fullRef>
                          <c15:sqref>Sheet1!$A$2:$A$5</c15:sqref>
                        </c15:fullRef>
                        <c15:formulaRef>
                          <c15:sqref>Sheet1!$A$2:$A$3</c15:sqref>
                        </c15:formulaRef>
                      </c:ext>
                    </c:extLst>
                    <c:strCache>
                      <c:ptCount val="2"/>
                      <c:pt idx="0">
                        <c:v>收入</c:v>
                      </c:pt>
                      <c:pt idx="1">
                        <c:v>支出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ullRef>
                          <c15:sqref>Sheet1!$D$2:$D$5</c15:sqref>
                        </c15:fullRef>
                        <c15:formulaRef>
                          <c15:sqref>Sheet1!$D$2:$D$3</c15:sqref>
                        </c15:formulaRef>
                      </c:ext>
                    </c:extLst>
                    <c:numCache>
                      <c:formatCode>General</c:formatCode>
                      <c:ptCount val="2"/>
                      <c:pt idx="0">
                        <c:v>2</c:v>
                      </c:pt>
                      <c:pt idx="1">
                        <c:v>2</c:v>
                      </c:pt>
                    </c:numCache>
                  </c:numRef>
                </c:val>
              </c15:ser>
            </c15:filteredBarSeries>
          </c:ext>
        </c:extLst>
      </c:barChart>
      <c:catAx>
        <c:axId val="196800559"/>
        <c:scaling>
          <c:orientation val="minMax"/>
        </c:scaling>
        <c:delete val="0"/>
        <c:axPos val="b"/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900" b="0" i="0" u="none" strike="noStrike" kern="1200" baseline="0">
                <a:solidFill>
                  <a:srgbClr val="91908C"/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</a:p>
        </c:txPr>
        <c:crossAx val="954274668"/>
        <c:crosses val="autoZero"/>
        <c:auto val="1"/>
        <c:lblAlgn val="ctr"/>
        <c:lblOffset val="100"/>
        <c:noMultiLvlLbl val="0"/>
      </c:catAx>
      <c:valAx>
        <c:axId val="954274668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rgbClr val="EAEAEA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900" b="0" i="0" u="none" strike="noStrike" kern="1200" baseline="0">
                <a:solidFill>
                  <a:srgbClr val="91908C"/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</a:p>
        </c:txPr>
        <c:crossAx val="19680055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rgbClr val="91908C"/>
              </a:solidFill>
              <a:latin typeface="微软雅黑" panose="020B0503020204020204" charset="-122"/>
              <a:ea typeface="微软雅黑" panose="020B0503020204020204" charset="-122"/>
              <a:cs typeface="微软雅黑" panose="020B0503020204020204" charset="-122"/>
              <a:sym typeface="微软雅黑" panose="020B0503020204020204" charset="-122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rgbClr val="EAEAEA"/>
      </a:solidFill>
      <a:round/>
    </a:ln>
    <a:effectLst/>
  </c:spPr>
  <c:txPr>
    <a:bodyPr/>
    <a:lstStyle/>
    <a:p>
      <a:pPr>
        <a:defRPr lang="zh-CN">
          <a:latin typeface="微软雅黑" panose="020B0503020204020204" charset="-122"/>
          <a:ea typeface="微软雅黑" panose="020B0503020204020204" charset="-122"/>
          <a:cs typeface="微软雅黑" panose="020B0503020204020204" charset="-122"/>
          <a:sym typeface="微软雅黑" panose="020B0503020204020204" charset="-122"/>
        </a:defRPr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各项支出比重</a:t>
            </a:r>
          </a:p>
        </c:rich>
      </c:tx>
      <c:layout>
        <c:manualLayout>
          <c:xMode val="edge"/>
          <c:yMode val="edge"/>
          <c:x val="0.326421623214988"/>
          <c:y val="0.0240900900900901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>
                  <a:shade val="58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1">
                  <a:shade val="86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1">
                  <a:tint val="86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1">
                  <a:tint val="58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/>
                      <a:t>83.53</a:t>
                    </a:r>
                    <a:r>
                      <a:t>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0490628525945195"/>
                  <c:y val="0.152903388167538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/>
                      <a:t>12.44</a:t>
                    </a:r>
                    <a:r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595823901016636"/>
                  <c:y val="0.301186014747724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/>
                      <a:t>2.52</a:t>
                    </a:r>
                    <a:r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414819268253164"/>
                  <c:y val="0.106438206127609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/>
                      <a:t>1.51%</a:t>
                    </a:r>
                    <a:endParaRPr lang="en-US" altLang="zh-CN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一般公共服务支出</c:v>
                </c:pt>
                <c:pt idx="1">
                  <c:v>社会保障和就业支出</c:v>
                </c:pt>
                <c:pt idx="2">
                  <c:v>住房保障支出</c:v>
                </c:pt>
                <c:pt idx="3">
                  <c:v>卫生健康支出</c:v>
                </c:pt>
              </c:strCache>
            </c:strRef>
          </c:cat>
          <c:val>
            <c:numRef>
              <c:f>Sheet1!$B$2:$B$5</c:f>
              <c:numCache>
                <c:formatCode>0.00%</c:formatCode>
                <c:ptCount val="4"/>
                <c:pt idx="0">
                  <c:v>0.8625</c:v>
                </c:pt>
                <c:pt idx="1">
                  <c:v>0.0775</c:v>
                </c:pt>
                <c:pt idx="2">
                  <c:v>0.0327</c:v>
                </c:pt>
                <c:pt idx="3">
                  <c:v>0.0273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系列 2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>
                  <a:shade val="58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1">
                  <a:shade val="86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1">
                  <a:tint val="86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1">
                  <a:tint val="58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numFmt formatCode="General" sourceLinked="1"/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一般公共服务支出</c:v>
                </c:pt>
                <c:pt idx="1">
                  <c:v>社会保障和就业支出</c:v>
                </c:pt>
                <c:pt idx="2">
                  <c:v>住房保障支出</c:v>
                </c:pt>
                <c:pt idx="3">
                  <c:v>卫生健康支出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系列 3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>
                  <a:shade val="58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1">
                  <a:shade val="86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1">
                  <a:tint val="86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1">
                  <a:tint val="58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numFmt formatCode="General" sourceLinked="1"/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一般公共服务支出</c:v>
                </c:pt>
                <c:pt idx="1">
                  <c:v>社会保障和就业支出</c:v>
                </c:pt>
                <c:pt idx="2">
                  <c:v>住房保障支出</c:v>
                </c:pt>
                <c:pt idx="3">
                  <c:v>卫生健康支出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A967F-99A7-44AE-8CB3-A0222E97AF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4570</Words>
  <Characters>5011</Characters>
  <Lines>59</Lines>
  <Paragraphs>16</Paragraphs>
  <TotalTime>6</TotalTime>
  <ScaleCrop>false</ScaleCrop>
  <LinksUpToDate>false</LinksUpToDate>
  <CharactersWithSpaces>5085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2020-07-02T02:32:00Z</dcterms:created>
  <dc:creator>李航 null</dc:creator>
  <cp:lastModifiedBy>HH</cp:lastModifiedBy>
  <cp:lastPrinted>2020-08-19T02:46:00Z</cp:lastPrinted>
  <dcterms:modified xsi:type="dcterms:W3CDTF">2023-04-28T07:23:05Z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1B4FE3FD437447BFAB615090832C6A67_13</vt:lpwstr>
  </property>
</Properties>
</file>