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ajorEastAsia" w:hAnsiTheme="majorEastAsia" w:eastAsiaTheme="majorEastAsia" w:cstheme="majorEastAsia"/>
          <w:sz w:val="84"/>
          <w:szCs w:val="84"/>
          <w:lang w:eastAsia="zh-CN"/>
        </w:rPr>
      </w:pPr>
      <w:r>
        <w:rPr>
          <w:rFonts w:hint="eastAsia" w:asciiTheme="majorEastAsia" w:hAnsiTheme="majorEastAsia" w:eastAsiaTheme="majorEastAsia" w:cstheme="majorEastAsia"/>
          <w:sz w:val="84"/>
          <w:szCs w:val="84"/>
        </w:rPr>
        <w:t>2019年度</w:t>
      </w:r>
      <w:r>
        <w:rPr>
          <w:rFonts w:hint="eastAsia" w:asciiTheme="majorEastAsia" w:hAnsiTheme="majorEastAsia" w:eastAsiaTheme="majorEastAsia" w:cstheme="majorEastAsia"/>
          <w:sz w:val="84"/>
          <w:szCs w:val="84"/>
          <w:lang w:eastAsia="zh-CN"/>
        </w:rPr>
        <w:t>洪江市环卫所</w:t>
      </w:r>
    </w:p>
    <w:p>
      <w:pPr>
        <w:pStyle w:val="11"/>
        <w:jc w:val="center"/>
        <w:rPr>
          <w:rFonts w:hint="eastAsia" w:asciiTheme="majorEastAsia" w:hAnsiTheme="majorEastAsia" w:eastAsiaTheme="majorEastAsia" w:cstheme="majorEastAsia"/>
          <w:sz w:val="84"/>
          <w:szCs w:val="84"/>
        </w:rPr>
      </w:pPr>
    </w:p>
    <w:p>
      <w:pPr>
        <w:pStyle w:val="11"/>
        <w:jc w:val="center"/>
        <w:rPr>
          <w:rFonts w:hint="eastAsia" w:asciiTheme="majorEastAsia" w:hAnsiTheme="majorEastAsia" w:eastAsiaTheme="majorEastAsia" w:cstheme="majorEastAsia"/>
          <w:sz w:val="84"/>
          <w:szCs w:val="84"/>
        </w:rPr>
      </w:pPr>
    </w:p>
    <w:p>
      <w:pPr>
        <w:pStyle w:val="11"/>
        <w:jc w:val="center"/>
        <w:rPr>
          <w:rFonts w:hint="eastAsia" w:asciiTheme="majorEastAsia" w:hAnsiTheme="majorEastAsia" w:eastAsiaTheme="majorEastAsia" w:cstheme="majorEastAsia"/>
          <w:sz w:val="84"/>
          <w:szCs w:val="84"/>
        </w:rPr>
      </w:pPr>
    </w:p>
    <w:p>
      <w:pPr>
        <w:pStyle w:val="11"/>
        <w:jc w:val="center"/>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sz w:val="84"/>
          <w:szCs w:val="84"/>
        </w:rPr>
        <w:t>部门决算</w:t>
      </w:r>
    </w:p>
    <w:p>
      <w:pPr>
        <w:pStyle w:val="11"/>
        <w:jc w:val="center"/>
        <w:rPr>
          <w:rFonts w:hint="eastAsia" w:asciiTheme="majorEastAsia" w:hAnsiTheme="majorEastAsia" w:eastAsiaTheme="majorEastAsia" w:cstheme="majorEastAsia"/>
          <w:sz w:val="84"/>
          <w:szCs w:val="84"/>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jc w:val="center"/>
        <w:rPr>
          <w:rFonts w:hint="eastAsia" w:asciiTheme="minorEastAsia" w:hAnsiTheme="minorEastAsia" w:eastAsiaTheme="minorEastAsia" w:cstheme="minorEastAsia"/>
          <w:sz w:val="32"/>
          <w:szCs w:val="32"/>
        </w:rPr>
      </w:pPr>
    </w:p>
    <w:p>
      <w:pPr>
        <w:pStyle w:val="11"/>
        <w:spacing w:line="540" w:lineRule="exact"/>
        <w:jc w:val="center"/>
        <w:rPr>
          <w:rFonts w:hint="eastAsia" w:asciiTheme="minorEastAsia" w:hAnsiTheme="minorEastAsia" w:eastAsiaTheme="minorEastAsia" w:cstheme="minorEastAsia"/>
          <w:sz w:val="32"/>
          <w:szCs w:val="32"/>
        </w:rPr>
      </w:pPr>
    </w:p>
    <w:p>
      <w:pPr>
        <w:pStyle w:val="11"/>
        <w:spacing w:line="520" w:lineRule="exact"/>
        <w:jc w:val="center"/>
        <w:rPr>
          <w:rFonts w:hint="eastAsia" w:asciiTheme="minorEastAsia" w:hAnsiTheme="minorEastAsia" w:eastAsiaTheme="minorEastAsia" w:cstheme="minorEastAsia"/>
          <w:sz w:val="32"/>
          <w:szCs w:val="32"/>
        </w:rPr>
      </w:pPr>
    </w:p>
    <w:p>
      <w:pPr>
        <w:pStyle w:val="11"/>
        <w:spacing w:line="520" w:lineRule="exact"/>
        <w:jc w:val="center"/>
        <w:rPr>
          <w:rFonts w:hint="eastAsia" w:asciiTheme="minorEastAsia" w:hAnsiTheme="minorEastAsia" w:eastAsiaTheme="minorEastAsia" w:cstheme="minorEastAsia"/>
          <w:sz w:val="32"/>
          <w:szCs w:val="32"/>
        </w:rPr>
      </w:pPr>
    </w:p>
    <w:p>
      <w:pPr>
        <w:pStyle w:val="11"/>
        <w:spacing w:line="520" w:lineRule="exact"/>
        <w:jc w:val="center"/>
        <w:rPr>
          <w:sz w:val="56"/>
          <w:szCs w:val="56"/>
        </w:rPr>
      </w:pPr>
      <w:r>
        <w:rPr>
          <w:rFonts w:hint="eastAsia"/>
          <w:sz w:val="56"/>
          <w:szCs w:val="56"/>
        </w:rPr>
        <w:t>目录</w:t>
      </w:r>
    </w:p>
    <w:p>
      <w:pPr>
        <w:pStyle w:val="11"/>
        <w:spacing w:line="520" w:lineRule="exact"/>
        <w:rPr>
          <w:rFonts w:ascii="仿宋_GB2312" w:eastAsia="仿宋_GB2312" w:cs="仿宋_GB2312"/>
          <w:b/>
          <w:sz w:val="28"/>
          <w:szCs w:val="28"/>
        </w:rPr>
      </w:pPr>
      <w:r>
        <w:rPr>
          <w:rFonts w:hint="eastAsia"/>
          <w:b/>
          <w:sz w:val="28"/>
          <w:szCs w:val="28"/>
        </w:rPr>
        <w:t>第一部分</w:t>
      </w:r>
      <w:r>
        <w:rPr>
          <w:rFonts w:hint="eastAsia"/>
          <w:b/>
          <w:sz w:val="28"/>
          <w:szCs w:val="28"/>
          <w:lang w:eastAsia="zh-CN"/>
        </w:rPr>
        <w:t>单位</w:t>
      </w:r>
      <w:r>
        <w:rPr>
          <w:rFonts w:hint="eastAsia"/>
          <w:b/>
          <w:sz w:val="28"/>
          <w:szCs w:val="28"/>
        </w:rPr>
        <w:t>概况</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pPr>
        <w:pStyle w:val="11"/>
        <w:spacing w:line="52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六、一般公共预算财政拨款基本支出决算表</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1"/>
        <w:spacing w:line="52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1"/>
        <w:spacing w:line="52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2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2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九、预算绩效情况说明</w:t>
      </w:r>
    </w:p>
    <w:p>
      <w:pPr>
        <w:autoSpaceDE w:val="0"/>
        <w:autoSpaceDN w:val="0"/>
        <w:adjustRightInd w:val="0"/>
        <w:spacing w:line="52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pStyle w:val="11"/>
        <w:spacing w:line="520" w:lineRule="exact"/>
        <w:ind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第一部分</w:t>
      </w:r>
      <w:r>
        <w:rPr>
          <w:rFonts w:hint="eastAsia" w:asciiTheme="minorEastAsia" w:hAnsiTheme="minorEastAsia" w:eastAsiaTheme="minorEastAsia" w:cstheme="minorEastAsia"/>
          <w:b/>
          <w:sz w:val="32"/>
          <w:szCs w:val="32"/>
          <w:lang w:eastAsia="zh-CN"/>
        </w:rPr>
        <w:t>洪江市环卫所</w:t>
      </w:r>
      <w:r>
        <w:rPr>
          <w:rFonts w:hint="eastAsia" w:asciiTheme="minorEastAsia" w:hAnsiTheme="minorEastAsia" w:eastAsiaTheme="minorEastAsia" w:cstheme="minorEastAsia"/>
          <w:b/>
          <w:sz w:val="32"/>
          <w:szCs w:val="32"/>
        </w:rPr>
        <w:t>概况</w:t>
      </w:r>
    </w:p>
    <w:p>
      <w:pPr>
        <w:pStyle w:val="11"/>
        <w:numPr>
          <w:ilvl w:val="0"/>
          <w:numId w:val="1"/>
        </w:numPr>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部门职责</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1、负责城区主次干道和清扫保洁、降尘、垃圾清运及果壳箱的清掏保洁工作；</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2、负责城区公厕、垃圾中转站的管理；</w:t>
      </w:r>
    </w:p>
    <w:p>
      <w:pPr>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3、负责城区生产、生活垃圾的中转运输以及无害化处理； </w:t>
      </w:r>
    </w:p>
    <w:p>
      <w:pPr>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4、依据生活垃圾处理费管理办法，负责城区机关企事业单位、临街门面生活垃圾处理费的收取； </w:t>
      </w:r>
    </w:p>
    <w:p>
      <w:pPr>
        <w:pStyle w:val="11"/>
        <w:numPr>
          <w:ilvl w:val="0"/>
          <w:numId w:val="0"/>
        </w:numPr>
        <w:spacing w:line="52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 xml:space="preserve">５、完成市委、市政府和主管部门交办的其他工作。 </w:t>
      </w:r>
    </w:p>
    <w:p>
      <w:pPr>
        <w:snapToGrid w:val="0"/>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二、机构设置</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（一）内设机构设置。单位内设机构包括：</w:t>
      </w:r>
      <w:r>
        <w:rPr>
          <w:rFonts w:hint="eastAsia" w:asciiTheme="minorEastAsia" w:hAnsiTheme="minorEastAsia"/>
          <w:bCs/>
          <w:kern w:val="0"/>
          <w:sz w:val="32"/>
          <w:szCs w:val="32"/>
          <w:lang w:eastAsia="zh-CN"/>
        </w:rPr>
        <w:t>办公室、财务室、收费组、监察组。</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（二）决算单位构成。单位</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本级。</w:t>
      </w:r>
    </w:p>
    <w:p>
      <w:pPr>
        <w:snapToGrid w:val="0"/>
        <w:spacing w:line="520" w:lineRule="exact"/>
        <w:ind w:firstLine="640" w:firstLineChars="200"/>
        <w:rPr>
          <w:rFonts w:hint="eastAsia" w:asciiTheme="minorEastAsia" w:hAnsiTheme="minorEastAsia" w:eastAsiaTheme="minorEastAsia" w:cstheme="minorEastAsia"/>
          <w:sz w:val="32"/>
          <w:szCs w:val="32"/>
        </w:rPr>
      </w:pPr>
    </w:p>
    <w:p>
      <w:pPr>
        <w:pStyle w:val="11"/>
        <w:spacing w:line="520" w:lineRule="exact"/>
        <w:ind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第二部分2019年度部门决算表</w:t>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一、收入支出决算总表</w:t>
      </w:r>
    </w:p>
    <w:p>
      <w:pPr>
        <w:pStyle w:val="11"/>
        <w:spacing w:line="240" w:lineRule="auto"/>
        <w:ind w:firstLine="800" w:firstLineChars="2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274310" cy="2688590"/>
            <wp:effectExtent l="0" t="0" r="2540" b="16510"/>
            <wp:docPr id="1" name="图片 1" descr="QQ图片2020081715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00817150426"/>
                    <pic:cNvPicPr>
                      <a:picLocks noChangeAspect="1"/>
                    </pic:cNvPicPr>
                  </pic:nvPicPr>
                  <pic:blipFill>
                    <a:blip r:embed="rId4"/>
                    <a:stretch>
                      <a:fillRect/>
                    </a:stretch>
                  </pic:blipFill>
                  <pic:spPr>
                    <a:xfrm>
                      <a:off x="0" y="0"/>
                      <a:ext cx="5274310" cy="2688590"/>
                    </a:xfrm>
                    <a:prstGeom prst="rect">
                      <a:avLst/>
                    </a:prstGeom>
                  </pic:spPr>
                </pic:pic>
              </a:graphicData>
            </a:graphic>
          </wp:inline>
        </w:drawing>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二、收入决算表</w:t>
      </w:r>
    </w:p>
    <w:p>
      <w:pPr>
        <w:pStyle w:val="11"/>
        <w:spacing w:line="240" w:lineRule="auto"/>
        <w:ind w:left="997" w:leftChars="399" w:hanging="160" w:hangingChars="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272405" cy="3644265"/>
            <wp:effectExtent l="0" t="0" r="4445" b="13335"/>
            <wp:docPr id="2" name="图片 2" descr="QQ图片2020081715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0817150626"/>
                    <pic:cNvPicPr>
                      <a:picLocks noChangeAspect="1"/>
                    </pic:cNvPicPr>
                  </pic:nvPicPr>
                  <pic:blipFill>
                    <a:blip r:embed="rId5"/>
                    <a:stretch>
                      <a:fillRect/>
                    </a:stretch>
                  </pic:blipFill>
                  <pic:spPr>
                    <a:xfrm>
                      <a:off x="0" y="0"/>
                      <a:ext cx="5272405" cy="3644265"/>
                    </a:xfrm>
                    <a:prstGeom prst="rect">
                      <a:avLst/>
                    </a:prstGeom>
                  </pic:spPr>
                </pic:pic>
              </a:graphicData>
            </a:graphic>
          </wp:inline>
        </w:drawing>
      </w:r>
    </w:p>
    <w:p>
      <w:pPr>
        <w:pStyle w:val="11"/>
        <w:spacing w:line="240" w:lineRule="auto"/>
        <w:ind w:left="997" w:leftChars="399" w:hanging="160" w:hangingChars="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三、支出决算表</w:t>
      </w:r>
    </w:p>
    <w:p>
      <w:pPr>
        <w:pStyle w:val="11"/>
        <w:spacing w:line="240" w:lineRule="auto"/>
        <w:ind w:firstLine="800" w:firstLineChars="2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269865" cy="4001770"/>
            <wp:effectExtent l="0" t="0" r="6985" b="17780"/>
            <wp:docPr id="3" name="图片 3" descr="QQ图片2020081715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00817150733"/>
                    <pic:cNvPicPr>
                      <a:picLocks noChangeAspect="1"/>
                    </pic:cNvPicPr>
                  </pic:nvPicPr>
                  <pic:blipFill>
                    <a:blip r:embed="rId6"/>
                    <a:stretch>
                      <a:fillRect/>
                    </a:stretch>
                  </pic:blipFill>
                  <pic:spPr>
                    <a:xfrm>
                      <a:off x="0" y="0"/>
                      <a:ext cx="5269865" cy="4001770"/>
                    </a:xfrm>
                    <a:prstGeom prst="rect">
                      <a:avLst/>
                    </a:prstGeom>
                  </pic:spPr>
                </pic:pic>
              </a:graphicData>
            </a:graphic>
          </wp:inline>
        </w:drawing>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四、财政拨款收入支出决算总表</w:t>
      </w:r>
    </w:p>
    <w:p>
      <w:pPr>
        <w:pStyle w:val="11"/>
        <w:spacing w:line="240" w:lineRule="auto"/>
        <w:ind w:firstLine="800" w:firstLineChars="2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271135" cy="2679700"/>
            <wp:effectExtent l="0" t="0" r="5715" b="6350"/>
            <wp:docPr id="4" name="图片 4" descr="QQ图片2020081715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00817150921"/>
                    <pic:cNvPicPr>
                      <a:picLocks noChangeAspect="1"/>
                    </pic:cNvPicPr>
                  </pic:nvPicPr>
                  <pic:blipFill>
                    <a:blip r:embed="rId7"/>
                    <a:stretch>
                      <a:fillRect/>
                    </a:stretch>
                  </pic:blipFill>
                  <pic:spPr>
                    <a:xfrm>
                      <a:off x="0" y="0"/>
                      <a:ext cx="5271135" cy="2679700"/>
                    </a:xfrm>
                    <a:prstGeom prst="rect">
                      <a:avLst/>
                    </a:prstGeom>
                  </pic:spPr>
                </pic:pic>
              </a:graphicData>
            </a:graphic>
          </wp:inline>
        </w:drawing>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五、一般公共预算财政拨款支出决算表</w:t>
      </w:r>
    </w:p>
    <w:p>
      <w:pPr>
        <w:pStyle w:val="11"/>
        <w:spacing w:line="240" w:lineRule="auto"/>
        <w:ind w:firstLine="800" w:firstLineChars="2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272405" cy="4999990"/>
            <wp:effectExtent l="0" t="0" r="4445" b="10160"/>
            <wp:docPr id="5" name="图片 5" descr="QQ图片2020081715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00817151017"/>
                    <pic:cNvPicPr>
                      <a:picLocks noChangeAspect="1"/>
                    </pic:cNvPicPr>
                  </pic:nvPicPr>
                  <pic:blipFill>
                    <a:blip r:embed="rId8"/>
                    <a:stretch>
                      <a:fillRect/>
                    </a:stretch>
                  </pic:blipFill>
                  <pic:spPr>
                    <a:xfrm>
                      <a:off x="0" y="0"/>
                      <a:ext cx="5272405" cy="4999990"/>
                    </a:xfrm>
                    <a:prstGeom prst="rect">
                      <a:avLst/>
                    </a:prstGeom>
                  </pic:spPr>
                </pic:pic>
              </a:graphicData>
            </a:graphic>
          </wp:inline>
        </w:drawing>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六、一般公共预算财政拨款基本支出决算表</w:t>
      </w:r>
    </w:p>
    <w:p>
      <w:pPr>
        <w:pStyle w:val="11"/>
        <w:spacing w:line="240" w:lineRule="auto"/>
        <w:ind w:firstLine="800" w:firstLineChars="2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265420" cy="3110230"/>
            <wp:effectExtent l="0" t="0" r="11430" b="13970"/>
            <wp:docPr id="6" name="图片 6" descr="QQ图片2020081715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00817151059"/>
                    <pic:cNvPicPr>
                      <a:picLocks noChangeAspect="1"/>
                    </pic:cNvPicPr>
                  </pic:nvPicPr>
                  <pic:blipFill>
                    <a:blip r:embed="rId9"/>
                    <a:stretch>
                      <a:fillRect/>
                    </a:stretch>
                  </pic:blipFill>
                  <pic:spPr>
                    <a:xfrm>
                      <a:off x="0" y="0"/>
                      <a:ext cx="5265420" cy="3110230"/>
                    </a:xfrm>
                    <a:prstGeom prst="rect">
                      <a:avLst/>
                    </a:prstGeom>
                  </pic:spPr>
                </pic:pic>
              </a:graphicData>
            </a:graphic>
          </wp:inline>
        </w:drawing>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七、一般公共预算财政拨款“三公”经费支出决算表</w:t>
      </w:r>
    </w:p>
    <w:p>
      <w:pPr>
        <w:pStyle w:val="11"/>
        <w:spacing w:line="240" w:lineRule="auto"/>
        <w:ind w:firstLine="800" w:firstLineChars="2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266055" cy="1805305"/>
            <wp:effectExtent l="0" t="0" r="10795" b="4445"/>
            <wp:docPr id="7" name="图片 7" descr="QQ图片2020081715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00817151133"/>
                    <pic:cNvPicPr>
                      <a:picLocks noChangeAspect="1"/>
                    </pic:cNvPicPr>
                  </pic:nvPicPr>
                  <pic:blipFill>
                    <a:blip r:embed="rId10"/>
                    <a:stretch>
                      <a:fillRect/>
                    </a:stretch>
                  </pic:blipFill>
                  <pic:spPr>
                    <a:xfrm>
                      <a:off x="0" y="0"/>
                      <a:ext cx="5266055" cy="1805305"/>
                    </a:xfrm>
                    <a:prstGeom prst="rect">
                      <a:avLst/>
                    </a:prstGeom>
                  </pic:spPr>
                </pic:pic>
              </a:graphicData>
            </a:graphic>
          </wp:inline>
        </w:drawing>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八、政府性基金预算财政拨款收入支出决算表</w:t>
      </w:r>
    </w:p>
    <w:p>
      <w:pPr>
        <w:pStyle w:val="11"/>
        <w:spacing w:line="240" w:lineRule="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 xml:space="preserve">     </w:t>
      </w:r>
      <w:r>
        <w:rPr>
          <w:rFonts w:hint="eastAsia" w:asciiTheme="minorEastAsia" w:hAnsiTheme="minorEastAsia" w:eastAsiaTheme="minorEastAsia" w:cstheme="minorEastAsia"/>
          <w:b/>
          <w:sz w:val="32"/>
          <w:szCs w:val="32"/>
          <w:lang w:val="en-US" w:eastAsia="zh-CN"/>
        </w:rPr>
        <w:drawing>
          <wp:inline distT="0" distB="0" distL="114300" distR="114300">
            <wp:extent cx="5274310" cy="2655570"/>
            <wp:effectExtent l="0" t="0" r="2540" b="11430"/>
            <wp:docPr id="8" name="图片 8" descr="QQ图片2020081715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00817151209"/>
                    <pic:cNvPicPr>
                      <a:picLocks noChangeAspect="1"/>
                    </pic:cNvPicPr>
                  </pic:nvPicPr>
                  <pic:blipFill>
                    <a:blip r:embed="rId11"/>
                    <a:stretch>
                      <a:fillRect/>
                    </a:stretch>
                  </pic:blipFill>
                  <pic:spPr>
                    <a:xfrm>
                      <a:off x="0" y="0"/>
                      <a:ext cx="5274310" cy="2655570"/>
                    </a:xfrm>
                    <a:prstGeom prst="rect">
                      <a:avLst/>
                    </a:prstGeom>
                  </pic:spPr>
                </pic:pic>
              </a:graphicData>
            </a:graphic>
          </wp:inline>
        </w:drawing>
      </w:r>
    </w:p>
    <w:p>
      <w:pPr>
        <w:pStyle w:val="11"/>
        <w:spacing w:line="520" w:lineRule="exact"/>
        <w:ind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第三部分2019年度部门决算情况说明</w:t>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一、收入支出决算总体情况说明</w:t>
      </w:r>
    </w:p>
    <w:p>
      <w:pPr>
        <w:ind w:left="210" w:leftChars="100"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sz w:val="32"/>
          <w:szCs w:val="32"/>
        </w:rPr>
        <w:t>2019 年度收、支总计</w:t>
      </w:r>
      <w:r>
        <w:rPr>
          <w:rFonts w:hint="eastAsia" w:asciiTheme="minorEastAsia" w:hAnsiTheme="minorEastAsia" w:eastAsiaTheme="minorEastAsia"/>
          <w:sz w:val="32"/>
          <w:szCs w:val="32"/>
          <w:lang w:val="en-US" w:eastAsia="zh-CN"/>
        </w:rPr>
        <w:t>279.79</w:t>
      </w:r>
      <w:r>
        <w:rPr>
          <w:rFonts w:hint="eastAsia" w:asciiTheme="minorEastAsia" w:hAnsiTheme="minorEastAsia" w:eastAsiaTheme="minorEastAsia"/>
          <w:sz w:val="32"/>
          <w:szCs w:val="32"/>
        </w:rPr>
        <w:t>万元。与2018年相比，减少</w:t>
      </w:r>
      <w:r>
        <w:rPr>
          <w:rFonts w:hint="eastAsia" w:asciiTheme="minorEastAsia" w:hAnsiTheme="minorEastAsia" w:eastAsiaTheme="minorEastAsia"/>
          <w:sz w:val="32"/>
          <w:szCs w:val="32"/>
          <w:lang w:val="en-US" w:eastAsia="zh-CN"/>
        </w:rPr>
        <w:t>235.97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EastAsia"/>
          <w:sz w:val="32"/>
          <w:szCs w:val="32"/>
          <w:lang w:eastAsia="zh-CN"/>
        </w:rPr>
        <w:t>大部分路段清扫保洁及垃圾清运工作移交给凯天保洁公司</w:t>
      </w:r>
      <w:r>
        <w:rPr>
          <w:rFonts w:hint="eastAsia" w:asciiTheme="minorEastAsia" w:hAnsiTheme="minorEastAsia" w:eastAsiaTheme="minorEastAsia" w:cstheme="minorEastAsia"/>
          <w:sz w:val="32"/>
          <w:szCs w:val="32"/>
          <w:lang w:val="en-US" w:eastAsia="zh-CN"/>
        </w:rPr>
        <w:t>，减少了经费开支。</w:t>
      </w:r>
    </w:p>
    <w:p>
      <w:pPr>
        <w:spacing w:line="520" w:lineRule="exact"/>
        <w:ind w:firstLine="800" w:firstLineChars="25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二、收入决算情况说明</w:t>
      </w:r>
    </w:p>
    <w:p>
      <w:pPr>
        <w:ind w:firstLine="640" w:firstLineChars="200"/>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sz w:val="32"/>
          <w:szCs w:val="32"/>
        </w:rPr>
        <w:t>本年收入合计</w:t>
      </w:r>
      <w:r>
        <w:rPr>
          <w:rFonts w:hint="eastAsia" w:asciiTheme="minorEastAsia" w:hAnsiTheme="minorEastAsia"/>
          <w:sz w:val="32"/>
          <w:szCs w:val="32"/>
          <w:lang w:val="en-US" w:eastAsia="zh-CN"/>
        </w:rPr>
        <w:t>279.79</w:t>
      </w:r>
      <w:r>
        <w:rPr>
          <w:rFonts w:hint="eastAsia" w:asciiTheme="minorEastAsia" w:hAnsiTheme="minorEastAsia" w:eastAsiaTheme="minorEastAsia"/>
          <w:sz w:val="32"/>
          <w:szCs w:val="32"/>
        </w:rPr>
        <w:t>万元，其中：财政拨款收入</w:t>
      </w:r>
      <w:r>
        <w:rPr>
          <w:rFonts w:hint="eastAsia" w:asciiTheme="minorEastAsia" w:hAnsiTheme="minorEastAsia"/>
          <w:sz w:val="32"/>
          <w:szCs w:val="32"/>
          <w:lang w:val="en-US" w:eastAsia="zh-CN"/>
        </w:rPr>
        <w:t>279.79</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w:t>
      </w:r>
    </w:p>
    <w:p>
      <w:pPr>
        <w:autoSpaceDE w:val="0"/>
        <w:autoSpaceDN w:val="0"/>
        <w:adjustRightInd w:val="0"/>
        <w:spacing w:line="520" w:lineRule="exact"/>
        <w:ind w:firstLine="800" w:firstLineChars="25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279.79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181.59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autoSpaceDE w:val="0"/>
        <w:autoSpaceDN w:val="0"/>
        <w:adjustRightInd w:val="0"/>
        <w:spacing w:line="520" w:lineRule="exact"/>
        <w:ind w:firstLine="800" w:firstLineChars="25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四、财政拨款收入支出决算总体情况说明</w:t>
      </w:r>
    </w:p>
    <w:p>
      <w:pPr>
        <w:widowControl/>
        <w:spacing w:line="600" w:lineRule="exact"/>
        <w:ind w:firstLine="627" w:firstLineChars="196"/>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本年财政拨款收入支出总计</w:t>
      </w:r>
      <w:r>
        <w:rPr>
          <w:rFonts w:hint="eastAsia" w:asciiTheme="minorEastAsia" w:hAnsiTheme="minorEastAsia" w:eastAsiaTheme="minorEastAsia" w:cstheme="minorEastAsia"/>
          <w:kern w:val="0"/>
          <w:sz w:val="32"/>
          <w:szCs w:val="32"/>
          <w:lang w:val="en-US" w:eastAsia="zh-CN"/>
        </w:rPr>
        <w:t>279.79</w:t>
      </w:r>
      <w:r>
        <w:rPr>
          <w:rFonts w:hint="eastAsia" w:asciiTheme="minorEastAsia" w:hAnsiTheme="minorEastAsia" w:eastAsiaTheme="minorEastAsia" w:cstheme="minorEastAsia"/>
          <w:kern w:val="0"/>
          <w:sz w:val="32"/>
          <w:szCs w:val="32"/>
        </w:rPr>
        <w:t>万元，与上年决算数比较</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rPr>
        <w:t>了</w:t>
      </w:r>
      <w:r>
        <w:rPr>
          <w:rFonts w:hint="eastAsia" w:asciiTheme="minorEastAsia" w:hAnsiTheme="minorEastAsia" w:eastAsiaTheme="minorEastAsia" w:cstheme="minorEastAsia"/>
          <w:sz w:val="32"/>
          <w:szCs w:val="32"/>
          <w:lang w:val="en-US" w:eastAsia="zh-CN"/>
        </w:rPr>
        <w:t>235.97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，占比</w:t>
      </w:r>
      <w:r>
        <w:rPr>
          <w:rFonts w:hint="eastAsia" w:asciiTheme="minorEastAsia" w:hAnsiTheme="minorEastAsia" w:eastAsiaTheme="minorEastAsia" w:cstheme="minorEastAsia"/>
          <w:kern w:val="0"/>
          <w:sz w:val="32"/>
          <w:szCs w:val="32"/>
          <w:lang w:val="en-US" w:eastAsia="zh-CN"/>
        </w:rPr>
        <w:t>46</w:t>
      </w:r>
      <w:r>
        <w:rPr>
          <w:rFonts w:hint="eastAsia" w:asciiTheme="minorEastAsia" w:hAnsiTheme="minorEastAsia" w:eastAsiaTheme="minorEastAsia" w:cstheme="minorEastAsia"/>
          <w:kern w:val="0"/>
          <w:sz w:val="32"/>
          <w:szCs w:val="32"/>
        </w:rPr>
        <w:t>%，原因分析如下：</w:t>
      </w:r>
    </w:p>
    <w:p>
      <w:pPr>
        <w:widowControl/>
        <w:spacing w:line="600" w:lineRule="exact"/>
        <w:ind w:firstLine="627" w:firstLineChars="196"/>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sz w:val="32"/>
          <w:szCs w:val="32"/>
        </w:rPr>
        <w:t>原因为</w:t>
      </w:r>
      <w:r>
        <w:rPr>
          <w:rFonts w:hint="eastAsia" w:asciiTheme="minorEastAsia" w:hAnsiTheme="minorEastAsia" w:eastAsiaTheme="minorEastAsia" w:cstheme="minorEastAsia"/>
          <w:sz w:val="32"/>
          <w:szCs w:val="32"/>
          <w:lang w:eastAsia="zh-CN"/>
        </w:rPr>
        <w:t>大部分路段清扫保洁及垃圾清运工作移交给凯天保洁公司</w:t>
      </w:r>
      <w:r>
        <w:rPr>
          <w:rFonts w:hint="eastAsia" w:asciiTheme="minorEastAsia" w:hAnsiTheme="minorEastAsia" w:eastAsiaTheme="minorEastAsia" w:cstheme="minorEastAsia"/>
          <w:sz w:val="32"/>
          <w:szCs w:val="32"/>
          <w:lang w:val="en-US" w:eastAsia="zh-CN"/>
        </w:rPr>
        <w:t>，减少了经费开支。</w:t>
      </w:r>
      <w:r>
        <w:rPr>
          <w:rFonts w:hint="eastAsia" w:asciiTheme="minorEastAsia" w:hAnsiTheme="minorEastAsia" w:eastAsiaTheme="minorEastAsia" w:cstheme="minorEastAsia"/>
          <w:kern w:val="0"/>
          <w:sz w:val="32"/>
          <w:szCs w:val="32"/>
        </w:rPr>
        <w:t>(财政拨款收、支总计与上年决算数比较)</w:t>
      </w:r>
    </w:p>
    <w:p>
      <w:pPr>
        <w:autoSpaceDE w:val="0"/>
        <w:autoSpaceDN w:val="0"/>
        <w:adjustRightInd w:val="0"/>
        <w:spacing w:line="520" w:lineRule="exact"/>
        <w:ind w:firstLine="800" w:firstLineChars="25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五、一般公共预算财政拨款支出决算情况说明</w:t>
      </w:r>
    </w:p>
    <w:p>
      <w:pPr>
        <w:widowControl/>
        <w:spacing w:line="600" w:lineRule="exact"/>
        <w:ind w:firstLine="640"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kern w:val="0"/>
          <w:sz w:val="32"/>
          <w:szCs w:val="32"/>
        </w:rPr>
        <w:t>（一）财政拨款支出决算总体情况。</w:t>
      </w:r>
    </w:p>
    <w:p>
      <w:pPr>
        <w:widowControl/>
        <w:spacing w:line="600" w:lineRule="exact"/>
        <w:ind w:firstLine="627" w:firstLineChars="196"/>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本年财政拨款收入支出总计</w:t>
      </w:r>
      <w:r>
        <w:rPr>
          <w:rFonts w:hint="eastAsia" w:asciiTheme="minorEastAsia" w:hAnsiTheme="minorEastAsia" w:eastAsiaTheme="minorEastAsia" w:cstheme="minorEastAsia"/>
          <w:kern w:val="0"/>
          <w:sz w:val="32"/>
          <w:szCs w:val="32"/>
          <w:lang w:val="en-US" w:eastAsia="zh-CN"/>
        </w:rPr>
        <w:t>279.79</w:t>
      </w:r>
      <w:r>
        <w:rPr>
          <w:rFonts w:hint="eastAsia" w:asciiTheme="minorEastAsia" w:hAnsiTheme="minorEastAsia" w:eastAsiaTheme="minorEastAsia" w:cstheme="minorEastAsia"/>
          <w:kern w:val="0"/>
          <w:sz w:val="32"/>
          <w:szCs w:val="32"/>
        </w:rPr>
        <w:t>万元，与上年决算数比较</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rPr>
        <w:t>了</w:t>
      </w:r>
      <w:r>
        <w:rPr>
          <w:rFonts w:hint="eastAsia" w:asciiTheme="minorEastAsia" w:hAnsiTheme="minorEastAsia" w:eastAsiaTheme="minorEastAsia" w:cstheme="minorEastAsia"/>
          <w:sz w:val="32"/>
          <w:szCs w:val="32"/>
          <w:lang w:val="en-US" w:eastAsia="zh-CN"/>
        </w:rPr>
        <w:t>235.97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，占比</w:t>
      </w:r>
      <w:r>
        <w:rPr>
          <w:rFonts w:hint="eastAsia" w:asciiTheme="minorEastAsia" w:hAnsiTheme="minorEastAsia" w:eastAsiaTheme="minorEastAsia" w:cstheme="minorEastAsia"/>
          <w:kern w:val="0"/>
          <w:sz w:val="32"/>
          <w:szCs w:val="32"/>
          <w:lang w:val="en-US" w:eastAsia="zh-CN"/>
        </w:rPr>
        <w:t>46</w:t>
      </w:r>
      <w:r>
        <w:rPr>
          <w:rFonts w:hint="eastAsia" w:asciiTheme="minorEastAsia" w:hAnsiTheme="minorEastAsia" w:eastAsiaTheme="minorEastAsia" w:cstheme="minorEastAsia"/>
          <w:kern w:val="0"/>
          <w:sz w:val="32"/>
          <w:szCs w:val="32"/>
        </w:rPr>
        <w:t>%，原因分析如下：</w:t>
      </w:r>
    </w:p>
    <w:p>
      <w:pPr>
        <w:widowControl/>
        <w:spacing w:line="600" w:lineRule="exact"/>
        <w:ind w:firstLine="627" w:firstLineChars="196"/>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原因为</w:t>
      </w:r>
      <w:r>
        <w:rPr>
          <w:rFonts w:hint="eastAsia" w:asciiTheme="minorEastAsia" w:hAnsiTheme="minorEastAsia" w:eastAsiaTheme="minorEastAsia" w:cstheme="minorEastAsia"/>
          <w:sz w:val="32"/>
          <w:szCs w:val="32"/>
          <w:lang w:eastAsia="zh-CN"/>
        </w:rPr>
        <w:t>大部分路段清扫保洁及垃圾清运工作移交给凯天保洁公司</w:t>
      </w:r>
      <w:r>
        <w:rPr>
          <w:rFonts w:hint="eastAsia" w:asciiTheme="minorEastAsia" w:hAnsiTheme="minorEastAsia" w:eastAsiaTheme="minorEastAsia" w:cstheme="minorEastAsia"/>
          <w:sz w:val="32"/>
          <w:szCs w:val="32"/>
          <w:lang w:val="en-US" w:eastAsia="zh-CN"/>
        </w:rPr>
        <w:t>，减少了经费开支。</w:t>
      </w:r>
      <w:r>
        <w:rPr>
          <w:rFonts w:hint="eastAsia" w:asciiTheme="minorEastAsia" w:hAnsiTheme="minorEastAsia" w:eastAsiaTheme="minorEastAsia" w:cstheme="minorEastAsia"/>
          <w:kern w:val="0"/>
          <w:sz w:val="32"/>
          <w:szCs w:val="32"/>
        </w:rPr>
        <w:t>(财政拨款本年支出数与上年决算数比较)</w:t>
      </w:r>
    </w:p>
    <w:p>
      <w:pPr>
        <w:widowControl/>
        <w:spacing w:line="600" w:lineRule="exact"/>
        <w:ind w:firstLine="640"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kern w:val="0"/>
          <w:sz w:val="32"/>
          <w:szCs w:val="32"/>
        </w:rPr>
        <w:t>（二）财政拨款支出决算结构情况。</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279.79</w:t>
      </w:r>
      <w:r>
        <w:rPr>
          <w:rFonts w:hint="eastAsia" w:asciiTheme="minorEastAsia" w:hAnsiTheme="minorEastAsia" w:eastAsiaTheme="minorEastAsia"/>
          <w:sz w:val="32"/>
          <w:szCs w:val="32"/>
        </w:rPr>
        <w:t>万元，主要用于以下方面：文化旅游体育与传媒支出（类）支出</w:t>
      </w:r>
      <w:r>
        <w:rPr>
          <w:rFonts w:hint="eastAsia" w:asciiTheme="minorEastAsia" w:hAnsiTheme="minorEastAsia" w:eastAsiaTheme="minorEastAsia"/>
          <w:sz w:val="32"/>
          <w:szCs w:val="32"/>
          <w:lang w:val="en-US" w:eastAsia="zh-CN"/>
        </w:rPr>
        <w:t>3.00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%；社会保障和就业支出（类）支出</w:t>
      </w:r>
      <w:r>
        <w:rPr>
          <w:rFonts w:hint="eastAsia" w:asciiTheme="minorEastAsia" w:hAnsiTheme="minorEastAsia" w:eastAsiaTheme="minorEastAsia"/>
          <w:sz w:val="32"/>
          <w:szCs w:val="32"/>
          <w:lang w:val="en-US" w:eastAsia="zh-CN"/>
        </w:rPr>
        <w:t>19.92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%;城乡社区支出（类）支出</w:t>
      </w:r>
      <w:r>
        <w:rPr>
          <w:rFonts w:hint="eastAsia" w:asciiTheme="minorEastAsia" w:hAnsiTheme="minorEastAsia" w:eastAsiaTheme="minorEastAsia"/>
          <w:sz w:val="32"/>
          <w:szCs w:val="32"/>
          <w:lang w:val="en-US" w:eastAsia="zh-CN"/>
        </w:rPr>
        <w:t>242.97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农林水支出支出（类）支出</w:t>
      </w:r>
      <w:r>
        <w:rPr>
          <w:rFonts w:hint="eastAsia" w:asciiTheme="minorEastAsia" w:hAnsiTheme="minorEastAsia" w:eastAsiaTheme="minorEastAsia"/>
          <w:sz w:val="32"/>
          <w:szCs w:val="32"/>
          <w:lang w:val="en-US" w:eastAsia="zh-CN"/>
        </w:rPr>
        <w:t>7.7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住房保障支出（类）支出</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widowControl/>
        <w:spacing w:line="600" w:lineRule="exact"/>
        <w:ind w:firstLine="640"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Cs/>
          <w:kern w:val="0"/>
          <w:sz w:val="32"/>
          <w:szCs w:val="32"/>
        </w:rPr>
        <w:t>（三）财政拨款支出决算具体情况。</w:t>
      </w:r>
    </w:p>
    <w:p>
      <w:pPr>
        <w:pStyle w:val="11"/>
        <w:ind w:firstLine="800" w:firstLineChars="250"/>
        <w:rPr>
          <w:rFonts w:hint="eastAsia" w:ascii="宋体" w:hAnsi="宋体" w:eastAsia="宋体"/>
          <w:sz w:val="32"/>
          <w:szCs w:val="32"/>
        </w:rPr>
      </w:pPr>
      <w:r>
        <w:rPr>
          <w:rFonts w:ascii="宋体" w:hAnsi="宋体" w:eastAsia="宋体"/>
          <w:sz w:val="32"/>
          <w:szCs w:val="32"/>
        </w:rPr>
        <w:t>1</w:t>
      </w:r>
      <w:r>
        <w:rPr>
          <w:rFonts w:hint="eastAsia" w:ascii="宋体" w:hAnsi="宋体" w:eastAsia="宋体"/>
          <w:sz w:val="32"/>
          <w:szCs w:val="32"/>
        </w:rPr>
        <w:t>、文化旅游体育与传媒支出（类）文化和旅游（款）其他文化和旅游支出（项）。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年初预算数为</w:t>
      </w:r>
      <w:r>
        <w:rPr>
          <w:rFonts w:hint="eastAsia" w:ascii="宋体" w:hAnsi="宋体" w:eastAsia="宋体"/>
          <w:sz w:val="32"/>
          <w:szCs w:val="32"/>
          <w:lang w:val="en-US" w:eastAsia="zh-CN"/>
        </w:rPr>
        <w:t>0</w:t>
      </w:r>
      <w:r>
        <w:rPr>
          <w:rFonts w:hint="eastAsia" w:ascii="宋体" w:hAnsi="宋体" w:eastAsia="宋体"/>
          <w:sz w:val="32"/>
          <w:szCs w:val="32"/>
        </w:rPr>
        <w:t>万元，支出决算数为</w:t>
      </w:r>
      <w:r>
        <w:rPr>
          <w:rFonts w:hint="eastAsia" w:ascii="宋体" w:hAnsi="宋体" w:eastAsia="宋体"/>
          <w:sz w:val="32"/>
          <w:szCs w:val="32"/>
          <w:lang w:val="en-US" w:eastAsia="zh-CN"/>
        </w:rPr>
        <w:t>3</w:t>
      </w:r>
      <w:r>
        <w:rPr>
          <w:rFonts w:hint="eastAsia" w:ascii="宋体" w:hAnsi="宋体" w:eastAsia="宋体"/>
          <w:sz w:val="32"/>
          <w:szCs w:val="32"/>
        </w:rPr>
        <w:t>万元，决算数大于年初预算数的主要原因是</w:t>
      </w:r>
      <w:r>
        <w:rPr>
          <w:rFonts w:hint="eastAsia" w:ascii="宋体" w:hAnsi="宋体" w:eastAsia="宋体"/>
          <w:sz w:val="32"/>
          <w:szCs w:val="32"/>
          <w:lang w:eastAsia="zh-CN"/>
        </w:rPr>
        <w:t>洪马经费临时安排</w:t>
      </w:r>
      <w:r>
        <w:rPr>
          <w:rFonts w:hint="eastAsia" w:ascii="宋体" w:hAnsi="宋体" w:eastAsia="宋体"/>
          <w:sz w:val="32"/>
          <w:szCs w:val="32"/>
        </w:rPr>
        <w:t>。</w:t>
      </w:r>
    </w:p>
    <w:p>
      <w:pPr>
        <w:pStyle w:val="11"/>
        <w:ind w:firstLine="800" w:firstLineChars="250"/>
        <w:rPr>
          <w:rFonts w:hint="eastAsia" w:ascii="宋体" w:hAnsi="宋体" w:eastAsia="宋体"/>
          <w:sz w:val="32"/>
          <w:szCs w:val="32"/>
        </w:rPr>
      </w:pPr>
      <w:r>
        <w:rPr>
          <w:rFonts w:hint="eastAsia" w:ascii="宋体" w:hAnsi="宋体" w:eastAsia="宋体"/>
          <w:sz w:val="32"/>
          <w:szCs w:val="32"/>
          <w:lang w:val="en-US" w:eastAsia="zh-CN"/>
        </w:rPr>
        <w:t>2</w:t>
      </w:r>
      <w:r>
        <w:rPr>
          <w:rFonts w:hint="eastAsia" w:ascii="宋体" w:hAnsi="宋体" w:eastAsia="宋体"/>
          <w:sz w:val="32"/>
          <w:szCs w:val="32"/>
        </w:rPr>
        <w:t>、社会保障和就业支出支出（类）行政事业单位离退休</w:t>
      </w:r>
      <w:r>
        <w:rPr>
          <w:rFonts w:hint="eastAsia" w:ascii="宋体" w:hAnsi="宋体" w:eastAsia="宋体"/>
          <w:sz w:val="32"/>
          <w:szCs w:val="32"/>
          <w:lang w:eastAsia="zh-CN"/>
        </w:rPr>
        <w:t>（</w:t>
      </w:r>
      <w:r>
        <w:rPr>
          <w:rFonts w:hint="eastAsia" w:ascii="宋体" w:hAnsi="宋体" w:eastAsia="宋体"/>
          <w:sz w:val="32"/>
          <w:szCs w:val="32"/>
        </w:rPr>
        <w:t>款）机关事业单位基本养老保险缴费支出（项）。</w:t>
      </w:r>
    </w:p>
    <w:p>
      <w:pPr>
        <w:pStyle w:val="11"/>
        <w:ind w:firstLine="800" w:firstLineChars="250"/>
        <w:rPr>
          <w:rFonts w:hint="eastAsia" w:ascii="宋体" w:hAnsi="宋体" w:eastAsia="宋体"/>
          <w:sz w:val="32"/>
          <w:szCs w:val="32"/>
          <w:lang w:eastAsia="zh-CN"/>
        </w:rPr>
      </w:pPr>
      <w:r>
        <w:rPr>
          <w:rFonts w:hint="eastAsia" w:ascii="宋体" w:hAnsi="宋体" w:eastAsia="宋体"/>
          <w:sz w:val="32"/>
          <w:szCs w:val="32"/>
        </w:rPr>
        <w:t>年初预算数为</w:t>
      </w:r>
      <w:r>
        <w:rPr>
          <w:rFonts w:hint="eastAsia" w:ascii="宋体" w:hAnsi="宋体" w:eastAsia="宋体"/>
          <w:sz w:val="32"/>
          <w:szCs w:val="32"/>
          <w:lang w:val="en-US" w:eastAsia="zh-CN"/>
        </w:rPr>
        <w:t>20.69</w:t>
      </w:r>
      <w:r>
        <w:rPr>
          <w:rFonts w:hint="eastAsia" w:ascii="宋体" w:hAnsi="宋体" w:eastAsia="宋体"/>
          <w:sz w:val="32"/>
          <w:szCs w:val="32"/>
        </w:rPr>
        <w:t>万元，支出决算数为</w:t>
      </w:r>
      <w:r>
        <w:rPr>
          <w:rFonts w:hint="eastAsia" w:ascii="宋体" w:hAnsi="宋体" w:eastAsia="宋体"/>
          <w:sz w:val="32"/>
          <w:szCs w:val="32"/>
          <w:lang w:val="en-US" w:eastAsia="zh-CN"/>
        </w:rPr>
        <w:t>19.92</w:t>
      </w:r>
      <w:r>
        <w:rPr>
          <w:rFonts w:hint="eastAsia" w:ascii="宋体" w:hAnsi="宋体" w:eastAsia="宋体"/>
          <w:sz w:val="32"/>
          <w:szCs w:val="32"/>
        </w:rPr>
        <w:t>万元，完成年初预算的</w:t>
      </w:r>
      <w:r>
        <w:rPr>
          <w:rFonts w:hint="eastAsia" w:ascii="宋体" w:hAnsi="宋体" w:eastAsia="宋体"/>
          <w:sz w:val="32"/>
          <w:szCs w:val="32"/>
          <w:lang w:val="en-US" w:eastAsia="zh-CN"/>
        </w:rPr>
        <w:t>96</w:t>
      </w:r>
      <w:r>
        <w:rPr>
          <w:rFonts w:ascii="宋体" w:hAnsi="宋体" w:eastAsia="宋体"/>
          <w:sz w:val="32"/>
          <w:szCs w:val="32"/>
        </w:rPr>
        <w:t>%</w:t>
      </w:r>
      <w:r>
        <w:rPr>
          <w:rFonts w:hint="eastAsia" w:ascii="宋体" w:hAnsi="宋体" w:eastAsia="宋体"/>
          <w:sz w:val="32"/>
          <w:szCs w:val="32"/>
        </w:rPr>
        <w:t>，决算数</w:t>
      </w:r>
      <w:r>
        <w:rPr>
          <w:rFonts w:hint="eastAsia" w:ascii="宋体" w:hAnsi="宋体" w:eastAsia="宋体"/>
          <w:sz w:val="32"/>
          <w:szCs w:val="32"/>
          <w:lang w:eastAsia="zh-CN"/>
        </w:rPr>
        <w:t>小</w:t>
      </w:r>
      <w:r>
        <w:rPr>
          <w:rFonts w:hint="eastAsia" w:ascii="宋体" w:hAnsi="宋体" w:eastAsia="宋体"/>
          <w:sz w:val="32"/>
          <w:szCs w:val="32"/>
        </w:rPr>
        <w:t>于年初预算数的主要原因是</w:t>
      </w:r>
      <w:r>
        <w:rPr>
          <w:rFonts w:hint="eastAsia" w:ascii="宋体" w:hAnsi="宋体" w:eastAsia="宋体"/>
          <w:sz w:val="32"/>
          <w:szCs w:val="32"/>
          <w:lang w:eastAsia="zh-CN"/>
        </w:rPr>
        <w:t>人员减少。</w:t>
      </w:r>
    </w:p>
    <w:p>
      <w:pPr>
        <w:pStyle w:val="11"/>
        <w:ind w:firstLine="800" w:firstLineChars="250"/>
        <w:rPr>
          <w:rFonts w:hint="eastAsia"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、城乡社区支出支出（类）城乡社区环境卫生（款）城乡社区环境卫生（项）。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年初预算数为</w:t>
      </w:r>
      <w:r>
        <w:rPr>
          <w:rFonts w:hint="eastAsia" w:ascii="宋体" w:hAnsi="宋体" w:eastAsia="宋体"/>
          <w:sz w:val="32"/>
          <w:szCs w:val="32"/>
          <w:lang w:val="en-US" w:eastAsia="zh-CN"/>
        </w:rPr>
        <w:t>167.9</w:t>
      </w:r>
      <w:r>
        <w:rPr>
          <w:rFonts w:hint="eastAsia" w:ascii="宋体" w:hAnsi="宋体" w:eastAsia="宋体"/>
          <w:sz w:val="32"/>
          <w:szCs w:val="32"/>
        </w:rPr>
        <w:t>万元，支出决算数为</w:t>
      </w:r>
      <w:r>
        <w:rPr>
          <w:rFonts w:hint="eastAsia" w:ascii="宋体" w:hAnsi="宋体" w:eastAsia="宋体"/>
          <w:sz w:val="32"/>
          <w:szCs w:val="32"/>
          <w:lang w:val="en-US" w:eastAsia="zh-CN"/>
        </w:rPr>
        <w:t>242.97</w:t>
      </w:r>
      <w:r>
        <w:rPr>
          <w:rFonts w:hint="eastAsia" w:ascii="宋体" w:hAnsi="宋体" w:eastAsia="宋体"/>
          <w:sz w:val="32"/>
          <w:szCs w:val="32"/>
        </w:rPr>
        <w:t>万元，完成年初预算的</w:t>
      </w:r>
      <w:r>
        <w:rPr>
          <w:rFonts w:hint="eastAsia" w:ascii="宋体" w:hAnsi="宋体" w:eastAsia="宋体"/>
          <w:sz w:val="32"/>
          <w:szCs w:val="32"/>
          <w:lang w:val="en-US" w:eastAsia="zh-CN"/>
        </w:rPr>
        <w:t>144</w:t>
      </w:r>
      <w:r>
        <w:rPr>
          <w:rFonts w:ascii="宋体" w:hAnsi="宋体" w:eastAsia="宋体"/>
          <w:sz w:val="32"/>
          <w:szCs w:val="32"/>
        </w:rPr>
        <w:t>%</w:t>
      </w:r>
      <w:r>
        <w:rPr>
          <w:rFonts w:hint="eastAsia" w:ascii="宋体" w:hAnsi="宋体" w:eastAsia="宋体"/>
          <w:sz w:val="32"/>
          <w:szCs w:val="32"/>
        </w:rPr>
        <w:t>，决算数大于年初预算数的主要原因是年初预算未包含项目经费</w:t>
      </w:r>
      <w:r>
        <w:rPr>
          <w:rFonts w:hint="eastAsia" w:ascii="宋体" w:hAnsi="宋体" w:eastAsia="宋体"/>
          <w:sz w:val="32"/>
          <w:szCs w:val="32"/>
          <w:lang w:eastAsia="zh-CN"/>
        </w:rPr>
        <w:t>及新增工作经费</w:t>
      </w:r>
      <w:r>
        <w:rPr>
          <w:rFonts w:hint="eastAsia" w:ascii="宋体" w:hAnsi="宋体" w:eastAsia="宋体"/>
          <w:sz w:val="32"/>
          <w:szCs w:val="32"/>
        </w:rPr>
        <w:t>。</w:t>
      </w:r>
    </w:p>
    <w:p>
      <w:pPr>
        <w:pStyle w:val="11"/>
        <w:ind w:firstLine="800" w:firstLineChars="250"/>
        <w:rPr>
          <w:rFonts w:hint="eastAsia"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、农林水支出（类）</w:t>
      </w:r>
      <w:r>
        <w:rPr>
          <w:rFonts w:hint="eastAsia" w:ascii="宋体" w:hAnsi="宋体" w:eastAsia="宋体"/>
          <w:sz w:val="32"/>
          <w:szCs w:val="32"/>
          <w:lang w:eastAsia="zh-CN"/>
        </w:rPr>
        <w:t>农业</w:t>
      </w:r>
      <w:r>
        <w:rPr>
          <w:rFonts w:hint="eastAsia" w:ascii="宋体" w:hAnsi="宋体" w:eastAsia="宋体"/>
          <w:sz w:val="32"/>
          <w:szCs w:val="32"/>
        </w:rPr>
        <w:t>（款）病虫害控制（项）。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年初预算数为</w:t>
      </w:r>
      <w:r>
        <w:rPr>
          <w:rFonts w:hint="eastAsia" w:ascii="宋体" w:hAnsi="宋体" w:eastAsia="宋体"/>
          <w:sz w:val="32"/>
          <w:szCs w:val="32"/>
          <w:lang w:val="en-US" w:eastAsia="zh-CN"/>
        </w:rPr>
        <w:t>0</w:t>
      </w:r>
      <w:r>
        <w:rPr>
          <w:rFonts w:hint="eastAsia" w:ascii="宋体" w:hAnsi="宋体" w:eastAsia="宋体"/>
          <w:sz w:val="32"/>
          <w:szCs w:val="32"/>
        </w:rPr>
        <w:t>万元，支出决算数为</w:t>
      </w:r>
      <w:r>
        <w:rPr>
          <w:rFonts w:hint="eastAsia" w:ascii="宋体" w:hAnsi="宋体" w:eastAsia="宋体"/>
          <w:sz w:val="32"/>
          <w:szCs w:val="32"/>
          <w:lang w:val="en-US" w:eastAsia="zh-CN"/>
        </w:rPr>
        <w:t>7.7</w:t>
      </w:r>
      <w:r>
        <w:rPr>
          <w:rFonts w:hint="eastAsia" w:ascii="宋体" w:hAnsi="宋体" w:eastAsia="宋体"/>
          <w:sz w:val="32"/>
          <w:szCs w:val="32"/>
        </w:rPr>
        <w:t>万元，决算数大于年初预算数的主要原因是年初预算未包含</w:t>
      </w:r>
      <w:r>
        <w:rPr>
          <w:rFonts w:hint="eastAsia" w:ascii="宋体" w:hAnsi="宋体" w:eastAsia="宋体"/>
          <w:sz w:val="32"/>
          <w:szCs w:val="32"/>
          <w:lang w:eastAsia="zh-CN"/>
        </w:rPr>
        <w:t>新增工作经费</w:t>
      </w:r>
      <w:r>
        <w:rPr>
          <w:rFonts w:hint="eastAsia" w:ascii="宋体" w:hAnsi="宋体" w:eastAsia="宋体"/>
          <w:sz w:val="32"/>
          <w:szCs w:val="32"/>
        </w:rPr>
        <w:t>。</w:t>
      </w:r>
    </w:p>
    <w:p>
      <w:pPr>
        <w:pStyle w:val="11"/>
        <w:ind w:firstLine="800" w:firstLineChars="250"/>
        <w:rPr>
          <w:rFonts w:hint="eastAsia" w:ascii="宋体" w:hAnsi="宋体" w:eastAsia="宋体"/>
          <w:sz w:val="32"/>
          <w:szCs w:val="32"/>
        </w:rPr>
      </w:pPr>
      <w:r>
        <w:rPr>
          <w:rFonts w:hint="eastAsia" w:ascii="宋体" w:hAnsi="宋体" w:eastAsia="宋体"/>
          <w:sz w:val="32"/>
          <w:szCs w:val="32"/>
          <w:lang w:val="en-US" w:eastAsia="zh-CN"/>
        </w:rPr>
        <w:t>5</w:t>
      </w:r>
      <w:r>
        <w:rPr>
          <w:rFonts w:hint="eastAsia" w:ascii="宋体" w:hAnsi="宋体" w:eastAsia="宋体"/>
          <w:sz w:val="32"/>
          <w:szCs w:val="32"/>
        </w:rPr>
        <w:t>、住房保障支出（类）住房改革支出（款）住房公积金（项）。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年初预算数为</w:t>
      </w:r>
      <w:r>
        <w:rPr>
          <w:rFonts w:hint="eastAsia" w:ascii="宋体" w:hAnsi="宋体" w:eastAsia="宋体"/>
          <w:sz w:val="32"/>
          <w:szCs w:val="32"/>
          <w:lang w:val="en-US" w:eastAsia="zh-CN"/>
        </w:rPr>
        <w:t>6.2</w:t>
      </w:r>
      <w:r>
        <w:rPr>
          <w:rFonts w:hint="eastAsia" w:ascii="宋体" w:hAnsi="宋体" w:eastAsia="宋体"/>
          <w:sz w:val="32"/>
          <w:szCs w:val="32"/>
        </w:rPr>
        <w:t>万元，支出决算数为</w:t>
      </w:r>
      <w:r>
        <w:rPr>
          <w:rFonts w:hint="eastAsia" w:ascii="宋体" w:hAnsi="宋体" w:eastAsia="宋体"/>
          <w:sz w:val="32"/>
          <w:szCs w:val="32"/>
          <w:lang w:val="en-US" w:eastAsia="zh-CN"/>
        </w:rPr>
        <w:t>6.2</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ascii="宋体" w:hAnsi="宋体" w:eastAsia="宋体"/>
          <w:sz w:val="32"/>
          <w:szCs w:val="32"/>
        </w:rPr>
        <w:t>%</w:t>
      </w:r>
      <w:r>
        <w:rPr>
          <w:rFonts w:hint="eastAsia" w:ascii="宋体" w:hAnsi="宋体" w:eastAsia="宋体"/>
          <w:sz w:val="32"/>
          <w:szCs w:val="32"/>
        </w:rPr>
        <w:t>。</w:t>
      </w:r>
    </w:p>
    <w:p>
      <w:pPr>
        <w:autoSpaceDE w:val="0"/>
        <w:autoSpaceDN w:val="0"/>
        <w:adjustRightInd w:val="0"/>
        <w:spacing w:line="520" w:lineRule="exact"/>
        <w:ind w:firstLine="800" w:firstLineChars="25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六、一般公共预算财政拨款基本支出决算情况说明</w:t>
      </w:r>
    </w:p>
    <w:p>
      <w:pPr>
        <w:pStyle w:val="11"/>
        <w:ind w:firstLine="640" w:firstLineChars="200"/>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kern w:val="0"/>
          <w:sz w:val="32"/>
          <w:szCs w:val="32"/>
        </w:rPr>
        <w:t xml:space="preserve"> 基本支出</w:t>
      </w:r>
      <w:r>
        <w:rPr>
          <w:rFonts w:hint="eastAsia" w:asciiTheme="minorEastAsia" w:hAnsiTheme="minorEastAsia" w:eastAsiaTheme="minorEastAsia" w:cstheme="minorEastAsia"/>
          <w:kern w:val="0"/>
          <w:sz w:val="32"/>
          <w:szCs w:val="32"/>
          <w:lang w:val="en-US" w:eastAsia="zh-CN"/>
        </w:rPr>
        <w:t>279.79</w:t>
      </w:r>
      <w:r>
        <w:rPr>
          <w:rFonts w:hint="eastAsia" w:asciiTheme="minorEastAsia" w:hAnsiTheme="minorEastAsia" w:eastAsiaTheme="minorEastAsia" w:cstheme="minorEastAsia"/>
          <w:kern w:val="0"/>
          <w:sz w:val="32"/>
          <w:szCs w:val="32"/>
        </w:rPr>
        <w:t>万元，其中人员经费支出</w:t>
      </w:r>
      <w:r>
        <w:rPr>
          <w:rFonts w:hint="eastAsia" w:asciiTheme="minorEastAsia" w:hAnsiTheme="minorEastAsia" w:eastAsiaTheme="minorEastAsia" w:cstheme="minorEastAsia"/>
          <w:kern w:val="0"/>
          <w:sz w:val="32"/>
          <w:szCs w:val="32"/>
          <w:lang w:val="en-US" w:eastAsia="zh-CN"/>
        </w:rPr>
        <w:t>174.44</w:t>
      </w:r>
      <w:r>
        <w:rPr>
          <w:rFonts w:hint="eastAsia" w:asciiTheme="minorEastAsia" w:hAnsiTheme="minorEastAsia" w:eastAsiaTheme="minorEastAsia" w:cstheme="minorEastAsia"/>
          <w:kern w:val="0"/>
          <w:sz w:val="32"/>
          <w:szCs w:val="32"/>
        </w:rPr>
        <w:t>万元占</w:t>
      </w:r>
      <w:r>
        <w:rPr>
          <w:rFonts w:hint="eastAsia" w:asciiTheme="minorEastAsia" w:hAnsiTheme="minorEastAsia" w:eastAsiaTheme="minorEastAsia" w:cstheme="minorEastAsia"/>
          <w:kern w:val="0"/>
          <w:sz w:val="32"/>
          <w:szCs w:val="32"/>
          <w:lang w:val="en-US" w:eastAsia="zh-CN"/>
        </w:rPr>
        <w:t>62.3</w:t>
      </w:r>
      <w:r>
        <w:rPr>
          <w:rFonts w:hint="eastAsia" w:asciiTheme="minorEastAsia" w:hAnsiTheme="minorEastAsia" w:cstheme="minorEastAsia"/>
          <w:kern w:val="0"/>
          <w:sz w:val="32"/>
          <w:szCs w:val="32"/>
          <w:lang w:val="en-US" w:eastAsia="zh-CN"/>
        </w:rPr>
        <w:t>5</w:t>
      </w:r>
      <w:r>
        <w:rPr>
          <w:rFonts w:hint="eastAsia" w:asciiTheme="minorEastAsia" w:hAnsiTheme="minorEastAsia" w:eastAsiaTheme="minorEastAsia" w:cstheme="minorEastAsia"/>
          <w:kern w:val="0"/>
          <w:sz w:val="32"/>
          <w:szCs w:val="32"/>
        </w:rPr>
        <w:t>%，</w:t>
      </w:r>
      <w:r>
        <w:rPr>
          <w:rFonts w:hint="eastAsia" w:ascii="宋体" w:hAnsi="宋体" w:eastAsia="宋体"/>
          <w:sz w:val="32"/>
          <w:szCs w:val="32"/>
        </w:rPr>
        <w:t>主要包括基本工资、津贴补贴、奖金、伙食补助费……；</w:t>
      </w:r>
      <w:r>
        <w:rPr>
          <w:rFonts w:hint="eastAsia" w:asciiTheme="minorEastAsia" w:hAnsiTheme="minorEastAsia" w:eastAsiaTheme="minorEastAsia" w:cstheme="minorEastAsia"/>
          <w:kern w:val="0"/>
          <w:sz w:val="32"/>
          <w:szCs w:val="32"/>
        </w:rPr>
        <w:t>公用经费支出</w:t>
      </w:r>
      <w:r>
        <w:rPr>
          <w:rFonts w:hint="eastAsia" w:asciiTheme="minorEastAsia" w:hAnsiTheme="minorEastAsia" w:eastAsiaTheme="minorEastAsia" w:cstheme="minorEastAsia"/>
          <w:kern w:val="0"/>
          <w:sz w:val="32"/>
          <w:szCs w:val="32"/>
          <w:lang w:val="en-US" w:eastAsia="zh-CN"/>
        </w:rPr>
        <w:t>7.15</w:t>
      </w:r>
      <w:r>
        <w:rPr>
          <w:rFonts w:hint="eastAsia" w:asciiTheme="minorEastAsia" w:hAnsiTheme="minorEastAsia" w:eastAsiaTheme="minorEastAsia" w:cstheme="minorEastAsia"/>
          <w:kern w:val="0"/>
          <w:sz w:val="32"/>
          <w:szCs w:val="32"/>
        </w:rPr>
        <w:t>万元占</w:t>
      </w:r>
      <w:r>
        <w:rPr>
          <w:rFonts w:hint="eastAsia" w:asciiTheme="minorEastAsia" w:hAnsiTheme="minorEastAsia" w:eastAsiaTheme="minorEastAsia" w:cstheme="minorEastAsia"/>
          <w:kern w:val="0"/>
          <w:sz w:val="32"/>
          <w:szCs w:val="32"/>
          <w:lang w:val="en-US" w:eastAsia="zh-CN"/>
        </w:rPr>
        <w:t>2.55</w:t>
      </w:r>
      <w:r>
        <w:rPr>
          <w:rFonts w:hint="eastAsia" w:asciiTheme="minorEastAsia" w:hAnsiTheme="minorEastAsia" w:eastAsiaTheme="minorEastAsia" w:cstheme="minorEastAsia"/>
          <w:kern w:val="0"/>
          <w:sz w:val="32"/>
          <w:szCs w:val="32"/>
        </w:rPr>
        <w:t>%，</w:t>
      </w:r>
      <w:r>
        <w:rPr>
          <w:rFonts w:hint="eastAsia" w:ascii="宋体" w:hAnsi="宋体" w:eastAsia="宋体"/>
          <w:sz w:val="32"/>
          <w:szCs w:val="32"/>
        </w:rPr>
        <w:t>主要包括办公费、印刷费、咨询费、手续费……。</w:t>
      </w:r>
      <w:r>
        <w:rPr>
          <w:rFonts w:hint="eastAsia" w:asciiTheme="minorEastAsia" w:hAnsiTheme="minorEastAsia" w:eastAsiaTheme="minorEastAsia" w:cstheme="minorEastAsia"/>
          <w:kern w:val="0"/>
          <w:sz w:val="32"/>
          <w:szCs w:val="32"/>
        </w:rPr>
        <w:t>项目支出</w:t>
      </w:r>
      <w:r>
        <w:rPr>
          <w:rFonts w:hint="eastAsia" w:asciiTheme="minorEastAsia" w:hAnsiTheme="minorEastAsia" w:eastAsiaTheme="minorEastAsia" w:cstheme="minorEastAsia"/>
          <w:kern w:val="0"/>
          <w:sz w:val="32"/>
          <w:szCs w:val="32"/>
          <w:lang w:val="en-US" w:eastAsia="zh-CN"/>
        </w:rPr>
        <w:t>98.20</w:t>
      </w:r>
      <w:r>
        <w:rPr>
          <w:rFonts w:hint="eastAsia" w:asciiTheme="minorEastAsia" w:hAnsiTheme="minorEastAsia" w:eastAsiaTheme="minorEastAsia" w:cstheme="minorEastAsia"/>
          <w:kern w:val="0"/>
          <w:sz w:val="32"/>
          <w:szCs w:val="32"/>
        </w:rPr>
        <w:t>万元占</w:t>
      </w:r>
      <w:r>
        <w:rPr>
          <w:rFonts w:hint="eastAsia" w:asciiTheme="minorEastAsia" w:hAnsiTheme="minorEastAsia" w:eastAsiaTheme="minorEastAsia" w:cstheme="minorEastAsia"/>
          <w:kern w:val="0"/>
          <w:sz w:val="32"/>
          <w:szCs w:val="32"/>
          <w:lang w:val="en-US" w:eastAsia="zh-CN"/>
        </w:rPr>
        <w:t>35.</w:t>
      </w:r>
      <w:r>
        <w:rPr>
          <w:rFonts w:hint="eastAsia" w:asciiTheme="minorEastAsia" w:hAnsi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（基本支出构成及占比，具体分析人员经费及公用经费）</w:t>
      </w:r>
    </w:p>
    <w:p>
      <w:pPr>
        <w:autoSpaceDE w:val="0"/>
        <w:autoSpaceDN w:val="0"/>
        <w:adjustRightInd w:val="0"/>
        <w:spacing w:line="520" w:lineRule="exact"/>
        <w:ind w:firstLine="800" w:firstLineChars="25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七、一般公共预算财政拨款三公经费支出决算情况说明</w:t>
      </w:r>
    </w:p>
    <w:p>
      <w:pPr>
        <w:widowControl/>
        <w:spacing w:line="600" w:lineRule="exact"/>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（一）“三公”经费财政拨款支出决算总体情况说明。</w:t>
      </w:r>
    </w:p>
    <w:p>
      <w:pPr>
        <w:pStyle w:val="11"/>
        <w:ind w:firstLine="800" w:firstLineChars="250"/>
        <w:rPr>
          <w:rFonts w:ascii="宋体" w:hAnsi="宋体" w:eastAsia="宋体"/>
          <w:sz w:val="32"/>
          <w:szCs w:val="32"/>
        </w:rPr>
      </w:pPr>
      <w:r>
        <w:rPr>
          <w:rFonts w:hint="eastAsia" w:ascii="宋体" w:hAnsi="宋体" w:eastAsia="宋体"/>
          <w:sz w:val="32"/>
          <w:szCs w:val="32"/>
        </w:rPr>
        <w:t>“三公”经费财政拨款支出预算为</w:t>
      </w:r>
      <w:r>
        <w:rPr>
          <w:rFonts w:hint="eastAsia" w:ascii="宋体" w:hAnsi="宋体" w:eastAsia="宋体"/>
          <w:sz w:val="32"/>
          <w:szCs w:val="32"/>
          <w:lang w:val="en-US" w:eastAsia="zh-CN"/>
        </w:rPr>
        <w:t>1.2</w:t>
      </w:r>
      <w:r>
        <w:rPr>
          <w:rFonts w:hint="eastAsia" w:ascii="宋体" w:hAnsi="宋体" w:eastAsia="宋体"/>
          <w:sz w:val="32"/>
          <w:szCs w:val="32"/>
        </w:rPr>
        <w:t>万元，支出决算为</w:t>
      </w:r>
      <w:r>
        <w:rPr>
          <w:rFonts w:hint="eastAsia" w:ascii="宋体" w:hAnsi="宋体" w:eastAsia="宋体"/>
          <w:sz w:val="32"/>
          <w:szCs w:val="32"/>
          <w:lang w:val="en-US" w:eastAsia="zh-CN"/>
        </w:rPr>
        <w:t>0.12</w:t>
      </w:r>
      <w:r>
        <w:rPr>
          <w:rFonts w:hint="eastAsia" w:ascii="宋体" w:hAnsi="宋体" w:eastAsia="宋体"/>
          <w:sz w:val="32"/>
          <w:szCs w:val="32"/>
        </w:rPr>
        <w:t>万元，完成预算的</w:t>
      </w:r>
      <w:r>
        <w:rPr>
          <w:rFonts w:hint="eastAsia" w:ascii="宋体" w:hAnsi="宋体" w:eastAsia="宋体"/>
          <w:sz w:val="32"/>
          <w:szCs w:val="32"/>
          <w:lang w:val="en-US" w:eastAsia="zh-CN"/>
        </w:rPr>
        <w:t>1</w:t>
      </w:r>
      <w:r>
        <w:rPr>
          <w:rFonts w:ascii="宋体" w:hAnsi="宋体" w:eastAsia="宋体"/>
          <w:sz w:val="32"/>
          <w:szCs w:val="32"/>
        </w:rPr>
        <w:t>%</w:t>
      </w:r>
      <w:r>
        <w:rPr>
          <w:rFonts w:hint="eastAsia" w:ascii="宋体" w:hAnsi="宋体" w:eastAsia="宋体"/>
          <w:sz w:val="32"/>
          <w:szCs w:val="32"/>
        </w:rPr>
        <w:t>，其中：</w:t>
      </w:r>
    </w:p>
    <w:p>
      <w:pPr>
        <w:pStyle w:val="11"/>
        <w:ind w:firstLine="800" w:firstLineChars="250"/>
        <w:rPr>
          <w:rFonts w:ascii="宋体" w:hAnsi="宋体" w:eastAsia="宋体"/>
          <w:sz w:val="32"/>
          <w:szCs w:val="32"/>
        </w:rPr>
      </w:pPr>
      <w:r>
        <w:rPr>
          <w:rFonts w:hint="eastAsia" w:ascii="宋体" w:hAnsi="宋体" w:eastAsia="宋体"/>
          <w:sz w:val="32"/>
          <w:szCs w:val="32"/>
        </w:rPr>
        <w:t>因公出国（境）费支出预算为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万元，完成预算的</w:t>
      </w:r>
      <w:r>
        <w:rPr>
          <w:rFonts w:ascii="宋体" w:hAnsi="宋体" w:eastAsia="宋体"/>
          <w:sz w:val="32"/>
          <w:szCs w:val="32"/>
        </w:rPr>
        <w:t>0%</w:t>
      </w:r>
      <w:r>
        <w:rPr>
          <w:rFonts w:hint="eastAsia" w:ascii="宋体" w:hAnsi="宋体" w:eastAsia="宋体"/>
          <w:sz w:val="32"/>
          <w:szCs w:val="32"/>
        </w:rPr>
        <w:t>，与上年相比减少（增加）</w:t>
      </w:r>
      <w:r>
        <w:rPr>
          <w:rFonts w:ascii="宋体" w:hAnsi="宋体" w:eastAsia="宋体"/>
          <w:sz w:val="32"/>
          <w:szCs w:val="32"/>
        </w:rPr>
        <w:t>0</w:t>
      </w:r>
      <w:r>
        <w:rPr>
          <w:rFonts w:hint="eastAsia" w:ascii="宋体" w:hAnsi="宋体" w:eastAsia="宋体"/>
          <w:sz w:val="32"/>
          <w:szCs w:val="32"/>
        </w:rPr>
        <w:t>万元，减少（增长）</w:t>
      </w:r>
      <w:r>
        <w:rPr>
          <w:rFonts w:ascii="宋体" w:hAnsi="宋体" w:eastAsia="宋体"/>
          <w:sz w:val="32"/>
          <w:szCs w:val="32"/>
        </w:rPr>
        <w:t>0%</w:t>
      </w:r>
      <w:r>
        <w:rPr>
          <w:rFonts w:hint="eastAsia" w:ascii="宋体" w:hAnsi="宋体" w:eastAsia="宋体"/>
          <w:sz w:val="32"/>
          <w:szCs w:val="32"/>
        </w:rPr>
        <w:t>。</w:t>
      </w:r>
    </w:p>
    <w:p>
      <w:pPr>
        <w:pStyle w:val="11"/>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1.2</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lang w:val="en-US" w:eastAsia="zh-CN"/>
        </w:rPr>
        <w:t>.12</w:t>
      </w:r>
      <w:r>
        <w:rPr>
          <w:rFonts w:hint="eastAsia" w:ascii="宋体" w:hAnsi="宋体" w:eastAsia="宋体"/>
          <w:sz w:val="32"/>
          <w:szCs w:val="32"/>
        </w:rPr>
        <w:t>万元，完成预算的</w:t>
      </w:r>
      <w:r>
        <w:rPr>
          <w:rFonts w:hint="eastAsia" w:ascii="宋体" w:hAnsi="宋体" w:eastAsia="宋体"/>
          <w:sz w:val="32"/>
          <w:szCs w:val="32"/>
          <w:lang w:val="en-US" w:eastAsia="zh-CN"/>
        </w:rPr>
        <w:t>1</w:t>
      </w:r>
      <w:r>
        <w:rPr>
          <w:rFonts w:ascii="宋体" w:hAnsi="宋体" w:eastAsia="宋体"/>
          <w:sz w:val="32"/>
          <w:szCs w:val="32"/>
        </w:rPr>
        <w:t>%</w:t>
      </w:r>
      <w:r>
        <w:rPr>
          <w:rFonts w:hint="eastAsia" w:ascii="宋体" w:hAnsi="宋体" w:eastAsia="宋体"/>
          <w:sz w:val="32"/>
          <w:szCs w:val="32"/>
        </w:rPr>
        <w:t>，与上年相比减少（增加）</w:t>
      </w:r>
      <w:r>
        <w:rPr>
          <w:rFonts w:ascii="宋体" w:hAnsi="宋体" w:eastAsia="宋体"/>
          <w:sz w:val="32"/>
          <w:szCs w:val="32"/>
        </w:rPr>
        <w:t>0</w:t>
      </w:r>
      <w:r>
        <w:rPr>
          <w:rFonts w:hint="eastAsia" w:ascii="宋体" w:hAnsi="宋体" w:eastAsia="宋体"/>
          <w:sz w:val="32"/>
          <w:szCs w:val="32"/>
          <w:lang w:val="en-US" w:eastAsia="zh-CN"/>
        </w:rPr>
        <w:t>.47</w:t>
      </w:r>
      <w:r>
        <w:rPr>
          <w:rFonts w:hint="eastAsia" w:ascii="宋体" w:hAnsi="宋体" w:eastAsia="宋体"/>
          <w:sz w:val="32"/>
          <w:szCs w:val="32"/>
        </w:rPr>
        <w:t>万元，减少</w:t>
      </w:r>
      <w:r>
        <w:rPr>
          <w:rFonts w:hint="eastAsia" w:ascii="宋体" w:hAnsi="宋体" w:eastAsia="宋体"/>
          <w:sz w:val="32"/>
          <w:szCs w:val="32"/>
          <w:lang w:val="en-US" w:eastAsia="zh-CN"/>
        </w:rPr>
        <w:t>78</w:t>
      </w:r>
      <w:r>
        <w:rPr>
          <w:rFonts w:ascii="宋体" w:hAnsi="宋体" w:eastAsia="宋体"/>
          <w:sz w:val="32"/>
          <w:szCs w:val="32"/>
        </w:rPr>
        <w:t>%</w:t>
      </w:r>
      <w:r>
        <w:rPr>
          <w:rFonts w:hint="eastAsia" w:ascii="宋体" w:hAnsi="宋体" w:eastAsia="宋体"/>
          <w:sz w:val="32"/>
          <w:szCs w:val="32"/>
        </w:rPr>
        <w:t>。</w:t>
      </w:r>
    </w:p>
    <w:p>
      <w:pPr>
        <w:pStyle w:val="11"/>
        <w:ind w:firstLine="640" w:firstLineChars="200"/>
        <w:rPr>
          <w:rFonts w:hint="eastAsia" w:asciiTheme="minorEastAsia" w:hAnsiTheme="minorEastAsia" w:eastAsiaTheme="minorEastAsia" w:cstheme="minorEastAsia"/>
          <w:sz w:val="32"/>
          <w:szCs w:val="32"/>
          <w:lang w:val="en-US" w:eastAsia="zh-CN"/>
        </w:rPr>
      </w:pPr>
      <w:r>
        <w:rPr>
          <w:rFonts w:hint="eastAsia" w:ascii="宋体" w:hAnsi="宋体" w:eastAsia="宋体"/>
          <w:sz w:val="32"/>
          <w:szCs w:val="32"/>
        </w:rPr>
        <w:t>公务用车购置费及运行维护费支出预算为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万元，完成预算的</w:t>
      </w:r>
      <w:r>
        <w:rPr>
          <w:rFonts w:ascii="宋体" w:hAnsi="宋体" w:eastAsia="宋体"/>
          <w:sz w:val="32"/>
          <w:szCs w:val="32"/>
        </w:rPr>
        <w:t>0%</w:t>
      </w:r>
      <w:r>
        <w:rPr>
          <w:rFonts w:hint="eastAsia" w:ascii="宋体" w:hAnsi="宋体" w:eastAsia="宋体"/>
          <w:sz w:val="32"/>
          <w:szCs w:val="32"/>
        </w:rPr>
        <w:t>，与上年相比减少（增加）</w:t>
      </w:r>
      <w:r>
        <w:rPr>
          <w:rFonts w:ascii="宋体" w:hAnsi="宋体" w:eastAsia="宋体"/>
          <w:sz w:val="32"/>
          <w:szCs w:val="32"/>
        </w:rPr>
        <w:t>0</w:t>
      </w:r>
      <w:r>
        <w:rPr>
          <w:rFonts w:hint="eastAsia" w:ascii="宋体" w:hAnsi="宋体" w:eastAsia="宋体"/>
          <w:sz w:val="32"/>
          <w:szCs w:val="32"/>
        </w:rPr>
        <w:t>万元，减少（增长）</w:t>
      </w:r>
      <w:r>
        <w:rPr>
          <w:rFonts w:ascii="宋体" w:hAnsi="宋体" w:eastAsia="宋体"/>
          <w:sz w:val="32"/>
          <w:szCs w:val="32"/>
        </w:rPr>
        <w:t>0%</w:t>
      </w:r>
      <w:r>
        <w:rPr>
          <w:rFonts w:hint="eastAsia" w:ascii="宋体" w:hAnsi="宋体" w:eastAsia="宋体"/>
          <w:sz w:val="32"/>
          <w:szCs w:val="32"/>
        </w:rPr>
        <w:t>。</w:t>
      </w:r>
    </w:p>
    <w:p>
      <w:pPr>
        <w:widowControl/>
        <w:spacing w:line="600" w:lineRule="exact"/>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（二）“三公”经费财政拨款支出决算具体情况说明。</w:t>
      </w:r>
    </w:p>
    <w:p>
      <w:pPr>
        <w:pStyle w:val="11"/>
        <w:ind w:firstLine="640" w:firstLineChars="200"/>
        <w:rPr>
          <w:rFonts w:ascii="宋体" w:hAnsi="宋体" w:eastAsia="宋体"/>
          <w:sz w:val="32"/>
          <w:szCs w:val="32"/>
        </w:rPr>
      </w:pPr>
      <w:r>
        <w:rPr>
          <w:rFonts w:ascii="宋体" w:hAnsi="宋体" w:eastAsia="宋体"/>
          <w:sz w:val="32"/>
          <w:szCs w:val="32"/>
        </w:rPr>
        <w:t>2019</w:t>
      </w:r>
      <w:r>
        <w:rPr>
          <w:rFonts w:hint="eastAsia" w:ascii="宋体" w:hAnsi="宋体" w:eastAsia="宋体"/>
          <w:sz w:val="32"/>
          <w:szCs w:val="32"/>
        </w:rPr>
        <w:t>年度“三公”经费财政拨款支出决算中，公务接待费支出决算</w:t>
      </w:r>
      <w:r>
        <w:rPr>
          <w:rFonts w:ascii="宋体" w:hAnsi="宋体" w:eastAsia="宋体"/>
          <w:sz w:val="32"/>
          <w:szCs w:val="32"/>
        </w:rPr>
        <w:t>0</w:t>
      </w:r>
      <w:r>
        <w:rPr>
          <w:rFonts w:hint="eastAsia" w:ascii="宋体" w:hAnsi="宋体" w:eastAsia="宋体"/>
          <w:sz w:val="32"/>
          <w:szCs w:val="32"/>
          <w:lang w:val="en-US" w:eastAsia="zh-CN"/>
        </w:rPr>
        <w:t>.12</w:t>
      </w:r>
      <w:r>
        <w:rPr>
          <w:rFonts w:hint="eastAsia" w:ascii="宋体" w:hAnsi="宋体" w:eastAsia="宋体"/>
          <w:sz w:val="32"/>
          <w:szCs w:val="32"/>
        </w:rPr>
        <w:t>万元，占</w:t>
      </w:r>
      <w:r>
        <w:rPr>
          <w:rFonts w:hint="eastAsia" w:ascii="宋体" w:hAnsi="宋体" w:eastAsia="宋体"/>
          <w:sz w:val="32"/>
          <w:szCs w:val="32"/>
          <w:lang w:val="en-US" w:eastAsia="zh-CN"/>
        </w:rPr>
        <w:t>1</w:t>
      </w:r>
      <w:r>
        <w:rPr>
          <w:rFonts w:ascii="宋体" w:hAnsi="宋体" w:eastAsia="宋体"/>
          <w:sz w:val="32"/>
          <w:szCs w:val="32"/>
        </w:rPr>
        <w:t>%,</w:t>
      </w:r>
      <w:r>
        <w:rPr>
          <w:rFonts w:hint="eastAsia" w:ascii="宋体" w:hAnsi="宋体" w:eastAsia="宋体"/>
          <w:sz w:val="32"/>
          <w:szCs w:val="32"/>
        </w:rPr>
        <w:t>因公出国（境）费支出决算</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公务用车购置费及运行维护费支出决算</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。其中：</w:t>
      </w:r>
    </w:p>
    <w:p>
      <w:pPr>
        <w:pStyle w:val="11"/>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、因公出国（境）费支出决算为</w:t>
      </w:r>
      <w:r>
        <w:rPr>
          <w:rFonts w:ascii="宋体" w:hAnsi="宋体" w:eastAsia="宋体"/>
          <w:sz w:val="32"/>
          <w:szCs w:val="32"/>
        </w:rPr>
        <w:t>0</w:t>
      </w:r>
      <w:r>
        <w:rPr>
          <w:rFonts w:hint="eastAsia" w:ascii="宋体" w:hAnsi="宋体" w:eastAsia="宋体"/>
          <w:sz w:val="32"/>
          <w:szCs w:val="32"/>
        </w:rPr>
        <w:t>万元，全年安排因公出国（境）团组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w:t>
      </w:r>
      <w:r>
        <w:rPr>
          <w:rFonts w:ascii="宋体" w:hAnsi="宋体" w:eastAsia="宋体"/>
          <w:sz w:val="32"/>
          <w:szCs w:val="32"/>
        </w:rPr>
        <w:t>.</w:t>
      </w:r>
    </w:p>
    <w:p>
      <w:pPr>
        <w:pStyle w:val="11"/>
        <w:ind w:firstLine="800" w:firstLineChars="25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、公务接待费支出决算为</w:t>
      </w:r>
      <w:r>
        <w:rPr>
          <w:rFonts w:ascii="宋体" w:hAnsi="宋体" w:eastAsia="宋体"/>
          <w:sz w:val="32"/>
          <w:szCs w:val="32"/>
        </w:rPr>
        <w:t>0</w:t>
      </w:r>
      <w:r>
        <w:rPr>
          <w:rFonts w:hint="eastAsia" w:ascii="宋体" w:hAnsi="宋体" w:eastAsia="宋体"/>
          <w:sz w:val="32"/>
          <w:szCs w:val="32"/>
          <w:lang w:val="en-US" w:eastAsia="zh-CN"/>
        </w:rPr>
        <w:t>.12</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3</w:t>
      </w:r>
      <w:r>
        <w:rPr>
          <w:rFonts w:hint="eastAsia" w:ascii="宋体" w:hAnsi="宋体" w:eastAsia="宋体"/>
          <w:sz w:val="32"/>
          <w:szCs w:val="32"/>
        </w:rPr>
        <w:t>个、来宾</w:t>
      </w:r>
      <w:r>
        <w:rPr>
          <w:rFonts w:hint="eastAsia" w:ascii="宋体" w:hAnsi="宋体" w:eastAsia="宋体"/>
          <w:sz w:val="32"/>
          <w:szCs w:val="32"/>
          <w:lang w:val="en-US" w:eastAsia="zh-CN"/>
        </w:rPr>
        <w:t>24</w:t>
      </w:r>
      <w:r>
        <w:rPr>
          <w:rFonts w:hint="eastAsia" w:ascii="宋体" w:hAnsi="宋体" w:eastAsia="宋体"/>
          <w:sz w:val="32"/>
          <w:szCs w:val="32"/>
        </w:rPr>
        <w:t>人次。</w:t>
      </w:r>
    </w:p>
    <w:p>
      <w:pPr>
        <w:ind w:firstLine="800" w:firstLineChars="250"/>
        <w:rPr>
          <w:rFonts w:hint="eastAsia" w:asciiTheme="minorEastAsia" w:hAnsiTheme="minorEastAsia" w:eastAsiaTheme="minorEastAsia" w:cstheme="minorEastAsia"/>
          <w:sz w:val="32"/>
          <w:szCs w:val="32"/>
          <w:lang w:val="en-US" w:eastAsia="zh-CN"/>
        </w:rPr>
      </w:pPr>
      <w:r>
        <w:rPr>
          <w:rFonts w:ascii="宋体" w:hAnsi="宋体"/>
          <w:sz w:val="32"/>
          <w:szCs w:val="32"/>
        </w:rPr>
        <w:t>3</w:t>
      </w:r>
      <w:r>
        <w:rPr>
          <w:rFonts w:hint="eastAsia" w:ascii="宋体" w:hAnsi="宋体"/>
          <w:sz w:val="32"/>
          <w:szCs w:val="32"/>
        </w:rPr>
        <w:t>、公务用车购置费及运行维护费支出决算为</w:t>
      </w:r>
      <w:r>
        <w:rPr>
          <w:rFonts w:ascii="宋体" w:hAnsi="宋体"/>
          <w:sz w:val="32"/>
          <w:szCs w:val="32"/>
        </w:rPr>
        <w:t>0</w:t>
      </w:r>
      <w:r>
        <w:rPr>
          <w:rFonts w:hint="eastAsia" w:ascii="宋体" w:hAnsi="宋体"/>
          <w:sz w:val="32"/>
          <w:szCs w:val="32"/>
        </w:rPr>
        <w:t>万元，其中：公务用车购置费</w:t>
      </w:r>
      <w:r>
        <w:rPr>
          <w:rFonts w:ascii="宋体" w:hAnsi="宋体"/>
          <w:sz w:val="32"/>
          <w:szCs w:val="32"/>
        </w:rPr>
        <w:t>0</w:t>
      </w:r>
      <w:r>
        <w:rPr>
          <w:rFonts w:hint="eastAsia" w:ascii="宋体" w:hAnsi="宋体"/>
          <w:sz w:val="32"/>
          <w:szCs w:val="32"/>
        </w:rPr>
        <w:t>万元，（单位本级或某二级机构）更新公务用车</w:t>
      </w:r>
      <w:r>
        <w:rPr>
          <w:rFonts w:ascii="宋体" w:hAnsi="宋体"/>
          <w:sz w:val="32"/>
          <w:szCs w:val="32"/>
        </w:rPr>
        <w:t>0</w:t>
      </w:r>
      <w:r>
        <w:rPr>
          <w:rFonts w:hint="eastAsia" w:ascii="宋体" w:hAnsi="宋体"/>
          <w:sz w:val="32"/>
          <w:szCs w:val="32"/>
        </w:rPr>
        <w:t>辆</w:t>
      </w:r>
      <w:r>
        <w:rPr>
          <w:rFonts w:hint="eastAsia" w:ascii="宋体" w:hAnsi="宋体"/>
          <w:color w:val="000000"/>
          <w:sz w:val="32"/>
          <w:szCs w:val="32"/>
        </w:rPr>
        <w:t>。</w:t>
      </w:r>
      <w:r>
        <w:rPr>
          <w:rFonts w:hint="eastAsia" w:ascii="宋体" w:hAnsi="宋体"/>
          <w:sz w:val="32"/>
          <w:szCs w:val="32"/>
        </w:rPr>
        <w:t>公务用车运行维护费</w:t>
      </w:r>
      <w:r>
        <w:rPr>
          <w:rFonts w:ascii="宋体" w:hAnsi="宋体"/>
          <w:sz w:val="32"/>
          <w:szCs w:val="32"/>
        </w:rPr>
        <w:t>0</w:t>
      </w:r>
      <w:r>
        <w:rPr>
          <w:rFonts w:hint="eastAsia" w:ascii="宋体" w:hAnsi="宋体"/>
          <w:sz w:val="32"/>
          <w:szCs w:val="32"/>
        </w:rPr>
        <w:t>万元，</w:t>
      </w:r>
      <w:r>
        <w:rPr>
          <w:rFonts w:ascii="宋体" w:hAnsi="宋体"/>
          <w:sz w:val="32"/>
          <w:szCs w:val="32"/>
        </w:rPr>
        <w:t>0</w:t>
      </w:r>
      <w:r>
        <w:rPr>
          <w:rFonts w:hint="eastAsia" w:ascii="宋体" w:hAnsi="宋体"/>
          <w:sz w:val="32"/>
          <w:szCs w:val="32"/>
        </w:rPr>
        <w:t>，截止</w:t>
      </w:r>
      <w:r>
        <w:rPr>
          <w:rFonts w:ascii="宋体" w:hAnsi="宋体"/>
          <w:sz w:val="32"/>
          <w:szCs w:val="32"/>
        </w:rPr>
        <w:t>2019</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日，我单位开支财政拨款的公务用车保有量为</w:t>
      </w:r>
      <w:r>
        <w:rPr>
          <w:rFonts w:ascii="宋体" w:hAnsi="宋体"/>
          <w:sz w:val="32"/>
          <w:szCs w:val="32"/>
        </w:rPr>
        <w:t>0</w:t>
      </w:r>
      <w:r>
        <w:rPr>
          <w:rFonts w:hint="eastAsia" w:ascii="宋体" w:hAnsi="宋体"/>
          <w:sz w:val="32"/>
          <w:szCs w:val="32"/>
        </w:rPr>
        <w:t>辆。</w:t>
      </w:r>
    </w:p>
    <w:p>
      <w:pPr>
        <w:autoSpaceDE w:val="0"/>
        <w:autoSpaceDN w:val="0"/>
        <w:adjustRightInd w:val="0"/>
        <w:spacing w:line="520" w:lineRule="exact"/>
        <w:ind w:firstLine="960" w:firstLineChars="3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八、政府性基金预算收入支出决算情况</w:t>
      </w:r>
    </w:p>
    <w:p>
      <w:pPr>
        <w:widowControl/>
        <w:spacing w:line="600" w:lineRule="exact"/>
        <w:ind w:firstLine="960" w:firstLineChars="300"/>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kern w:val="0"/>
          <w:sz w:val="32"/>
          <w:szCs w:val="32"/>
        </w:rPr>
        <w:t>本单位无政府性基金收支</w:t>
      </w:r>
    </w:p>
    <w:p>
      <w:pPr>
        <w:autoSpaceDE w:val="0"/>
        <w:autoSpaceDN w:val="0"/>
        <w:adjustRightInd w:val="0"/>
        <w:spacing w:line="520" w:lineRule="exact"/>
        <w:ind w:firstLine="1120" w:firstLineChars="35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九、预算绩效情况说明</w:t>
      </w:r>
    </w:p>
    <w:p>
      <w:pPr>
        <w:widowControl/>
        <w:spacing w:line="500" w:lineRule="exact"/>
        <w:ind w:firstLine="1280" w:firstLineChars="4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kern w:val="0"/>
          <w:sz w:val="32"/>
          <w:szCs w:val="32"/>
        </w:rPr>
        <w:t>从整体情况来看，我所严格按照年初预算使用经费。在支出过程中，能严格遵守各项规章制度，严格落实《预算法》及省、市绩效管理工作的有关规定，进一步规范财政资金的管理，强化财政支出绩效理念，提升部门责任意识，提高资金使用效益，促进了城市环卫事业的发展。</w:t>
      </w:r>
    </w:p>
    <w:p>
      <w:pPr>
        <w:autoSpaceDE w:val="0"/>
        <w:autoSpaceDN w:val="0"/>
        <w:adjustRightInd w:val="0"/>
        <w:spacing w:line="520" w:lineRule="exact"/>
        <w:ind w:firstLine="1120" w:firstLineChars="35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十、其他重要事项情况说明</w:t>
      </w:r>
    </w:p>
    <w:p>
      <w:pPr>
        <w:autoSpaceDE w:val="0"/>
        <w:autoSpaceDN w:val="0"/>
        <w:adjustRightInd w:val="0"/>
        <w:spacing w:line="600" w:lineRule="exact"/>
        <w:ind w:firstLine="960" w:firstLineChars="300"/>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（一）机关运行经费支出情况。本部门201</w:t>
      </w:r>
      <w:r>
        <w:rPr>
          <w:rFonts w:hint="eastAsia" w:asciiTheme="minorEastAsia" w:hAnsiTheme="minorEastAsia" w:eastAsiaTheme="minorEastAsia" w:cstheme="minorEastAsia"/>
          <w:kern w:val="0"/>
          <w:sz w:val="32"/>
          <w:szCs w:val="32"/>
          <w:lang w:val="en-US" w:eastAsia="zh-CN"/>
        </w:rPr>
        <w:t>9</w:t>
      </w:r>
      <w:r>
        <w:rPr>
          <w:rFonts w:hint="eastAsia" w:asciiTheme="minorEastAsia" w:hAnsiTheme="minorEastAsia" w:eastAsiaTheme="minorEastAsia" w:cstheme="minorEastAsia"/>
          <w:kern w:val="0"/>
          <w:sz w:val="32"/>
          <w:szCs w:val="32"/>
        </w:rPr>
        <w:t>年度机关运行经费支出</w:t>
      </w:r>
      <w:r>
        <w:rPr>
          <w:rFonts w:hint="eastAsia" w:asciiTheme="minorEastAsia" w:hAnsiTheme="minorEastAsia" w:eastAsiaTheme="minorEastAsia" w:cstheme="minorEastAsia"/>
          <w:kern w:val="0"/>
          <w:sz w:val="32"/>
          <w:szCs w:val="32"/>
          <w:lang w:val="en-US" w:eastAsia="zh-CN"/>
        </w:rPr>
        <w:t>181.59</w:t>
      </w:r>
      <w:r>
        <w:rPr>
          <w:rFonts w:hint="eastAsia" w:asciiTheme="minorEastAsia" w:hAnsiTheme="minorEastAsia" w:eastAsiaTheme="minorEastAsia" w:cstheme="minorEastAsia"/>
          <w:kern w:val="0"/>
          <w:sz w:val="32"/>
          <w:szCs w:val="32"/>
        </w:rPr>
        <w:t>万元，比年初预算数</w:t>
      </w:r>
      <w:r>
        <w:rPr>
          <w:rFonts w:hint="eastAsia" w:asciiTheme="minorEastAsia" w:hAnsiTheme="minorEastAsia" w:eastAsiaTheme="minorEastAsia" w:cstheme="minorEastAsia"/>
          <w:kern w:val="0"/>
          <w:sz w:val="32"/>
          <w:szCs w:val="32"/>
          <w:lang w:eastAsia="zh-CN"/>
        </w:rPr>
        <w:t>减少</w:t>
      </w:r>
      <w:r>
        <w:rPr>
          <w:rFonts w:hint="eastAsia" w:asciiTheme="minorEastAsia" w:hAnsiTheme="minorEastAsia" w:eastAsiaTheme="minorEastAsia" w:cstheme="minorEastAsia"/>
          <w:kern w:val="0"/>
          <w:sz w:val="32"/>
          <w:szCs w:val="32"/>
          <w:lang w:val="en-US" w:eastAsia="zh-CN"/>
        </w:rPr>
        <w:t>41.16</w:t>
      </w:r>
      <w:r>
        <w:rPr>
          <w:rFonts w:hint="eastAsia" w:asciiTheme="minorEastAsia" w:hAnsiTheme="minorEastAsia" w:eastAsiaTheme="minorEastAsia" w:cstheme="minorEastAsia"/>
          <w:kern w:val="0"/>
          <w:sz w:val="32"/>
          <w:szCs w:val="32"/>
        </w:rPr>
        <w:t>万元，</w:t>
      </w:r>
      <w:r>
        <w:rPr>
          <w:rFonts w:hint="eastAsia" w:asciiTheme="minorEastAsia" w:hAnsiTheme="minorEastAsia" w:eastAsiaTheme="minorEastAsia" w:cstheme="minorEastAsia"/>
          <w:kern w:val="0"/>
          <w:sz w:val="32"/>
          <w:szCs w:val="32"/>
          <w:lang w:eastAsia="zh-CN"/>
        </w:rPr>
        <w:t>减少</w:t>
      </w:r>
      <w:r>
        <w:rPr>
          <w:rFonts w:hint="eastAsia" w:asciiTheme="minorEastAsia" w:hAnsiTheme="minorEastAsia" w:eastAsiaTheme="minorEastAsia" w:cstheme="minorEastAsia"/>
          <w:kern w:val="0"/>
          <w:sz w:val="32"/>
          <w:szCs w:val="32"/>
          <w:lang w:val="en-US" w:eastAsia="zh-CN"/>
        </w:rPr>
        <w:t>18.48</w:t>
      </w:r>
      <w:r>
        <w:rPr>
          <w:rFonts w:hint="eastAsia" w:asciiTheme="minorEastAsia" w:hAnsiTheme="minorEastAsia" w:eastAsiaTheme="minorEastAsia" w:cstheme="minorEastAsia"/>
          <w:kern w:val="0"/>
          <w:sz w:val="32"/>
          <w:szCs w:val="32"/>
        </w:rPr>
        <w:t>%。主要原因是：</w:t>
      </w:r>
      <w:r>
        <w:rPr>
          <w:rFonts w:hint="eastAsia" w:asciiTheme="minorEastAsia" w:hAnsiTheme="minorEastAsia" w:eastAsiaTheme="minorEastAsia" w:cstheme="minorEastAsia"/>
          <w:kern w:val="0"/>
          <w:sz w:val="32"/>
          <w:szCs w:val="32"/>
          <w:lang w:eastAsia="zh-CN"/>
        </w:rPr>
        <w:t>人员减少。</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b/>
          <w:color w:val="000000"/>
          <w:kern w:val="0"/>
          <w:sz w:val="32"/>
          <w:szCs w:val="32"/>
        </w:rPr>
        <w:t>（二）</w:t>
      </w:r>
      <w:r>
        <w:rPr>
          <w:rFonts w:hint="eastAsia" w:cs="黑体" w:asciiTheme="minorEastAsia" w:hAnsiTheme="minorEastAsia"/>
          <w:b w:val="0"/>
          <w:bCs/>
          <w:color w:val="000000"/>
          <w:kern w:val="0"/>
          <w:sz w:val="32"/>
          <w:szCs w:val="32"/>
        </w:rPr>
        <w:t>一般性支出情况</w:t>
      </w:r>
      <w:r>
        <w:rPr>
          <w:rFonts w:hint="eastAsia" w:cs="黑体" w:asciiTheme="minorEastAsia" w:hAnsiTheme="minorEastAsia"/>
          <w:b w:val="0"/>
          <w:bCs/>
          <w:color w:val="000000"/>
          <w:kern w:val="0"/>
          <w:sz w:val="32"/>
          <w:szCs w:val="32"/>
          <w:lang w:eastAsia="zh-CN"/>
        </w:rPr>
        <w:t>。</w:t>
      </w: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b/>
          <w:color w:val="000000"/>
          <w:kern w:val="0"/>
          <w:sz w:val="32"/>
          <w:szCs w:val="32"/>
        </w:rPr>
        <w:t>（三）</w:t>
      </w:r>
      <w:r>
        <w:rPr>
          <w:rFonts w:hint="eastAsia" w:cs="黑体" w:asciiTheme="minorEastAsia" w:hAnsiTheme="minorEastAsia"/>
          <w:b w:val="0"/>
          <w:bCs/>
          <w:color w:val="000000"/>
          <w:kern w:val="0"/>
          <w:sz w:val="32"/>
          <w:szCs w:val="32"/>
        </w:rPr>
        <w:t>政府采购支出情况</w:t>
      </w:r>
      <w:r>
        <w:rPr>
          <w:rFonts w:hint="eastAsia" w:cs="黑体" w:asciiTheme="minorEastAsia" w:hAnsiTheme="minorEastAsia"/>
          <w:b w:val="0"/>
          <w:bCs/>
          <w:color w:val="000000"/>
          <w:kern w:val="0"/>
          <w:sz w:val="32"/>
          <w:szCs w:val="32"/>
          <w:lang w:eastAsia="zh-CN"/>
        </w:rPr>
        <w:t>。</w:t>
      </w: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bookmarkStart w:id="0" w:name="_GoBack"/>
      <w:bookmarkEnd w:id="0"/>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autoSpaceDE w:val="0"/>
        <w:autoSpaceDN w:val="0"/>
        <w:adjustRightInd w:val="0"/>
        <w:spacing w:line="600" w:lineRule="exact"/>
        <w:ind w:firstLine="640" w:firstLineChars="200"/>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cstheme="minorEastAsia"/>
          <w:kern w:val="0"/>
          <w:sz w:val="32"/>
          <w:szCs w:val="32"/>
          <w:lang w:eastAsia="zh-CN"/>
        </w:rPr>
        <w:t>四</w:t>
      </w:r>
      <w:r>
        <w:rPr>
          <w:rFonts w:hint="eastAsia" w:asciiTheme="minorEastAsia" w:hAnsiTheme="minorEastAsia" w:eastAsiaTheme="minorEastAsia" w:cstheme="minorEastAsia"/>
          <w:kern w:val="0"/>
          <w:sz w:val="32"/>
          <w:szCs w:val="32"/>
        </w:rPr>
        <w:t>）国有资产占用情况。截至201</w:t>
      </w:r>
      <w:r>
        <w:rPr>
          <w:rFonts w:hint="eastAsia" w:asciiTheme="minorEastAsia" w:hAnsiTheme="minorEastAsia" w:eastAsiaTheme="minorEastAsia" w:cstheme="minorEastAsia"/>
          <w:kern w:val="0"/>
          <w:sz w:val="32"/>
          <w:szCs w:val="32"/>
          <w:lang w:val="en-US" w:eastAsia="zh-CN"/>
        </w:rPr>
        <w:t>9</w:t>
      </w:r>
      <w:r>
        <w:rPr>
          <w:rFonts w:hint="eastAsia" w:asciiTheme="minorEastAsia" w:hAnsiTheme="minorEastAsia" w:eastAsiaTheme="minorEastAsia" w:cstheme="minorEastAsia"/>
          <w:kern w:val="0"/>
          <w:sz w:val="32"/>
          <w:szCs w:val="32"/>
        </w:rPr>
        <w:t>年12 月31 日，本部门共有车辆</w:t>
      </w:r>
      <w:r>
        <w:rPr>
          <w:rFonts w:hint="eastAsia" w:asciiTheme="minorEastAsia" w:hAnsiTheme="minorEastAsia" w:eastAsiaTheme="minorEastAsia" w:cstheme="minorEastAsia"/>
          <w:kern w:val="0"/>
          <w:sz w:val="32"/>
          <w:szCs w:val="32"/>
          <w:lang w:val="en-US" w:eastAsia="zh-CN"/>
        </w:rPr>
        <w:t>9</w:t>
      </w:r>
      <w:r>
        <w:rPr>
          <w:rFonts w:hint="eastAsia" w:asciiTheme="minorEastAsia" w:hAnsiTheme="minorEastAsia" w:eastAsiaTheme="minorEastAsia" w:cstheme="minorEastAsia"/>
          <w:kern w:val="0"/>
          <w:sz w:val="32"/>
          <w:szCs w:val="32"/>
        </w:rPr>
        <w:t xml:space="preserve"> 辆，</w:t>
      </w:r>
      <w:r>
        <w:rPr>
          <w:rFonts w:hint="eastAsia" w:asciiTheme="minorEastAsia" w:hAnsiTheme="minorEastAsia" w:eastAsiaTheme="minorEastAsia" w:cstheme="minorEastAsia"/>
          <w:kern w:val="0"/>
          <w:sz w:val="32"/>
          <w:szCs w:val="32"/>
          <w:lang w:eastAsia="zh-CN"/>
        </w:rPr>
        <w:t>均为</w:t>
      </w:r>
      <w:r>
        <w:rPr>
          <w:rFonts w:hint="eastAsia" w:asciiTheme="minorEastAsia" w:hAnsiTheme="minorEastAsia" w:eastAsiaTheme="minorEastAsia" w:cstheme="minorEastAsia"/>
          <w:kern w:val="0"/>
          <w:sz w:val="32"/>
          <w:szCs w:val="32"/>
        </w:rPr>
        <w:t>特种专业技术用车辆；单位价值50 万元以上通用设备</w:t>
      </w:r>
      <w:r>
        <w:rPr>
          <w:rFonts w:hint="eastAsia" w:asciiTheme="minorEastAsia" w:hAnsiTheme="minorEastAsia" w:eastAsiaTheme="minorEastAsia" w:cstheme="minorEastAsia"/>
          <w:kern w:val="0"/>
          <w:sz w:val="32"/>
          <w:szCs w:val="32"/>
          <w:lang w:val="en-US" w:eastAsia="zh-CN"/>
        </w:rPr>
        <w:t>1台，为环卫清扫车。</w:t>
      </w:r>
    </w:p>
    <w:p>
      <w:pPr>
        <w:autoSpaceDE w:val="0"/>
        <w:autoSpaceDN w:val="0"/>
        <w:adjustRightInd w:val="0"/>
        <w:spacing w:line="520" w:lineRule="exact"/>
        <w:ind w:firstLine="960" w:firstLineChars="300"/>
        <w:jc w:val="left"/>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第四部分名词解释</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一、财政拨款收入：</w:t>
      </w:r>
      <w:r>
        <w:rPr>
          <w:rFonts w:hint="eastAsia" w:asciiTheme="minorEastAsia" w:hAnsiTheme="minorEastAsia" w:eastAsiaTheme="minorEastAsia" w:cstheme="minorEastAsia"/>
          <w:color w:val="000000"/>
          <w:sz w:val="32"/>
          <w:szCs w:val="32"/>
        </w:rPr>
        <w:t>指单位本年度从市级财政部门取得的财政拨款。</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二、上级补助收入：</w:t>
      </w:r>
      <w:r>
        <w:rPr>
          <w:rFonts w:hint="eastAsia" w:asciiTheme="minorEastAsia" w:hAnsiTheme="minorEastAsia" w:eastAsiaTheme="minorEastAsia" w:cstheme="minorEastAsia"/>
          <w:color w:val="000000"/>
          <w:sz w:val="32"/>
          <w:szCs w:val="32"/>
        </w:rPr>
        <w:t>指事业单位从主管部门和上级单位取得的非财政补助收入。</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三、事业收入：</w:t>
      </w:r>
      <w:r>
        <w:rPr>
          <w:rFonts w:hint="eastAsia" w:asciiTheme="minorEastAsia" w:hAnsiTheme="minorEastAsia" w:eastAsiaTheme="minorEastAsia" w:cstheme="minorEastAsia"/>
          <w:color w:val="000000"/>
          <w:sz w:val="32"/>
          <w:szCs w:val="32"/>
        </w:rPr>
        <w:t>指事业单位开展专业业务活动及其辅助活动取得的收入，事业单位收到的财政专户实际核拨的教育收费等资金在此反映。</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四、经营收入：</w:t>
      </w:r>
      <w:r>
        <w:rPr>
          <w:rFonts w:hint="eastAsia" w:asciiTheme="minorEastAsia" w:hAnsiTheme="minorEastAsia" w:eastAsiaTheme="minorEastAsia" w:cstheme="minorEastAsia"/>
          <w:color w:val="000000"/>
          <w:sz w:val="32"/>
          <w:szCs w:val="32"/>
        </w:rPr>
        <w:t>指事业单位在专业业务活动及其辅助活动之外开展非独立核算经营活动取得的收入。</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五、附属单位缴款：</w:t>
      </w:r>
      <w:r>
        <w:rPr>
          <w:rFonts w:hint="eastAsia" w:asciiTheme="minorEastAsia" w:hAnsiTheme="minorEastAsia" w:eastAsiaTheme="minorEastAsia" w:cstheme="minorEastAsia"/>
          <w:color w:val="000000"/>
          <w:sz w:val="32"/>
          <w:szCs w:val="32"/>
        </w:rPr>
        <w:t>指事业单位附属独立核算单位按照有关规定上缴的收入。</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六、其他收入：</w:t>
      </w:r>
      <w:r>
        <w:rPr>
          <w:rFonts w:hint="eastAsia" w:asciiTheme="minorEastAsia" w:hAnsiTheme="minorEastAsia" w:eastAsiaTheme="minorEastAsia" w:cstheme="minorEastAsia"/>
          <w:color w:val="000000"/>
          <w:sz w:val="32"/>
          <w:szCs w:val="32"/>
        </w:rPr>
        <w:t>指单位取得的除上述“财政拨款收入”、“事业收入”、“经营收入”等以外的各项收入。</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七、用事业基金弥补收支差额：</w:t>
      </w:r>
      <w:r>
        <w:rPr>
          <w:rFonts w:hint="eastAsia" w:asciiTheme="minorEastAsia" w:hAnsiTheme="minorEastAsia" w:eastAsiaTheme="minorEastAsia" w:cstheme="minorEastAsia"/>
          <w:color w:val="000000"/>
          <w:sz w:val="32"/>
          <w:szCs w:val="32"/>
        </w:rPr>
        <w:t>指事业单位用事业基金弥补当年收支差额的数额。</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八、年初结转和结余：</w:t>
      </w:r>
      <w:r>
        <w:rPr>
          <w:rFonts w:hint="eastAsia" w:asciiTheme="minorEastAsia" w:hAnsiTheme="minorEastAsia" w:eastAsiaTheme="minorEastAsia" w:cstheme="minorEastAsia"/>
          <w:color w:val="000000"/>
          <w:sz w:val="32"/>
          <w:szCs w:val="32"/>
        </w:rPr>
        <w:t>指单位上年结转本年使用的基本支出结转、项目支出结转和结余和经营结余。</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九、一般公共服务（类）人大事务（款）行政运行（项）</w:t>
      </w:r>
      <w:r>
        <w:rPr>
          <w:rFonts w:hint="eastAsia" w:asciiTheme="minorEastAsia" w:hAnsiTheme="minorEastAsia" w:eastAsiaTheme="minorEastAsia" w:cstheme="minorEastAsia"/>
          <w:b/>
          <w:color w:val="000000"/>
          <w:sz w:val="32"/>
          <w:szCs w:val="32"/>
        </w:rPr>
        <w:t>：</w:t>
      </w:r>
      <w:r>
        <w:rPr>
          <w:rFonts w:hint="eastAsia" w:asciiTheme="minorEastAsia" w:hAnsiTheme="minorEastAsia" w:eastAsiaTheme="minorEastAsia" w:cstheme="minorEastAsia"/>
          <w:color w:val="000000"/>
          <w:sz w:val="32"/>
          <w:szCs w:val="32"/>
        </w:rPr>
        <w:t>指人大常委会办公厅用于保障机构正常运行、开展日常工作的基本支出。</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十、结余分配：</w:t>
      </w:r>
      <w:r>
        <w:rPr>
          <w:rFonts w:hint="eastAsia" w:asciiTheme="minorEastAsia" w:hAnsiTheme="minorEastAsia" w:eastAsiaTheme="minorEastAsia" w:cstheme="minorEastAsia"/>
          <w:color w:val="000000"/>
          <w:sz w:val="32"/>
          <w:szCs w:val="32"/>
        </w:rPr>
        <w:t>指事业单位按规定对非财政补助结余资金提取的职工福利基金、事业基金和缴纳的所得税，以及减少单位按规定应缴回的基本建设竣工项目结余资金。</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十一、年末结转和结余资金：</w:t>
      </w:r>
      <w:r>
        <w:rPr>
          <w:rFonts w:hint="eastAsia" w:asciiTheme="minorEastAsia" w:hAnsiTheme="minorEastAsia" w:eastAsiaTheme="minorEastAsia" w:cstheme="minorEastAsia"/>
          <w:color w:val="000000"/>
          <w:sz w:val="32"/>
          <w:szCs w:val="32"/>
        </w:rPr>
        <w:t>指本年度或以前年度预算安排、因客观条件发生变化无法按原计划实施，需要延迟到以后年度按有关规定继续使用的资金。</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十二、基本支出：</w:t>
      </w:r>
      <w:r>
        <w:rPr>
          <w:rFonts w:hint="eastAsia" w:asciiTheme="minorEastAsia" w:hAnsiTheme="minorEastAsia" w:eastAsiaTheme="minorEastAsia" w:cstheme="minorEastAsia"/>
          <w:color w:val="000000"/>
          <w:sz w:val="32"/>
          <w:szCs w:val="32"/>
        </w:rPr>
        <w:t>指为保障机构正常运转、完成日常工作任务而发生的人员支出和公用支出。</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十三、项目支出：</w:t>
      </w:r>
      <w:r>
        <w:rPr>
          <w:rFonts w:hint="eastAsia" w:asciiTheme="minorEastAsia" w:hAnsiTheme="minorEastAsia" w:eastAsiaTheme="minorEastAsia" w:cstheme="minorEastAsia"/>
          <w:color w:val="000000"/>
          <w:sz w:val="32"/>
          <w:szCs w:val="32"/>
        </w:rPr>
        <w:t>指在基本支出之外为完成特定的行政任务或事业发展目标所发生的支出。</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十四、上缴上级支出：</w:t>
      </w:r>
      <w:r>
        <w:rPr>
          <w:rFonts w:hint="eastAsia" w:asciiTheme="minorEastAsia" w:hAnsiTheme="minorEastAsia" w:eastAsiaTheme="minorEastAsia" w:cstheme="minorEastAsia"/>
          <w:color w:val="000000"/>
          <w:sz w:val="32"/>
          <w:szCs w:val="32"/>
        </w:rPr>
        <w:t>指事业单位按照财政部门和主管部门的规定上缴上级单位的支出。</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十五、经营支出：</w:t>
      </w:r>
      <w:r>
        <w:rPr>
          <w:rFonts w:hint="eastAsia" w:asciiTheme="minorEastAsia" w:hAnsiTheme="minorEastAsia" w:eastAsiaTheme="minorEastAsia" w:cstheme="minorEastAsia"/>
          <w:color w:val="000000"/>
          <w:sz w:val="32"/>
          <w:szCs w:val="32"/>
        </w:rPr>
        <w:t>指事业单位在专业业务活动及其辅助活动之外开展非独立核算经营活动发生的支出。</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十六、对附属单位补助支出：</w:t>
      </w:r>
      <w:r>
        <w:rPr>
          <w:rFonts w:hint="eastAsia" w:asciiTheme="minorEastAsia" w:hAnsiTheme="minorEastAsia" w:eastAsiaTheme="minorEastAsia" w:cstheme="minorEastAsia"/>
          <w:color w:val="000000"/>
          <w:sz w:val="32"/>
          <w:szCs w:val="32"/>
        </w:rPr>
        <w:t>指事业单位用财政补助收入之外的收入对附属单位补助发生的支出。</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val="0"/>
          <w:bCs/>
          <w:color w:val="000000"/>
          <w:sz w:val="32"/>
          <w:szCs w:val="32"/>
        </w:rPr>
        <w:t>十七、“三公”经费：</w:t>
      </w:r>
      <w:r>
        <w:rPr>
          <w:rFonts w:hint="eastAsia" w:asciiTheme="minorEastAsia" w:hAnsiTheme="minorEastAsia" w:eastAsiaTheme="minorEastAsia" w:cstheme="minorEastAsia"/>
          <w:color w:val="000000"/>
          <w:sz w:val="32"/>
          <w:szCs w:val="32"/>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5"/>
        <w:spacing w:before="105" w:beforeAutospacing="0" w:after="105" w:afterAutospacing="0" w:line="30" w:lineRule="atLeast"/>
        <w:ind w:firstLine="960" w:firstLineChars="300"/>
        <w:textAlignment w:val="baseline"/>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val="0"/>
          <w:bCs/>
          <w:color w:val="000000"/>
          <w:sz w:val="32"/>
          <w:szCs w:val="32"/>
        </w:rPr>
        <w:t>十八、机关运行经费：</w:t>
      </w:r>
      <w:r>
        <w:rPr>
          <w:rFonts w:hint="eastAsia" w:asciiTheme="minorEastAsia" w:hAnsiTheme="minorEastAsia" w:eastAsiaTheme="minorEastAsia" w:cstheme="minorEastAsia"/>
          <w:color w:val="000000"/>
          <w:sz w:val="32"/>
          <w:szCs w:val="32"/>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spacing w:line="520" w:lineRule="exact"/>
        <w:ind w:firstLine="960" w:firstLineChars="300"/>
        <w:jc w:val="left"/>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第五部分附件</w:t>
      </w: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2019年洪江市</w:t>
      </w:r>
      <w:r>
        <w:rPr>
          <w:rFonts w:hint="eastAsia" w:asciiTheme="minorEastAsia" w:hAnsiTheme="minorEastAsia" w:eastAsiaTheme="minorEastAsia" w:cstheme="minorEastAsia"/>
          <w:sz w:val="32"/>
          <w:szCs w:val="32"/>
          <w:lang w:eastAsia="zh-CN"/>
        </w:rPr>
        <w:t>环境卫生管理所</w:t>
      </w:r>
      <w:r>
        <w:rPr>
          <w:rFonts w:hint="eastAsia" w:asciiTheme="minorEastAsia" w:hAnsiTheme="minorEastAsia" w:eastAsiaTheme="minorEastAsia" w:cstheme="minorEastAsia"/>
          <w:sz w:val="32"/>
          <w:szCs w:val="32"/>
        </w:rPr>
        <w:t>整体支出绩效评价报告</w:t>
      </w:r>
    </w:p>
    <w:p>
      <w:pPr>
        <w:pStyle w:val="12"/>
        <w:widowControl/>
        <w:numPr>
          <w:ilvl w:val="0"/>
          <w:numId w:val="2"/>
        </w:numPr>
        <w:adjustRightInd w:val="0"/>
        <w:snapToGrid w:val="0"/>
        <w:spacing w:after="200"/>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职能</w:t>
      </w:r>
      <w:r>
        <w:rPr>
          <w:rFonts w:hint="eastAsia" w:asciiTheme="minorEastAsia" w:hAnsiTheme="minorEastAsia" w:eastAsiaTheme="minorEastAsia" w:cstheme="minorEastAsia"/>
          <w:sz w:val="32"/>
          <w:szCs w:val="32"/>
        </w:rPr>
        <w:t>简介</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贯彻落实有关城市市容和环境卫生管理的法律、法规、规章。对城市市容和环境卫生状况进行监督、检查。编制长远工作规划和年度计划，确定年度工作重点，根据上级要求，研究制订与环境卫生管理相关的业务规定及规章制度。掌握环境卫生情况，为市领导决策提供各种信息。承办上级部门交办的其他工作任务。</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2.项目年度目标情况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目标1：生活垃圾清运与转运管理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目标2：道路清洒及降尘冲洗管理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目标3：公厕及垃圾中转站管理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3.资金安排情况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全年预算经费安排为</w:t>
      </w:r>
      <w:r>
        <w:rPr>
          <w:rFonts w:hint="eastAsia" w:asciiTheme="minorEastAsia" w:hAnsiTheme="minorEastAsia" w:eastAsiaTheme="minorEastAsia" w:cstheme="minorEastAsia"/>
          <w:sz w:val="32"/>
          <w:szCs w:val="32"/>
          <w:lang w:val="en-US" w:eastAsia="zh-CN"/>
        </w:rPr>
        <w:t>194.79</w:t>
      </w:r>
      <w:r>
        <w:rPr>
          <w:rFonts w:hint="eastAsia" w:asciiTheme="minorEastAsia" w:hAnsiTheme="minorEastAsia" w:eastAsiaTheme="minorEastAsia" w:cstheme="minorEastAsia"/>
          <w:sz w:val="32"/>
          <w:szCs w:val="32"/>
        </w:rPr>
        <w:t>万元，至2019年12月31日止，已拨付</w:t>
      </w:r>
      <w:r>
        <w:rPr>
          <w:rFonts w:hint="eastAsia" w:asciiTheme="minorEastAsia" w:hAnsiTheme="minorEastAsia" w:eastAsiaTheme="minorEastAsia" w:cstheme="minorEastAsia"/>
          <w:sz w:val="32"/>
          <w:szCs w:val="32"/>
          <w:lang w:val="en-US" w:eastAsia="zh-CN"/>
        </w:rPr>
        <w:t>194.79</w:t>
      </w:r>
      <w:r>
        <w:rPr>
          <w:rFonts w:hint="eastAsia" w:asciiTheme="minorEastAsia" w:hAnsiTheme="minorEastAsia" w:eastAsiaTheme="minorEastAsia" w:cstheme="minorEastAsia"/>
          <w:sz w:val="32"/>
          <w:szCs w:val="32"/>
        </w:rPr>
        <w:t>万。</w:t>
      </w:r>
    </w:p>
    <w:p>
      <w:pPr>
        <w:pStyle w:val="12"/>
        <w:widowControl/>
        <w:numPr>
          <w:ilvl w:val="0"/>
          <w:numId w:val="2"/>
        </w:numPr>
        <w:adjustRightInd w:val="0"/>
        <w:snapToGrid w:val="0"/>
        <w:spacing w:after="200"/>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工作开展情况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1.工作保</w:t>
      </w:r>
      <w:r>
        <w:rPr>
          <w:rFonts w:hint="eastAsia" w:asciiTheme="minorEastAsia" w:hAnsiTheme="minorEastAsia" w:eastAsiaTheme="minorEastAsia" w:cstheme="minorEastAsia"/>
          <w:sz w:val="32"/>
          <w:szCs w:val="32"/>
          <w:lang w:eastAsia="zh-CN"/>
        </w:rPr>
        <w:t>障</w:t>
      </w:r>
      <w:r>
        <w:rPr>
          <w:rFonts w:hint="eastAsia" w:asciiTheme="minorEastAsia" w:hAnsiTheme="minorEastAsia" w:eastAsiaTheme="minorEastAsia" w:cstheme="minorEastAsia"/>
          <w:sz w:val="32"/>
          <w:szCs w:val="32"/>
        </w:rPr>
        <w:t>措施情况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完成较好，按计划完成了了全年保障工作量的100%。</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2.项目实施进度情况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完成较好，按计划完成了了全年工作进度的100%。</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3.资金执行进度情况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完成较好，按计划完成了了全年资金支付工作量的100%。</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4.绩效目标实现情况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完成较好，达到了预期的绩效工作目标。</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5.绩效目标全年预期完成情况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完成较好，按计划完成了了全年工作量的100%。</w:t>
      </w:r>
    </w:p>
    <w:p>
      <w:pPr>
        <w:pStyle w:val="12"/>
        <w:widowControl/>
        <w:numPr>
          <w:ilvl w:val="0"/>
          <w:numId w:val="2"/>
        </w:numPr>
        <w:adjustRightInd w:val="0"/>
        <w:snapToGrid w:val="0"/>
        <w:spacing w:after="200"/>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绩效目标偏差情况</w:t>
      </w:r>
    </w:p>
    <w:p>
      <w:pPr>
        <w:pStyle w:val="12"/>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预算经费申报金额严重不足，</w:t>
      </w:r>
      <w:r>
        <w:rPr>
          <w:rFonts w:hint="eastAsia" w:asciiTheme="minorEastAsia" w:hAnsiTheme="minorEastAsia" w:eastAsiaTheme="minorEastAsia" w:cstheme="minorEastAsia"/>
          <w:sz w:val="32"/>
          <w:szCs w:val="32"/>
          <w:lang w:eastAsia="zh-CN"/>
        </w:rPr>
        <w:t>新增路段清扫保洁费用与餐厨垃圾处理费用</w:t>
      </w:r>
      <w:r>
        <w:rPr>
          <w:rFonts w:hint="eastAsia" w:asciiTheme="minorEastAsia" w:hAnsiTheme="minorEastAsia" w:eastAsiaTheme="minorEastAsia" w:cstheme="minorEastAsia"/>
          <w:sz w:val="32"/>
          <w:szCs w:val="32"/>
        </w:rPr>
        <w:t>实际产生费用超出了预算申报金额。</w:t>
      </w:r>
    </w:p>
    <w:p>
      <w:pPr>
        <w:pStyle w:val="12"/>
        <w:widowControl/>
        <w:numPr>
          <w:ilvl w:val="0"/>
          <w:numId w:val="2"/>
        </w:numPr>
        <w:adjustRightInd w:val="0"/>
        <w:snapToGrid w:val="0"/>
        <w:spacing w:after="200"/>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绩效目标纠偏措施</w:t>
      </w:r>
    </w:p>
    <w:p>
      <w:pPr>
        <w:pStyle w:val="12"/>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本年度应增加预算经费，但因为今年财政经费困难的实际情况，暂缓存申报，等财政收支情况好转后再进行申报修改预算金额。</w:t>
      </w:r>
    </w:p>
    <w:p>
      <w:pPr>
        <w:pStyle w:val="12"/>
        <w:ind w:firstLine="0" w:firstLineChars="0"/>
        <w:rPr>
          <w:rFonts w:hint="eastAsia" w:asciiTheme="minorEastAsia" w:hAnsiTheme="minorEastAsia" w:eastAsiaTheme="minorEastAsia" w:cstheme="minorEastAsia"/>
          <w:sz w:val="32"/>
          <w:szCs w:val="32"/>
        </w:rPr>
      </w:pPr>
    </w:p>
    <w:p>
      <w:pPr>
        <w:ind w:firstLine="640" w:firstLineChars="200"/>
        <w:jc w:val="left"/>
        <w:rPr>
          <w:rFonts w:hint="eastAsia" w:asciiTheme="minorEastAsia" w:hAnsiTheme="minorEastAsia" w:eastAsiaTheme="minorEastAsia" w:cstheme="minorEastAsia"/>
          <w:color w:val="000000"/>
          <w:kern w:val="0"/>
          <w:sz w:val="32"/>
          <w:szCs w:val="32"/>
        </w:rPr>
      </w:pPr>
    </w:p>
    <w:p>
      <w:pPr>
        <w:rPr>
          <w:rFonts w:hint="eastAsia" w:asciiTheme="minorEastAsia" w:hAnsiTheme="minorEastAsia" w:eastAsiaTheme="minorEastAsia" w:cstheme="minorEastAsia"/>
          <w:sz w:val="32"/>
          <w:szCs w:val="32"/>
        </w:rPr>
      </w:pPr>
    </w:p>
    <w:p>
      <w:pPr>
        <w:spacing w:line="520" w:lineRule="exact"/>
        <w:jc w:val="left"/>
        <w:rPr>
          <w:rFonts w:hint="eastAsia" w:asciiTheme="minorEastAsia" w:hAnsiTheme="minorEastAsia" w:eastAsiaTheme="minorEastAsia" w:cstheme="minorEastAsia"/>
          <w:b/>
          <w:color w:val="000000"/>
          <w:kern w:val="0"/>
          <w:sz w:val="32"/>
          <w:szCs w:val="32"/>
        </w:rPr>
      </w:pPr>
    </w:p>
    <w:p>
      <w:pPr>
        <w:ind w:firstLine="640" w:firstLineChars="200"/>
        <w:jc w:val="left"/>
        <w:rPr>
          <w:rFonts w:hint="eastAsia" w:asciiTheme="minorEastAsia" w:hAnsiTheme="minorEastAsia" w:eastAsiaTheme="minorEastAsia" w:cs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0D8E3"/>
    <w:multiLevelType w:val="singleLevel"/>
    <w:tmpl w:val="EB20D8E3"/>
    <w:lvl w:ilvl="0" w:tentative="0">
      <w:start w:val="1"/>
      <w:numFmt w:val="chineseCounting"/>
      <w:suff w:val="nothing"/>
      <w:lvlText w:val="%1、"/>
      <w:lvlJc w:val="left"/>
      <w:rPr>
        <w:rFonts w:hint="eastAsia"/>
      </w:rPr>
    </w:lvl>
  </w:abstractNum>
  <w:abstractNum w:abstractNumId="1">
    <w:nsid w:val="0581469A"/>
    <w:multiLevelType w:val="multilevel"/>
    <w:tmpl w:val="0581469A"/>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78B76E6"/>
    <w:rsid w:val="0B6B1E69"/>
    <w:rsid w:val="2EC644AC"/>
    <w:rsid w:val="303B0C90"/>
    <w:rsid w:val="57BA7351"/>
    <w:rsid w:val="6E04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1</TotalTime>
  <ScaleCrop>false</ScaleCrop>
  <LinksUpToDate>false</LinksUpToDate>
  <CharactersWithSpaces>8418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月下无心柳</cp:lastModifiedBy>
  <cp:lastPrinted>2020-07-15T07:25:00Z</cp:lastPrinted>
  <dcterms:modified xsi:type="dcterms:W3CDTF">2020-08-19T03:37:49Z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