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cs="宋体"/>
          <w:kern w:val="0"/>
          <w:sz w:val="28"/>
          <w:szCs w:val="28"/>
        </w:rPr>
      </w:pPr>
      <w:r>
        <w:rPr>
          <w:rFonts w:hint="eastAsia" w:ascii="黑体" w:eastAsia="黑体" w:cs="宋体"/>
          <w:kern w:val="0"/>
          <w:sz w:val="32"/>
          <w:szCs w:val="32"/>
        </w:rPr>
        <w:t>洪江市部门（单位）</w:t>
      </w:r>
      <w:bookmarkStart w:id="4" w:name="_GoBack"/>
      <w:r>
        <w:rPr>
          <w:rFonts w:hint="eastAsia" w:ascii="黑体" w:eastAsia="黑体" w:cs="宋体"/>
          <w:kern w:val="0"/>
          <w:sz w:val="32"/>
          <w:szCs w:val="32"/>
        </w:rPr>
        <w:t>整体支出绩效自评报告</w:t>
      </w:r>
      <w:bookmarkEnd w:id="4"/>
    </w:p>
    <w:p>
      <w:pPr>
        <w:widowControl/>
        <w:spacing w:line="480" w:lineRule="auto"/>
        <w:ind w:firstLine="480"/>
        <w:jc w:val="left"/>
        <w:rPr>
          <w:rFonts w:hint="eastAsia" w:ascii="宋体" w:cs="宋体"/>
          <w:kern w:val="0"/>
          <w:sz w:val="28"/>
          <w:szCs w:val="28"/>
        </w:rPr>
      </w:pPr>
    </w:p>
    <w:p>
      <w:pPr>
        <w:widowControl/>
        <w:spacing w:line="480" w:lineRule="auto"/>
        <w:ind w:firstLine="480"/>
        <w:jc w:val="left"/>
        <w:rPr>
          <w:rFonts w:hint="eastAsia" w:ascii="宋体" w:cs="宋体"/>
          <w:kern w:val="0"/>
          <w:sz w:val="28"/>
          <w:szCs w:val="28"/>
        </w:rPr>
      </w:pPr>
    </w:p>
    <w:p>
      <w:pPr>
        <w:widowControl/>
        <w:spacing w:line="480" w:lineRule="auto"/>
        <w:ind w:firstLine="480"/>
        <w:jc w:val="left"/>
        <w:rPr>
          <w:rFonts w:hint="eastAsia" w:ascii="宋体" w:cs="宋体"/>
          <w:kern w:val="0"/>
          <w:sz w:val="28"/>
          <w:szCs w:val="28"/>
        </w:rPr>
      </w:pP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部门(单位)名称</w:t>
      </w:r>
      <w:r>
        <w:rPr>
          <w:rFonts w:hint="eastAsia" w:ascii="宋体" w:cs="宋体"/>
          <w:kern w:val="0"/>
          <w:sz w:val="28"/>
          <w:szCs w:val="28"/>
          <w:u w:val="single"/>
        </w:rPr>
        <w:t>：洪江市文化旅游广电体育局</w:t>
      </w:r>
      <w:r>
        <w:rPr>
          <w:rFonts w:hint="eastAsia" w:ascii="宋体" w:cs="宋体"/>
          <w:kern w:val="0"/>
          <w:sz w:val="28"/>
          <w:szCs w:val="28"/>
        </w:rPr>
        <w:t xml:space="preserve"> </w:t>
      </w: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预  算  编  码</w:t>
      </w:r>
      <w:r>
        <w:rPr>
          <w:rFonts w:hint="eastAsia" w:ascii="宋体" w:cs="宋体"/>
          <w:kern w:val="0"/>
          <w:sz w:val="28"/>
          <w:szCs w:val="28"/>
          <w:u w:val="single"/>
        </w:rPr>
        <w:t xml:space="preserve">：         212             </w:t>
      </w: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评  价  方  式：部门（单位）绩效自评</w:t>
      </w: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 xml:space="preserve">评  价  机  构：部门（单位）评价组 </w:t>
      </w: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报  告  日  期：2022年7 月14 日</w:t>
      </w:r>
    </w:p>
    <w:p>
      <w:pPr>
        <w:widowControl/>
        <w:spacing w:line="480" w:lineRule="auto"/>
        <w:ind w:firstLine="5516" w:firstLineChars="1970"/>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tbl>
      <w:tblPr>
        <w:tblStyle w:val="5"/>
        <w:tblW w:w="93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24" w:type="dxa"/>
          <w:left w:w="24" w:type="dxa"/>
          <w:bottom w:w="24" w:type="dxa"/>
          <w:right w:w="24" w:type="dxa"/>
        </w:tblCellMar>
      </w:tblPr>
      <w:tblGrid>
        <w:gridCol w:w="1123"/>
        <w:gridCol w:w="151"/>
        <w:gridCol w:w="387"/>
        <w:gridCol w:w="566"/>
        <w:gridCol w:w="263"/>
        <w:gridCol w:w="757"/>
        <w:gridCol w:w="515"/>
        <w:gridCol w:w="613"/>
        <w:gridCol w:w="200"/>
        <w:gridCol w:w="148"/>
        <w:gridCol w:w="924"/>
        <w:gridCol w:w="469"/>
        <w:gridCol w:w="778"/>
        <w:gridCol w:w="410"/>
        <w:gridCol w:w="31"/>
        <w:gridCol w:w="198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32" w:hRule="atLeast"/>
        </w:trPr>
        <w:tc>
          <w:tcPr>
            <w:tcW w:w="9318" w:type="dxa"/>
            <w:gridSpan w:val="1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b/>
                <w:bCs/>
                <w:kern w:val="0"/>
                <w:szCs w:val="21"/>
              </w:rPr>
              <w:t>一、部门（单位）基本概况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03"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联系人</w:t>
            </w:r>
          </w:p>
        </w:tc>
        <w:tc>
          <w:tcPr>
            <w:tcW w:w="2914"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徐玲俐</w:t>
            </w:r>
          </w:p>
        </w:tc>
        <w:tc>
          <w:tcPr>
            <w:tcW w:w="2319"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联络电话</w:t>
            </w:r>
          </w:p>
        </w:tc>
        <w:tc>
          <w:tcPr>
            <w:tcW w:w="242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13787402228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621"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人员编制</w:t>
            </w:r>
          </w:p>
        </w:tc>
        <w:tc>
          <w:tcPr>
            <w:tcW w:w="2914"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ascii="宋体" w:cs="宋体"/>
                <w:kern w:val="0"/>
                <w:sz w:val="18"/>
                <w:szCs w:val="18"/>
              </w:rPr>
              <w:t>107</w:t>
            </w:r>
            <w:r>
              <w:rPr>
                <w:rFonts w:hint="eastAsia" w:ascii="宋体" w:cs="宋体"/>
                <w:kern w:val="0"/>
                <w:sz w:val="18"/>
                <w:szCs w:val="18"/>
              </w:rPr>
              <w:t>（含市文化执法局、体校）</w:t>
            </w:r>
          </w:p>
        </w:tc>
        <w:tc>
          <w:tcPr>
            <w:tcW w:w="2319"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实有人数</w:t>
            </w:r>
          </w:p>
        </w:tc>
        <w:tc>
          <w:tcPr>
            <w:tcW w:w="242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ascii="宋体" w:cs="宋体"/>
                <w:kern w:val="0"/>
                <w:sz w:val="18"/>
                <w:szCs w:val="18"/>
              </w:rPr>
              <w:t>88</w:t>
            </w:r>
            <w:r>
              <w:rPr>
                <w:rFonts w:hint="eastAsia" w:ascii="宋体" w:cs="宋体"/>
                <w:kern w:val="0"/>
                <w:sz w:val="18"/>
                <w:szCs w:val="18"/>
              </w:rPr>
              <w:t>（含市文化执法局、体校）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3084"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职能职责概述</w:t>
            </w:r>
          </w:p>
        </w:tc>
        <w:tc>
          <w:tcPr>
            <w:tcW w:w="7657" w:type="dxa"/>
            <w:gridSpan w:val="13"/>
            <w:tcBorders>
              <w:top w:val="outset" w:color="000000" w:sz="6" w:space="0"/>
              <w:left w:val="outset" w:color="000000" w:sz="6" w:space="0"/>
              <w:bottom w:val="outset" w:color="000000" w:sz="6" w:space="0"/>
              <w:right w:val="outset" w:color="000000" w:sz="6" w:space="0"/>
            </w:tcBorders>
            <w:noWrap w:val="0"/>
            <w:vAlign w:val="center"/>
          </w:tcPr>
          <w:p>
            <w:pPr>
              <w:snapToGrid w:val="0"/>
              <w:spacing w:line="520" w:lineRule="exact"/>
              <w:ind w:firstLine="420" w:firstLineChars="200"/>
              <w:rPr>
                <w:rFonts w:hint="eastAsia" w:ascii="宋体" w:hAnsi="宋体" w:cs="仿宋"/>
                <w:szCs w:val="21"/>
              </w:rPr>
            </w:pPr>
            <w:r>
              <w:rPr>
                <w:rFonts w:hint="eastAsia" w:ascii="宋体" w:hAnsi="宋体" w:cs="仿宋"/>
                <w:szCs w:val="21"/>
              </w:rPr>
              <w:t>1．主要职能。</w:t>
            </w:r>
          </w:p>
          <w:p>
            <w:pPr>
              <w:widowControl/>
              <w:ind w:firstLine="411" w:firstLineChars="196"/>
              <w:jc w:val="left"/>
              <w:rPr>
                <w:rFonts w:hint="eastAsia" w:ascii="宋体" w:cs="宋体"/>
                <w:kern w:val="0"/>
                <w:szCs w:val="21"/>
              </w:rPr>
            </w:pPr>
            <w:r>
              <w:rPr>
                <w:rFonts w:hint="eastAsia" w:ascii="宋体" w:hAnsi="宋体" w:cs="仿宋"/>
                <w:szCs w:val="21"/>
              </w:rPr>
              <w:t>洪江市文化旅游广电体育局主要承担全市文化、旅游、广播电视、体育、文物等工作职能（其中原新闻出版及扫黄打非、电影监管等职能划转给宣传部），对外使用洪江市文物局名称，加挂洪江市文化市场综合行政执法局牌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2661"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年度主要</w:t>
            </w:r>
          </w:p>
          <w:p>
            <w:pPr>
              <w:widowControl/>
              <w:spacing w:line="300" w:lineRule="exact"/>
              <w:jc w:val="center"/>
              <w:rPr>
                <w:rFonts w:hint="eastAsia" w:ascii="宋体" w:cs="宋体"/>
                <w:kern w:val="0"/>
                <w:szCs w:val="21"/>
              </w:rPr>
            </w:pPr>
            <w:r>
              <w:rPr>
                <w:rFonts w:hint="eastAsia" w:ascii="宋体" w:cs="宋体"/>
                <w:kern w:val="0"/>
                <w:szCs w:val="21"/>
              </w:rPr>
              <w:t>工作内容</w:t>
            </w:r>
          </w:p>
        </w:tc>
        <w:tc>
          <w:tcPr>
            <w:tcW w:w="7657" w:type="dxa"/>
            <w:gridSpan w:val="1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rPr>
                <w:rFonts w:hint="eastAsia" w:ascii="宋体" w:cs="宋体"/>
                <w:kern w:val="0"/>
                <w:sz w:val="18"/>
                <w:szCs w:val="18"/>
              </w:rPr>
            </w:pPr>
            <w:r>
              <w:rPr>
                <w:rFonts w:hint="eastAsia" w:ascii="宋体" w:cs="宋体"/>
                <w:b/>
                <w:bCs/>
                <w:kern w:val="0"/>
                <w:sz w:val="18"/>
                <w:szCs w:val="18"/>
              </w:rPr>
              <w:t>文化艺术工作多姿多彩。</w:t>
            </w:r>
            <w:r>
              <w:rPr>
                <w:rFonts w:hint="eastAsia" w:ascii="宋体" w:cs="宋体"/>
                <w:kern w:val="0"/>
                <w:sz w:val="18"/>
                <w:szCs w:val="18"/>
              </w:rPr>
              <w:t>一是开展小舞剧《高庙•凤鸟追日》舞蹈《苗乡花开》曲艺渔鼓《新村新寨新唱》等节目创作，组织渔鼓表演《新农家电商》参加怀化市“欢乐潇湘”精准扶贫优秀文艺作品巡（展）演，全年完成“送戏曲进万村、送书画进万家”演出场次达31场。二是制作了黔阳山歌《我唱山歌抗疫情》以及黔阳渔鼓黔阳快板《众志成城抗疫情》、《生命重于泰山》绘画作品，并被“学习强国、人民网、新湖南”等网站采发转用。三是开展了“三下乡”集中服务活动暨“家书暖人心”活动，“我们的中国梦”文化进万家之洪江市书法展及文艺演出活动，2020易地扶贫搬迁安置点文化惠民下乡活动等。</w:t>
            </w:r>
          </w:p>
          <w:p>
            <w:pPr>
              <w:widowControl/>
              <w:spacing w:line="300" w:lineRule="exact"/>
              <w:jc w:val="left"/>
              <w:rPr>
                <w:rFonts w:hint="eastAsia" w:ascii="宋体" w:cs="宋体"/>
                <w:kern w:val="0"/>
                <w:sz w:val="18"/>
                <w:szCs w:val="18"/>
              </w:rPr>
            </w:pPr>
            <w:r>
              <w:rPr>
                <w:rFonts w:hint="eastAsia" w:ascii="宋体" w:cs="宋体"/>
                <w:b/>
                <w:bCs/>
                <w:kern w:val="0"/>
                <w:sz w:val="18"/>
                <w:szCs w:val="18"/>
              </w:rPr>
              <w:t>任务2：文化遗产保护推进有力。</w:t>
            </w:r>
            <w:r>
              <w:rPr>
                <w:rFonts w:hint="eastAsia" w:ascii="宋体" w:cs="宋体"/>
                <w:kern w:val="0"/>
                <w:sz w:val="18"/>
                <w:szCs w:val="18"/>
              </w:rPr>
              <w:t>一是积极推荐申报黔阳竹艺、黔阳剪纸、雪峰山锅粉、辰河棕编技艺”等为第六批怀化市级非遗代表性项目代表性传承人，开展。先后在洪江市实验中学、黔阳古城万寿宫进行文化自然遗产日宣传活动，对7名怀化市传承人和省级传承人进行非遗项目传承人评估。二是黔城古建筑群第二期修缮工作已在招投标，争取上级专项资金844万元已到位，现准备施工。芙蓉楼防雷项目已完成政府采购，准备组织施工。关西世第修缮工程“一期二进”项目已完工，准备正式验收。</w:t>
            </w:r>
          </w:p>
          <w:p>
            <w:pPr>
              <w:widowControl/>
              <w:spacing w:line="300" w:lineRule="exact"/>
              <w:jc w:val="left"/>
              <w:rPr>
                <w:rFonts w:hint="eastAsia" w:ascii="宋体" w:cs="宋体"/>
                <w:kern w:val="0"/>
                <w:sz w:val="18"/>
                <w:szCs w:val="18"/>
              </w:rPr>
            </w:pPr>
            <w:r>
              <w:rPr>
                <w:rFonts w:hint="eastAsia" w:ascii="宋体" w:cs="宋体"/>
                <w:b/>
                <w:bCs/>
                <w:kern w:val="0"/>
                <w:sz w:val="18"/>
                <w:szCs w:val="18"/>
              </w:rPr>
              <w:t>任务3：文化市场监管井然有序。</w:t>
            </w:r>
            <w:r>
              <w:rPr>
                <w:rFonts w:hint="eastAsia" w:ascii="宋体" w:cs="宋体"/>
                <w:kern w:val="0"/>
                <w:sz w:val="18"/>
                <w:szCs w:val="18"/>
              </w:rPr>
              <w:t>一是抓好文化旅游市场疫情防控及复工复产。二是加强了文化市场的日常监管。重点抓好网吧接纳未成年人、KTV等娱乐场所扰民现象，重点监管黔城、安江3家电影院是否符合规范，对全市印刷出版物市场进行不定期全覆盖巡查，着重监管和整治黔城、安江城区卫星广播电视地面接收设施的销售、安装市场，开展校园及周边治安环境集中整治行动等。</w:t>
            </w:r>
          </w:p>
          <w:p>
            <w:pPr>
              <w:widowControl/>
              <w:spacing w:line="300" w:lineRule="exact"/>
              <w:jc w:val="left"/>
              <w:rPr>
                <w:rFonts w:hint="eastAsia" w:ascii="宋体" w:cs="宋体"/>
                <w:kern w:val="0"/>
                <w:sz w:val="18"/>
                <w:szCs w:val="18"/>
              </w:rPr>
            </w:pPr>
            <w:r>
              <w:rPr>
                <w:rFonts w:hint="eastAsia" w:ascii="宋体" w:cs="宋体"/>
                <w:b/>
                <w:bCs/>
                <w:kern w:val="0"/>
                <w:sz w:val="18"/>
                <w:szCs w:val="18"/>
              </w:rPr>
              <w:t>任务4：旅游发展基础不断夯实。</w:t>
            </w:r>
            <w:r>
              <w:rPr>
                <w:rFonts w:hint="eastAsia" w:ascii="宋体" w:cs="宋体"/>
                <w:kern w:val="0"/>
                <w:sz w:val="18"/>
                <w:szCs w:val="18"/>
              </w:rPr>
              <w:t>一是扎实推进旅游项目建设，推出了红色记忆--芷江抗战胜利受降地--黔阳古城精品红色旅游线路，完成当年等级景区及星级乡村旅游区（点）复核工作，安江农校纪念园景区昇斗钱币展馆、杂交水稻馆及农耕文化馆建成并对外开放，湘黔古道犁头嘴景区初步开发建成，雪峰山国家森林公园景区森林康养一期项目已在开发建设中，对黔阳古城景区宝山书院、文庙、王有为故居等景点进行布展开放，完成年度5座旅游厕所建设任务等。二是举办2020“四季洪江二日游”地接旅游推介大会，举办2020年洪江市夏季旅游营销活动之黔阳古城广场舞邀请赛，开展黔阳古城中秋国庆假期文化旅游活动，1-12月全市接待市内外游客304.18万人次，实现旅游收入25.95亿元。</w:t>
            </w:r>
          </w:p>
          <w:p>
            <w:pPr>
              <w:widowControl/>
              <w:spacing w:line="300" w:lineRule="exact"/>
              <w:ind w:firstLine="480"/>
              <w:rPr>
                <w:rFonts w:hint="eastAsia" w:ascii="宋体" w:cs="宋体"/>
                <w:kern w:val="0"/>
                <w:szCs w:val="21"/>
              </w:rPr>
            </w:pPr>
            <w:r>
              <w:rPr>
                <w:rFonts w:hint="eastAsia" w:ascii="宋体" w:cs="宋体"/>
                <w:b/>
                <w:bCs/>
                <w:kern w:val="0"/>
                <w:sz w:val="18"/>
                <w:szCs w:val="18"/>
              </w:rPr>
              <w:t>任务5：体育事业发展蒸蒸日上。</w:t>
            </w:r>
            <w:r>
              <w:rPr>
                <w:rFonts w:hint="eastAsia" w:ascii="宋体" w:cs="宋体"/>
                <w:kern w:val="0"/>
                <w:sz w:val="18"/>
                <w:szCs w:val="18"/>
              </w:rPr>
              <w:t>一是2020全民健身系列赛事从9月份至12月份每周末至少开展一至两次体育活动，5月还举办了全省性徒步雪峰山－怀化“森”呼吸系列活动之洪江市老山草场“云端花海”徒步活动等。2019“洪马”获得中国田径协会颁发的“金牌赛事”并成功入围人民网主办的“2019年最具影响力马拉松赛事排行榜”TOP100赛事，排名第94位。二是全市16家体育销售网点今年实现体育彩票销售达1677.44万元，较去年增长了近600万元，为我市争取体彩公益金近100万元，三是编制出台了我市2020—2030的体育强市工作规划。四是在2020年青少年锦标赛、怀化市第五届跆拳道大赛、怀化市青少年田径运动会中，我市运动员均竞技体育水平稳步提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2248"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年度部门（单位）总体运行情况及取得的成绩</w:t>
            </w:r>
          </w:p>
        </w:tc>
        <w:tc>
          <w:tcPr>
            <w:tcW w:w="7657" w:type="dxa"/>
            <w:gridSpan w:val="1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 w:val="18"/>
                <w:szCs w:val="18"/>
              </w:rPr>
              <w:t>2020年，在市委市政府的正确领导和市人大、市政协的监督支持下，在上级业务主管部门的正确领导下，市文旅广体局不忘初心，牢记使命，紧紧围绕全市大局和中心工作，在改革中抢抓机遇，在困难中拼博奋进，全市文旅广体事业得到了融合发展、有序推进。组织创作了极具“乡土气”的黔阳山歌《我唱山歌抗疫情》以及黔阳渔鼓、黔阳快板《众志成城抗疫情》、《生命重于泰山》绘画作品等助力疫情防控，积极开展2020易地扶贫搬迁安置点文化惠民下乡活动，成功举办2020“四季洪江二日游”地接旅游推介大会，组织举办2020年洪江市全民健身系列活动20多场，2019洪江黔阳古城国际半程马拉松还获得中国田径协会颁发的2019中国田径协会“金牌赛事”，成功入围人民网主办的“2019年最具影响力马拉松赛事排行榜”TOP100赛事并排名第94位。</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1" w:hRule="atLeast"/>
        </w:trPr>
        <w:tc>
          <w:tcPr>
            <w:tcW w:w="9318" w:type="dxa"/>
            <w:gridSpan w:val="1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b/>
                <w:bCs/>
                <w:kern w:val="0"/>
                <w:szCs w:val="21"/>
              </w:rPr>
              <w:t>二、部门（单位）收支情况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1" w:hRule="atLeast"/>
        </w:trPr>
        <w:tc>
          <w:tcPr>
            <w:tcW w:w="9318" w:type="dxa"/>
            <w:gridSpan w:val="1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b/>
                <w:bCs/>
                <w:kern w:val="0"/>
                <w:szCs w:val="21"/>
              </w:rPr>
              <w:t>年度收入情况（万元）:</w:t>
            </w:r>
            <w:r>
              <w:rPr>
                <w:rFonts w:hint="eastAsia" w:ascii="宋体" w:cs="宋体"/>
                <w:kern w:val="0"/>
                <w:szCs w:val="21"/>
              </w:rPr>
              <w:t xml:space="preserve"> 2072.3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717" w:hRule="atLeast"/>
        </w:trPr>
        <w:tc>
          <w:tcPr>
            <w:tcW w:w="1123" w:type="dxa"/>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机构名称</w:t>
            </w:r>
          </w:p>
        </w:tc>
        <w:tc>
          <w:tcPr>
            <w:tcW w:w="1104" w:type="dxa"/>
            <w:gridSpan w:val="3"/>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收入合计</w:t>
            </w:r>
          </w:p>
        </w:tc>
        <w:tc>
          <w:tcPr>
            <w:tcW w:w="7091" w:type="dxa"/>
            <w:gridSpan w:val="1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其中：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873" w:hRule="atLeast"/>
        </w:trPr>
        <w:tc>
          <w:tcPr>
            <w:tcW w:w="1123" w:type="dxa"/>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pPr>
          </w:p>
        </w:tc>
        <w:tc>
          <w:tcPr>
            <w:tcW w:w="1104" w:type="dxa"/>
            <w:gridSpan w:val="3"/>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pPr>
          </w:p>
        </w:tc>
        <w:tc>
          <w:tcPr>
            <w:tcW w:w="102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上年结转</w:t>
            </w:r>
          </w:p>
        </w:tc>
        <w:tc>
          <w:tcPr>
            <w:tcW w:w="1128"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公共财政</w:t>
            </w:r>
          </w:p>
          <w:p>
            <w:pPr>
              <w:widowControl/>
              <w:spacing w:line="300" w:lineRule="exact"/>
              <w:jc w:val="center"/>
              <w:rPr>
                <w:rFonts w:hint="eastAsia" w:ascii="宋体" w:cs="宋体"/>
                <w:kern w:val="0"/>
                <w:szCs w:val="21"/>
              </w:rPr>
            </w:pPr>
            <w:r>
              <w:rPr>
                <w:rFonts w:hint="eastAsia" w:ascii="宋体" w:cs="宋体"/>
                <w:kern w:val="0"/>
                <w:szCs w:val="21"/>
              </w:rPr>
              <w:t>拨款</w:t>
            </w:r>
          </w:p>
        </w:tc>
        <w:tc>
          <w:tcPr>
            <w:tcW w:w="127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政府基金</w:t>
            </w:r>
          </w:p>
          <w:p>
            <w:pPr>
              <w:widowControl/>
              <w:spacing w:line="300" w:lineRule="exact"/>
              <w:jc w:val="center"/>
              <w:rPr>
                <w:rFonts w:hint="eastAsia" w:ascii="宋体" w:cs="宋体"/>
                <w:kern w:val="0"/>
                <w:szCs w:val="21"/>
              </w:rPr>
            </w:pPr>
            <w:r>
              <w:rPr>
                <w:rFonts w:hint="eastAsia" w:ascii="宋体" w:cs="宋体"/>
                <w:kern w:val="0"/>
                <w:szCs w:val="21"/>
              </w:rPr>
              <w:t>拨款</w:t>
            </w:r>
          </w:p>
        </w:tc>
        <w:tc>
          <w:tcPr>
            <w:tcW w:w="1688"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纳入专户管理的非税收入拨款</w:t>
            </w:r>
          </w:p>
        </w:tc>
        <w:tc>
          <w:tcPr>
            <w:tcW w:w="198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其他收入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1314"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局机关及二级机构汇总</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default" w:ascii="宋体" w:cs="宋体"/>
                <w:kern w:val="0"/>
                <w:szCs w:val="21"/>
                <w:lang w:val="en-US"/>
              </w:rPr>
            </w:pPr>
            <w:r>
              <w:rPr>
                <w:rFonts w:hint="eastAsia" w:ascii="宋体" w:cs="宋体"/>
                <w:kern w:val="0"/>
                <w:szCs w:val="21"/>
                <w:lang w:val="en-US" w:eastAsia="zh-CN"/>
              </w:rPr>
              <w:t>2149.34</w:t>
            </w:r>
          </w:p>
        </w:tc>
        <w:tc>
          <w:tcPr>
            <w:tcW w:w="102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128"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default" w:ascii="宋体" w:eastAsia="宋体" w:cs="宋体"/>
                <w:kern w:val="0"/>
                <w:szCs w:val="21"/>
                <w:lang w:val="en-US" w:eastAsia="zh-CN"/>
              </w:rPr>
            </w:pPr>
            <w:r>
              <w:rPr>
                <w:rFonts w:hint="eastAsia" w:ascii="宋体" w:cs="宋体"/>
                <w:kern w:val="0"/>
                <w:szCs w:val="21"/>
                <w:lang w:val="en-US" w:eastAsia="zh-CN"/>
              </w:rPr>
              <w:t>2149.34</w:t>
            </w:r>
          </w:p>
        </w:tc>
        <w:tc>
          <w:tcPr>
            <w:tcW w:w="127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688"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98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46"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1、局机关</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default" w:ascii="宋体" w:cs="宋体"/>
                <w:kern w:val="0"/>
                <w:szCs w:val="21"/>
                <w:lang w:val="en-US"/>
              </w:rPr>
            </w:pPr>
            <w:r>
              <w:rPr>
                <w:rFonts w:hint="eastAsia" w:ascii="宋体" w:cs="宋体"/>
                <w:kern w:val="0"/>
                <w:szCs w:val="21"/>
                <w:lang w:val="en-US" w:eastAsia="zh-CN"/>
              </w:rPr>
              <w:t>2149.34</w:t>
            </w:r>
          </w:p>
        </w:tc>
        <w:tc>
          <w:tcPr>
            <w:tcW w:w="102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128"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default" w:ascii="宋体" w:eastAsia="宋体" w:cs="宋体"/>
                <w:kern w:val="0"/>
                <w:szCs w:val="21"/>
                <w:lang w:val="en-US" w:eastAsia="zh-CN"/>
              </w:rPr>
            </w:pPr>
            <w:r>
              <w:rPr>
                <w:rFonts w:hint="eastAsia" w:ascii="宋体" w:cs="宋体"/>
                <w:kern w:val="0"/>
                <w:szCs w:val="21"/>
                <w:lang w:val="en-US" w:eastAsia="zh-CN"/>
              </w:rPr>
              <w:t>2149.34</w:t>
            </w:r>
          </w:p>
        </w:tc>
        <w:tc>
          <w:tcPr>
            <w:tcW w:w="127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688"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98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17"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2、二级机构1</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02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128"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27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688"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98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17"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3、二级机构2</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02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128"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27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688"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c>
          <w:tcPr>
            <w:tcW w:w="198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376" w:hRule="atLeast"/>
        </w:trPr>
        <w:tc>
          <w:tcPr>
            <w:tcW w:w="9318" w:type="dxa"/>
            <w:gridSpan w:val="1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default" w:ascii="宋体" w:cs="宋体"/>
                <w:kern w:val="0"/>
                <w:szCs w:val="21"/>
                <w:lang w:val="en-US"/>
              </w:rPr>
            </w:pPr>
            <w:r>
              <w:rPr>
                <w:rFonts w:hint="eastAsia" w:ascii="宋体" w:cs="宋体"/>
                <w:b/>
                <w:bCs/>
                <w:kern w:val="0"/>
                <w:szCs w:val="21"/>
              </w:rPr>
              <w:t>部门（单位）年度支出和结余情况（万元）:</w:t>
            </w:r>
            <w:r>
              <w:rPr>
                <w:rFonts w:ascii="宋体" w:cs="宋体"/>
                <w:b/>
                <w:bCs/>
                <w:kern w:val="0"/>
                <w:szCs w:val="21"/>
              </w:rPr>
              <w:t xml:space="preserve"> </w:t>
            </w:r>
            <w:r>
              <w:rPr>
                <w:rFonts w:hint="eastAsia" w:ascii="宋体" w:cs="宋体"/>
                <w:kern w:val="0"/>
                <w:szCs w:val="21"/>
                <w:lang w:val="en-US" w:eastAsia="zh-CN"/>
              </w:rPr>
              <w:t>2149.34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556" w:hRule="atLeast"/>
        </w:trPr>
        <w:tc>
          <w:tcPr>
            <w:tcW w:w="1123" w:type="dxa"/>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机构名称</w:t>
            </w:r>
          </w:p>
        </w:tc>
        <w:tc>
          <w:tcPr>
            <w:tcW w:w="1104" w:type="dxa"/>
            <w:gridSpan w:val="3"/>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支出合计</w:t>
            </w:r>
          </w:p>
        </w:tc>
        <w:tc>
          <w:tcPr>
            <w:tcW w:w="5077" w:type="dxa"/>
            <w:gridSpan w:val="10"/>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jc w:val="center"/>
              <w:rPr>
                <w:rFonts w:hint="eastAsia" w:ascii="宋体" w:cs="宋体"/>
                <w:kern w:val="0"/>
                <w:szCs w:val="21"/>
              </w:rPr>
            </w:pPr>
            <w:r>
              <w:rPr>
                <w:rFonts w:hint="eastAsia" w:ascii="宋体" w:cs="宋体"/>
                <w:kern w:val="0"/>
                <w:szCs w:val="21"/>
              </w:rPr>
              <w:t>其中：</w:t>
            </w:r>
          </w:p>
        </w:tc>
        <w:tc>
          <w:tcPr>
            <w:tcW w:w="2014" w:type="dxa"/>
            <w:gridSpan w:val="2"/>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结   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630" w:hRule="atLeast"/>
        </w:trPr>
        <w:tc>
          <w:tcPr>
            <w:tcW w:w="1123" w:type="dxa"/>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jc w:val="center"/>
            </w:pPr>
          </w:p>
        </w:tc>
        <w:tc>
          <w:tcPr>
            <w:tcW w:w="1104" w:type="dxa"/>
            <w:gridSpan w:val="3"/>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jc w:val="center"/>
            </w:pPr>
          </w:p>
        </w:tc>
        <w:tc>
          <w:tcPr>
            <w:tcW w:w="1020" w:type="dxa"/>
            <w:gridSpan w:val="2"/>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基本支出</w:t>
            </w:r>
          </w:p>
        </w:tc>
        <w:tc>
          <w:tcPr>
            <w:tcW w:w="2869"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jc w:val="center"/>
              <w:rPr>
                <w:rFonts w:hint="eastAsia" w:ascii="宋体" w:cs="宋体"/>
                <w:kern w:val="0"/>
                <w:szCs w:val="21"/>
              </w:rPr>
            </w:pPr>
            <w:r>
              <w:rPr>
                <w:rFonts w:hint="eastAsia" w:ascii="宋体" w:cs="宋体"/>
                <w:kern w:val="0"/>
                <w:szCs w:val="21"/>
              </w:rPr>
              <w:t>其中：</w:t>
            </w:r>
          </w:p>
        </w:tc>
        <w:tc>
          <w:tcPr>
            <w:tcW w:w="1188" w:type="dxa"/>
            <w:gridSpan w:val="2"/>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项目支出</w:t>
            </w:r>
          </w:p>
        </w:tc>
        <w:tc>
          <w:tcPr>
            <w:tcW w:w="2014" w:type="dxa"/>
            <w:gridSpan w:val="2"/>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jc w:val="cente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606" w:hRule="atLeast"/>
        </w:trPr>
        <w:tc>
          <w:tcPr>
            <w:tcW w:w="1123" w:type="dxa"/>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jc w:val="center"/>
            </w:pPr>
          </w:p>
        </w:tc>
        <w:tc>
          <w:tcPr>
            <w:tcW w:w="1104" w:type="dxa"/>
            <w:gridSpan w:val="3"/>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jc w:val="center"/>
            </w:pPr>
          </w:p>
        </w:tc>
        <w:tc>
          <w:tcPr>
            <w:tcW w:w="1020" w:type="dxa"/>
            <w:gridSpan w:val="2"/>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jc w:val="center"/>
            </w:pPr>
          </w:p>
        </w:tc>
        <w:tc>
          <w:tcPr>
            <w:tcW w:w="1476"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人员支出</w:t>
            </w:r>
          </w:p>
        </w:tc>
        <w:tc>
          <w:tcPr>
            <w:tcW w:w="1393"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公用支出</w:t>
            </w:r>
          </w:p>
        </w:tc>
        <w:tc>
          <w:tcPr>
            <w:tcW w:w="1188" w:type="dxa"/>
            <w:gridSpan w:val="2"/>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jc w:val="center"/>
            </w:pPr>
          </w:p>
        </w:tc>
        <w:tc>
          <w:tcPr>
            <w:tcW w:w="2014" w:type="dxa"/>
            <w:gridSpan w:val="2"/>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jc w:val="cente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1029"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210" w:firstLineChars="100"/>
              <w:jc w:val="left"/>
              <w:rPr>
                <w:rFonts w:hint="eastAsia" w:ascii="宋体" w:cs="宋体"/>
                <w:kern w:val="0"/>
                <w:szCs w:val="21"/>
              </w:rPr>
            </w:pPr>
            <w:r>
              <w:rPr>
                <w:rFonts w:hint="eastAsia" w:ascii="宋体" w:cs="宋体"/>
                <w:kern w:val="0"/>
                <w:szCs w:val="21"/>
              </w:rPr>
              <w:t>局机关及二级机构汇总</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2149.34</w:t>
            </w:r>
          </w:p>
        </w:tc>
        <w:tc>
          <w:tcPr>
            <w:tcW w:w="102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548.27</w:t>
            </w:r>
          </w:p>
        </w:tc>
        <w:tc>
          <w:tcPr>
            <w:tcW w:w="1476"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452.47</w:t>
            </w:r>
          </w:p>
        </w:tc>
        <w:tc>
          <w:tcPr>
            <w:tcW w:w="1393"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95.79</w:t>
            </w:r>
          </w:p>
        </w:tc>
        <w:tc>
          <w:tcPr>
            <w:tcW w:w="1188"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1601.07</w:t>
            </w:r>
          </w:p>
        </w:tc>
        <w:tc>
          <w:tcPr>
            <w:tcW w:w="2014"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395" w:hRule="atLeast"/>
        </w:trPr>
        <w:tc>
          <w:tcPr>
            <w:tcW w:w="1123" w:type="dxa"/>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机构名称</w:t>
            </w:r>
          </w:p>
        </w:tc>
        <w:tc>
          <w:tcPr>
            <w:tcW w:w="1104" w:type="dxa"/>
            <w:gridSpan w:val="3"/>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三公经费</w:t>
            </w:r>
          </w:p>
          <w:p>
            <w:pPr>
              <w:widowControl/>
              <w:spacing w:line="300" w:lineRule="exact"/>
              <w:jc w:val="center"/>
              <w:rPr>
                <w:rFonts w:hint="eastAsia" w:ascii="宋体" w:cs="宋体"/>
                <w:kern w:val="0"/>
                <w:szCs w:val="21"/>
              </w:rPr>
            </w:pPr>
            <w:r>
              <w:rPr>
                <w:rFonts w:hint="eastAsia" w:ascii="宋体" w:cs="宋体"/>
                <w:kern w:val="0"/>
                <w:szCs w:val="21"/>
              </w:rPr>
              <w:t>合 计</w:t>
            </w:r>
          </w:p>
        </w:tc>
        <w:tc>
          <w:tcPr>
            <w:tcW w:w="7091" w:type="dxa"/>
            <w:gridSpan w:val="1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其中：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712" w:hRule="atLeast"/>
        </w:trPr>
        <w:tc>
          <w:tcPr>
            <w:tcW w:w="1123" w:type="dxa"/>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pPr>
          </w:p>
        </w:tc>
        <w:tc>
          <w:tcPr>
            <w:tcW w:w="1104" w:type="dxa"/>
            <w:gridSpan w:val="3"/>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pPr>
          </w:p>
        </w:tc>
        <w:tc>
          <w:tcPr>
            <w:tcW w:w="1535"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公务接待费</w:t>
            </w:r>
          </w:p>
        </w:tc>
        <w:tc>
          <w:tcPr>
            <w:tcW w:w="1885"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jc w:val="center"/>
              <w:rPr>
                <w:rFonts w:hint="eastAsia" w:ascii="宋体" w:cs="宋体"/>
                <w:kern w:val="0"/>
                <w:szCs w:val="21"/>
              </w:rPr>
            </w:pPr>
            <w:r>
              <w:rPr>
                <w:rFonts w:hint="eastAsia" w:ascii="宋体" w:cs="宋体"/>
                <w:kern w:val="0"/>
                <w:szCs w:val="21"/>
              </w:rPr>
              <w:t>公务用车运维费</w:t>
            </w:r>
          </w:p>
        </w:tc>
        <w:tc>
          <w:tcPr>
            <w:tcW w:w="1657"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jc w:val="center"/>
              <w:rPr>
                <w:rFonts w:hint="eastAsia" w:ascii="宋体" w:cs="宋体"/>
                <w:kern w:val="0"/>
                <w:szCs w:val="21"/>
              </w:rPr>
            </w:pPr>
            <w:r>
              <w:rPr>
                <w:rFonts w:hint="eastAsia" w:ascii="宋体" w:cs="宋体"/>
                <w:kern w:val="0"/>
                <w:szCs w:val="21"/>
              </w:rPr>
              <w:t>公务用车购置费</w:t>
            </w:r>
          </w:p>
        </w:tc>
        <w:tc>
          <w:tcPr>
            <w:tcW w:w="2014"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20" w:firstLineChars="200"/>
              <w:rPr>
                <w:rFonts w:hint="eastAsia" w:ascii="宋体" w:cs="宋体"/>
                <w:kern w:val="0"/>
                <w:szCs w:val="21"/>
              </w:rPr>
            </w:pPr>
            <w:r>
              <w:rPr>
                <w:rFonts w:hint="eastAsia" w:ascii="宋体" w:cs="宋体"/>
                <w:kern w:val="0"/>
                <w:szCs w:val="21"/>
              </w:rPr>
              <w:t>因公出国费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980"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局机关及二级机构汇总</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1535"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5.65</w:t>
            </w:r>
          </w:p>
        </w:tc>
        <w:tc>
          <w:tcPr>
            <w:tcW w:w="1885"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p>
        </w:tc>
        <w:tc>
          <w:tcPr>
            <w:tcW w:w="1657"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17"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1、局机关</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1535"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525" w:firstLineChars="250"/>
              <w:jc w:val="left"/>
              <w:rPr>
                <w:rFonts w:hint="eastAsia" w:ascii="宋体" w:cs="宋体"/>
                <w:kern w:val="0"/>
                <w:szCs w:val="21"/>
              </w:rPr>
            </w:pPr>
            <w:r>
              <w:rPr>
                <w:rFonts w:hint="eastAsia" w:ascii="宋体" w:cs="宋体"/>
                <w:kern w:val="0"/>
                <w:szCs w:val="21"/>
              </w:rPr>
              <w:t>5.65</w:t>
            </w:r>
          </w:p>
        </w:tc>
        <w:tc>
          <w:tcPr>
            <w:tcW w:w="1885"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1657"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678" w:hRule="atLeast"/>
        </w:trPr>
        <w:tc>
          <w:tcPr>
            <w:tcW w:w="1123" w:type="dxa"/>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机构名称</w:t>
            </w:r>
          </w:p>
        </w:tc>
        <w:tc>
          <w:tcPr>
            <w:tcW w:w="1104" w:type="dxa"/>
            <w:gridSpan w:val="3"/>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rPr>
                <w:rFonts w:hint="eastAsia" w:ascii="宋体" w:cs="宋体"/>
                <w:kern w:val="0"/>
                <w:szCs w:val="21"/>
              </w:rPr>
            </w:pPr>
            <w:r>
              <w:rPr>
                <w:rFonts w:hint="eastAsia" w:ascii="宋体" w:cs="宋体"/>
                <w:kern w:val="0"/>
                <w:szCs w:val="21"/>
              </w:rPr>
              <w:t>固定资产</w:t>
            </w:r>
          </w:p>
          <w:p>
            <w:pPr>
              <w:widowControl/>
              <w:spacing w:line="300" w:lineRule="exact"/>
              <w:rPr>
                <w:rFonts w:hint="eastAsia" w:ascii="宋体" w:cs="宋体"/>
                <w:kern w:val="0"/>
                <w:szCs w:val="21"/>
              </w:rPr>
            </w:pPr>
            <w:r>
              <w:rPr>
                <w:rFonts w:hint="eastAsia" w:ascii="宋体" w:cs="宋体"/>
                <w:kern w:val="0"/>
                <w:szCs w:val="21"/>
              </w:rPr>
              <w:t>合 计</w:t>
            </w:r>
          </w:p>
        </w:tc>
        <w:tc>
          <w:tcPr>
            <w:tcW w:w="5077" w:type="dxa"/>
            <w:gridSpan w:val="10"/>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其中：</w:t>
            </w:r>
          </w:p>
        </w:tc>
        <w:tc>
          <w:tcPr>
            <w:tcW w:w="2014" w:type="dxa"/>
            <w:gridSpan w:val="2"/>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其  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873" w:hRule="atLeast"/>
        </w:trPr>
        <w:tc>
          <w:tcPr>
            <w:tcW w:w="1123" w:type="dxa"/>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pPr>
          </w:p>
        </w:tc>
        <w:tc>
          <w:tcPr>
            <w:tcW w:w="1104" w:type="dxa"/>
            <w:gridSpan w:val="3"/>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pPr>
          </w:p>
        </w:tc>
        <w:tc>
          <w:tcPr>
            <w:tcW w:w="2496"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在用固定资产</w:t>
            </w:r>
          </w:p>
        </w:tc>
        <w:tc>
          <w:tcPr>
            <w:tcW w:w="2581"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出租固定资产</w:t>
            </w:r>
          </w:p>
        </w:tc>
        <w:tc>
          <w:tcPr>
            <w:tcW w:w="2014" w:type="dxa"/>
            <w:gridSpan w:val="2"/>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1029"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left="105" w:hanging="105" w:hangingChars="50"/>
              <w:rPr>
                <w:rFonts w:hint="eastAsia" w:ascii="宋体" w:cs="宋体"/>
                <w:kern w:val="0"/>
                <w:szCs w:val="21"/>
              </w:rPr>
            </w:pPr>
            <w:r>
              <w:rPr>
                <w:rFonts w:hint="eastAsia" w:ascii="宋体" w:cs="宋体"/>
                <w:kern w:val="0"/>
                <w:szCs w:val="21"/>
              </w:rPr>
              <w:t>局机关及二级机构汇总</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496"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561.21</w:t>
            </w:r>
          </w:p>
        </w:tc>
        <w:tc>
          <w:tcPr>
            <w:tcW w:w="2581"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931"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1、局机关</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496"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561.21</w:t>
            </w:r>
          </w:p>
        </w:tc>
        <w:tc>
          <w:tcPr>
            <w:tcW w:w="2581"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17"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2、二级机构1</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496"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581"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946" w:hRule="atLeast"/>
        </w:trPr>
        <w:tc>
          <w:tcPr>
            <w:tcW w:w="112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3、二级机构2</w:t>
            </w:r>
          </w:p>
        </w:tc>
        <w:tc>
          <w:tcPr>
            <w:tcW w:w="110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496"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581"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03" w:hRule="atLeast"/>
        </w:trPr>
        <w:tc>
          <w:tcPr>
            <w:tcW w:w="9318" w:type="dxa"/>
            <w:gridSpan w:val="1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b/>
                <w:bCs/>
                <w:kern w:val="0"/>
                <w:szCs w:val="21"/>
              </w:rPr>
              <w:t>三、部门（单位）整体支出绩效自评情况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703" w:hRule="atLeast"/>
        </w:trPr>
        <w:tc>
          <w:tcPr>
            <w:tcW w:w="1274" w:type="dxa"/>
            <w:gridSpan w:val="2"/>
            <w:vMerge w:val="restart"/>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整体支出绩效定性目标及实施计划完成情况</w:t>
            </w:r>
          </w:p>
        </w:tc>
        <w:tc>
          <w:tcPr>
            <w:tcW w:w="3301" w:type="dxa"/>
            <w:gridSpan w:val="7"/>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预期目标</w:t>
            </w:r>
          </w:p>
        </w:tc>
        <w:tc>
          <w:tcPr>
            <w:tcW w:w="4743" w:type="dxa"/>
            <w:gridSpan w:val="7"/>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实际完成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3273" w:hRule="atLeast"/>
        </w:trPr>
        <w:tc>
          <w:tcPr>
            <w:tcW w:w="1274" w:type="dxa"/>
            <w:gridSpan w:val="2"/>
            <w:vMerge w:val="continue"/>
            <w:tcBorders>
              <w:top w:val="outset" w:color="000000" w:sz="6" w:space="0"/>
              <w:left w:val="outset" w:color="000000" w:sz="6" w:space="0"/>
              <w:bottom w:val="outset" w:color="000000" w:sz="6" w:space="0"/>
              <w:right w:val="outset" w:color="000000" w:sz="6" w:space="0"/>
            </w:tcBorders>
            <w:noWrap w:val="0"/>
            <w:vAlign w:val="center"/>
          </w:tcPr>
          <w:p>
            <w:pPr>
              <w:spacing w:line="300" w:lineRule="exact"/>
            </w:pPr>
          </w:p>
        </w:tc>
        <w:tc>
          <w:tcPr>
            <w:tcW w:w="3301" w:type="dxa"/>
            <w:gridSpan w:val="7"/>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rPr>
                <w:rFonts w:hint="eastAsia" w:ascii="宋体" w:cs="宋体"/>
                <w:kern w:val="0"/>
                <w:sz w:val="18"/>
                <w:szCs w:val="18"/>
              </w:rPr>
            </w:pPr>
            <w:r>
              <w:rPr>
                <w:rFonts w:hint="eastAsia" w:ascii="宋体" w:cs="宋体"/>
                <w:kern w:val="0"/>
                <w:szCs w:val="21"/>
              </w:rPr>
              <w:t>目标1：</w:t>
            </w:r>
            <w:r>
              <w:rPr>
                <w:rFonts w:hint="eastAsia" w:ascii="宋体" w:cs="宋体"/>
                <w:kern w:val="0"/>
                <w:sz w:val="18"/>
                <w:szCs w:val="18"/>
              </w:rPr>
              <w:t>文化艺术工作多姿多彩。</w:t>
            </w:r>
          </w:p>
          <w:p>
            <w:pPr>
              <w:widowControl/>
              <w:spacing w:line="300" w:lineRule="exact"/>
              <w:jc w:val="left"/>
              <w:rPr>
                <w:rFonts w:hint="eastAsia" w:ascii="宋体" w:cs="宋体"/>
                <w:kern w:val="0"/>
                <w:sz w:val="18"/>
                <w:szCs w:val="18"/>
              </w:rPr>
            </w:pPr>
            <w:r>
              <w:rPr>
                <w:rFonts w:hint="eastAsia" w:ascii="宋体" w:cs="宋体"/>
                <w:kern w:val="0"/>
                <w:szCs w:val="21"/>
              </w:rPr>
              <w:t>目标</w:t>
            </w:r>
            <w:r>
              <w:rPr>
                <w:rFonts w:hint="eastAsia" w:ascii="宋体" w:cs="宋体"/>
                <w:kern w:val="0"/>
                <w:sz w:val="18"/>
                <w:szCs w:val="18"/>
              </w:rPr>
              <w:t>2：文化遗产保护推进有</w:t>
            </w:r>
            <w:r>
              <w:rPr>
                <w:rFonts w:ascii="宋体" w:cs="宋体"/>
                <w:kern w:val="0"/>
                <w:sz w:val="18"/>
                <w:szCs w:val="18"/>
              </w:rPr>
              <w:t xml:space="preserve">         </w:t>
            </w:r>
            <w:r>
              <w:rPr>
                <w:rFonts w:hint="eastAsia" w:ascii="宋体" w:cs="宋体"/>
                <w:kern w:val="0"/>
                <w:szCs w:val="21"/>
              </w:rPr>
              <w:t>目标</w:t>
            </w:r>
            <w:r>
              <w:rPr>
                <w:rFonts w:hint="eastAsia" w:ascii="宋体" w:cs="宋体"/>
                <w:kern w:val="0"/>
                <w:sz w:val="18"/>
                <w:szCs w:val="18"/>
              </w:rPr>
              <w:t>3：文化市场监管井然有序</w:t>
            </w:r>
            <w:r>
              <w:rPr>
                <w:rFonts w:ascii="宋体" w:cs="宋体"/>
                <w:kern w:val="0"/>
                <w:sz w:val="18"/>
                <w:szCs w:val="18"/>
              </w:rPr>
              <w:t xml:space="preserve">       </w:t>
            </w:r>
            <w:r>
              <w:rPr>
                <w:rFonts w:hint="eastAsia" w:ascii="宋体" w:cs="宋体"/>
                <w:kern w:val="0"/>
                <w:szCs w:val="21"/>
              </w:rPr>
              <w:t>目标</w:t>
            </w:r>
            <w:r>
              <w:rPr>
                <w:rFonts w:hint="eastAsia" w:ascii="宋体" w:cs="宋体"/>
                <w:kern w:val="0"/>
                <w:sz w:val="18"/>
                <w:szCs w:val="18"/>
              </w:rPr>
              <w:t>4：旅游发展基础不断夯实</w:t>
            </w:r>
          </w:p>
          <w:p>
            <w:pPr>
              <w:widowControl/>
              <w:spacing w:line="300" w:lineRule="exact"/>
              <w:rPr>
                <w:rFonts w:hint="eastAsia" w:ascii="宋体" w:cs="宋体"/>
                <w:kern w:val="0"/>
                <w:szCs w:val="21"/>
              </w:rPr>
            </w:pPr>
            <w:r>
              <w:rPr>
                <w:rFonts w:hint="eastAsia" w:ascii="宋体" w:cs="宋体"/>
                <w:kern w:val="0"/>
                <w:szCs w:val="21"/>
              </w:rPr>
              <w:t>目标</w:t>
            </w:r>
            <w:r>
              <w:rPr>
                <w:rFonts w:hint="eastAsia" w:ascii="宋体" w:cs="宋体"/>
                <w:kern w:val="0"/>
                <w:sz w:val="18"/>
                <w:szCs w:val="18"/>
              </w:rPr>
              <w:t>5：体育事业发展蒸蒸日上</w:t>
            </w:r>
          </w:p>
        </w:tc>
        <w:tc>
          <w:tcPr>
            <w:tcW w:w="4743" w:type="dxa"/>
            <w:gridSpan w:val="7"/>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rPr>
                <w:rFonts w:hint="eastAsia" w:ascii="宋体" w:cs="宋体"/>
                <w:kern w:val="0"/>
                <w:sz w:val="18"/>
                <w:szCs w:val="18"/>
              </w:rPr>
            </w:pPr>
            <w:r>
              <w:rPr>
                <w:rFonts w:hint="eastAsia" w:ascii="宋体" w:cs="宋体"/>
                <w:b/>
                <w:bCs/>
                <w:kern w:val="0"/>
                <w:sz w:val="18"/>
                <w:szCs w:val="18"/>
              </w:rPr>
              <w:t>文化艺术工作多姿多彩。</w:t>
            </w:r>
            <w:r>
              <w:rPr>
                <w:rFonts w:hint="eastAsia" w:ascii="宋体" w:cs="宋体"/>
                <w:kern w:val="0"/>
                <w:sz w:val="18"/>
                <w:szCs w:val="18"/>
              </w:rPr>
              <w:t>一是开展小舞剧《高庙•凤鸟追日》舞蹈《苗乡花开》曲艺渔鼓《新村新寨新唱》等节目创作，组织渔鼓表演《新农家电商》参加怀化市“欢乐潇湘”精准扶贫优秀文艺作品巡（展）演，全年完成“送戏曲进万村、送书画进万家”演出场次达31场。二是制作了黔阳山歌《我唱山歌抗疫情》以及黔阳渔鼓黔阳快板《众志成城抗疫情》、《生命重于泰山》绘画作品，</w:t>
            </w:r>
          </w:p>
          <w:p>
            <w:pPr>
              <w:widowControl/>
              <w:spacing w:line="300" w:lineRule="exact"/>
              <w:jc w:val="left"/>
              <w:rPr>
                <w:rFonts w:hint="eastAsia" w:ascii="宋体" w:cs="宋体"/>
                <w:kern w:val="0"/>
                <w:sz w:val="18"/>
                <w:szCs w:val="18"/>
              </w:rPr>
            </w:pPr>
            <w:r>
              <w:rPr>
                <w:rFonts w:hint="eastAsia" w:ascii="宋体" w:cs="宋体"/>
                <w:b/>
                <w:bCs/>
                <w:kern w:val="0"/>
                <w:sz w:val="18"/>
                <w:szCs w:val="18"/>
              </w:rPr>
              <w:t>任务2：文化遗产保护推进有力。</w:t>
            </w:r>
            <w:r>
              <w:rPr>
                <w:rFonts w:hint="eastAsia" w:ascii="宋体" w:cs="宋体"/>
                <w:kern w:val="0"/>
                <w:sz w:val="18"/>
                <w:szCs w:val="18"/>
              </w:rPr>
              <w:t>一是积极推荐申报黔阳竹艺、黔阳剪纸、雪峰山锅粉、辰河棕编技艺”等为第六批怀化市级非遗代表性项目代表性传承人，。二是黔城古建筑群第二期修缮工作已在招投标，争取上级专项资金844万元已到位，关西世第修缮工程“一期二进”项目已完工，准备正式验收。</w:t>
            </w:r>
          </w:p>
          <w:p>
            <w:pPr>
              <w:widowControl/>
              <w:spacing w:line="300" w:lineRule="exact"/>
              <w:jc w:val="left"/>
              <w:rPr>
                <w:rFonts w:hint="eastAsia" w:ascii="宋体" w:cs="宋体"/>
                <w:kern w:val="0"/>
                <w:sz w:val="18"/>
                <w:szCs w:val="18"/>
              </w:rPr>
            </w:pPr>
            <w:r>
              <w:rPr>
                <w:rFonts w:hint="eastAsia" w:ascii="宋体" w:cs="宋体"/>
                <w:b/>
                <w:bCs/>
                <w:kern w:val="0"/>
                <w:sz w:val="18"/>
                <w:szCs w:val="18"/>
              </w:rPr>
              <w:t>任务3：文化市场监管井然有序。</w:t>
            </w:r>
            <w:r>
              <w:rPr>
                <w:rFonts w:hint="eastAsia" w:ascii="宋体" w:cs="宋体"/>
                <w:kern w:val="0"/>
                <w:sz w:val="18"/>
                <w:szCs w:val="18"/>
              </w:rPr>
              <w:t>一是抓好文化旅游市场疫情防控及复工复产。二是加强了文化市场的日常监管。重点抓好网吧接纳未成年人、KTV等娱乐场所扰民现象，重点监管黔城、安江3家电影院是否符合规范，对全市印刷出版物市场进行不定期全覆盖巡查，着重监管和整治黔城、安江城区卫星广播电视地面接收设施的销售、安装市场，开展校园及周边治安环境集中整治行动等。</w:t>
            </w:r>
          </w:p>
          <w:p>
            <w:pPr>
              <w:widowControl/>
              <w:spacing w:line="300" w:lineRule="exact"/>
              <w:jc w:val="left"/>
              <w:rPr>
                <w:rFonts w:hint="eastAsia" w:ascii="宋体" w:cs="宋体"/>
                <w:kern w:val="0"/>
                <w:sz w:val="18"/>
                <w:szCs w:val="18"/>
              </w:rPr>
            </w:pPr>
            <w:r>
              <w:rPr>
                <w:rFonts w:hint="eastAsia" w:ascii="宋体" w:cs="宋体"/>
                <w:b/>
                <w:bCs/>
                <w:kern w:val="0"/>
                <w:sz w:val="18"/>
                <w:szCs w:val="18"/>
              </w:rPr>
              <w:t>任务4：旅游发展基础不断夯实。</w:t>
            </w:r>
            <w:r>
              <w:rPr>
                <w:rFonts w:hint="eastAsia" w:ascii="宋体" w:cs="宋体"/>
                <w:kern w:val="0"/>
                <w:sz w:val="18"/>
                <w:szCs w:val="18"/>
              </w:rPr>
              <w:t>一是扎实推进旅游项目建设，推出了红色记忆--芷江抗战胜利受降地--黔阳古城精品红色旅游线路，安江农校纪念园景区昇斗钱币展馆、杂交水稻馆及农耕文化馆建成并对外开放。二是举办2020“四季洪江二日游”地接旅游推介大会，举办2020年洪江市夏季旅游营销活动之黔阳古城广场舞邀请赛，开展黔阳古城中秋国庆假期文化旅游活动，1-12月全市接待市内外游客304.18万人次，实现旅游收入25.95亿元。</w:t>
            </w:r>
          </w:p>
          <w:p>
            <w:pPr>
              <w:widowControl/>
              <w:spacing w:line="300" w:lineRule="exact"/>
              <w:jc w:val="left"/>
              <w:rPr>
                <w:rFonts w:hint="eastAsia" w:ascii="宋体" w:cs="宋体"/>
                <w:kern w:val="0"/>
                <w:szCs w:val="21"/>
              </w:rPr>
            </w:pPr>
            <w:r>
              <w:rPr>
                <w:rFonts w:hint="eastAsia" w:ascii="宋体" w:cs="宋体"/>
                <w:b/>
                <w:bCs/>
                <w:kern w:val="0"/>
                <w:sz w:val="18"/>
                <w:szCs w:val="18"/>
              </w:rPr>
              <w:t>任务5：体育事业发展蒸蒸日上。</w:t>
            </w:r>
            <w:r>
              <w:rPr>
                <w:rFonts w:hint="eastAsia" w:ascii="宋体" w:cs="宋体"/>
                <w:kern w:val="0"/>
                <w:sz w:val="18"/>
                <w:szCs w:val="18"/>
              </w:rPr>
              <w:t>一是2020全民健身系列赛事从9月份至12月份每周末至少开展一至两次体育活动，5月还举办了全省性徒步雪峰山－怀化“森”呼吸系列活动之洪江市老山草场“云端花海”徒步活动等。2019“洪马”获得中国田径协会颁发的“金牌赛事”并成功入围人民网主办的“2019年最具影响力马拉松赛事排行榜”TOP100赛事，排名第94位。二是全市16家体育销售网点今年实现体育彩票销售达1677.44万元，较去年增长了近600万元，为我市争取体彩公益金近100万元，三是编制出台了我市2020—2030的体育强市工作规划。四是在2020年青少年锦标赛、怀化市第五届跆拳道大赛、怀化市青少年田径运动会中，我市运动员均竞技体育水平稳步提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873" w:hRule="atLeast"/>
        </w:trPr>
        <w:tc>
          <w:tcPr>
            <w:tcW w:w="2490" w:type="dxa"/>
            <w:gridSpan w:val="5"/>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绩效自评综合得分</w:t>
            </w:r>
          </w:p>
        </w:tc>
        <w:tc>
          <w:tcPr>
            <w:tcW w:w="6828" w:type="dxa"/>
            <w:gridSpan w:val="11"/>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2940" w:firstLineChars="1400"/>
              <w:jc w:val="left"/>
              <w:rPr>
                <w:rFonts w:hint="eastAsia" w:ascii="宋体" w:cs="宋体"/>
                <w:kern w:val="0"/>
                <w:szCs w:val="21"/>
              </w:rPr>
            </w:pPr>
            <w:r>
              <w:rPr>
                <w:rFonts w:hint="eastAsia" w:ascii="宋体" w:cs="宋体"/>
                <w:kern w:val="0"/>
                <w:szCs w:val="21"/>
              </w:rPr>
              <w:t>96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03" w:hRule="atLeast"/>
        </w:trPr>
        <w:tc>
          <w:tcPr>
            <w:tcW w:w="2490" w:type="dxa"/>
            <w:gridSpan w:val="5"/>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kern w:val="0"/>
                <w:szCs w:val="21"/>
              </w:rPr>
              <w:t>评价等次</w:t>
            </w:r>
          </w:p>
        </w:tc>
        <w:tc>
          <w:tcPr>
            <w:tcW w:w="6828" w:type="dxa"/>
            <w:gridSpan w:val="11"/>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2625" w:firstLineChars="1250"/>
              <w:jc w:val="left"/>
              <w:rPr>
                <w:rFonts w:hint="eastAsia" w:ascii="宋体" w:cs="宋体"/>
                <w:kern w:val="0"/>
                <w:szCs w:val="21"/>
              </w:rPr>
            </w:pPr>
            <w:r>
              <w:rPr>
                <w:rFonts w:hint="eastAsia" w:ascii="宋体" w:cs="宋体"/>
                <w:kern w:val="0"/>
                <w:szCs w:val="21"/>
              </w:rPr>
              <w:t>优秀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75" w:hRule="atLeast"/>
        </w:trPr>
        <w:tc>
          <w:tcPr>
            <w:tcW w:w="9318" w:type="dxa"/>
            <w:gridSpan w:val="1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r>
              <w:rPr>
                <w:rFonts w:hint="eastAsia" w:ascii="宋体" w:cs="宋体"/>
                <w:b/>
                <w:bCs/>
                <w:kern w:val="0"/>
                <w:szCs w:val="21"/>
              </w:rPr>
              <w:t>四、评价人员</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03"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姓 名</w:t>
            </w:r>
          </w:p>
        </w:tc>
        <w:tc>
          <w:tcPr>
            <w:tcW w:w="2914"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职务/职称</w:t>
            </w:r>
          </w:p>
        </w:tc>
        <w:tc>
          <w:tcPr>
            <w:tcW w:w="2319"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单 位</w:t>
            </w:r>
          </w:p>
        </w:tc>
        <w:tc>
          <w:tcPr>
            <w:tcW w:w="242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center"/>
              <w:rPr>
                <w:rFonts w:hint="eastAsia" w:ascii="宋体" w:cs="宋体"/>
                <w:kern w:val="0"/>
                <w:szCs w:val="21"/>
              </w:rPr>
            </w:pPr>
            <w:r>
              <w:rPr>
                <w:rFonts w:hint="eastAsia" w:ascii="宋体" w:cs="宋体"/>
                <w:kern w:val="0"/>
                <w:szCs w:val="21"/>
              </w:rPr>
              <w:t>签 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650"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谢世旺</w:t>
            </w:r>
          </w:p>
        </w:tc>
        <w:tc>
          <w:tcPr>
            <w:tcW w:w="2914"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局长</w:t>
            </w:r>
          </w:p>
        </w:tc>
        <w:tc>
          <w:tcPr>
            <w:tcW w:w="2319"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市文旅广体局</w:t>
            </w:r>
          </w:p>
        </w:tc>
        <w:tc>
          <w:tcPr>
            <w:tcW w:w="242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638"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肖卫华</w:t>
            </w:r>
          </w:p>
        </w:tc>
        <w:tc>
          <w:tcPr>
            <w:tcW w:w="2914"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副局长</w:t>
            </w:r>
          </w:p>
        </w:tc>
        <w:tc>
          <w:tcPr>
            <w:tcW w:w="2319" w:type="dxa"/>
            <w:gridSpan w:val="4"/>
            <w:tcBorders>
              <w:top w:val="outset" w:color="000000" w:sz="6" w:space="0"/>
              <w:left w:val="outset" w:color="000000" w:sz="6" w:space="0"/>
              <w:bottom w:val="outset" w:color="000000" w:sz="6" w:space="0"/>
              <w:right w:val="outset" w:color="000000" w:sz="6" w:space="0"/>
            </w:tcBorders>
            <w:noWrap w:val="0"/>
            <w:vAlign w:val="top"/>
          </w:tcPr>
          <w:p>
            <w:pPr>
              <w:rPr>
                <w:rFonts w:hint="eastAsia" w:ascii="宋体" w:cs="宋体"/>
                <w:kern w:val="0"/>
                <w:szCs w:val="21"/>
              </w:rPr>
            </w:pPr>
            <w:r>
              <w:rPr>
                <w:rFonts w:hint="eastAsia" w:ascii="宋体" w:cs="宋体"/>
                <w:kern w:val="0"/>
                <w:szCs w:val="21"/>
              </w:rPr>
              <w:t>市文旅广体局</w:t>
            </w:r>
          </w:p>
        </w:tc>
        <w:tc>
          <w:tcPr>
            <w:tcW w:w="242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638"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向  阳</w:t>
            </w:r>
          </w:p>
        </w:tc>
        <w:tc>
          <w:tcPr>
            <w:tcW w:w="2914"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r>
              <w:rPr>
                <w:rFonts w:hint="eastAsia" w:ascii="宋体" w:cs="宋体"/>
                <w:kern w:val="0"/>
                <w:szCs w:val="21"/>
              </w:rPr>
              <w:t>副局长</w:t>
            </w:r>
          </w:p>
        </w:tc>
        <w:tc>
          <w:tcPr>
            <w:tcW w:w="2319" w:type="dxa"/>
            <w:gridSpan w:val="4"/>
            <w:tcBorders>
              <w:top w:val="outset" w:color="000000" w:sz="6" w:space="0"/>
              <w:left w:val="outset" w:color="000000" w:sz="6" w:space="0"/>
              <w:bottom w:val="outset" w:color="000000" w:sz="6" w:space="0"/>
              <w:right w:val="outset" w:color="000000" w:sz="6" w:space="0"/>
            </w:tcBorders>
            <w:noWrap w:val="0"/>
            <w:vAlign w:val="top"/>
          </w:tcPr>
          <w:p>
            <w:pPr>
              <w:rPr>
                <w:rFonts w:hint="eastAsia" w:ascii="宋体" w:cs="宋体"/>
                <w:kern w:val="0"/>
                <w:szCs w:val="21"/>
              </w:rPr>
            </w:pPr>
            <w:r>
              <w:rPr>
                <w:rFonts w:hint="eastAsia" w:ascii="宋体" w:cs="宋体"/>
                <w:kern w:val="0"/>
                <w:szCs w:val="21"/>
              </w:rPr>
              <w:t>市文旅广体局</w:t>
            </w:r>
          </w:p>
        </w:tc>
        <w:tc>
          <w:tcPr>
            <w:tcW w:w="242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686" w:hRule="atLeast"/>
        </w:trPr>
        <w:tc>
          <w:tcPr>
            <w:tcW w:w="1661"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914" w:type="dxa"/>
            <w:gridSpan w:val="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c>
          <w:tcPr>
            <w:tcW w:w="2319" w:type="dxa"/>
            <w:gridSpan w:val="4"/>
            <w:tcBorders>
              <w:top w:val="outset" w:color="000000" w:sz="6" w:space="0"/>
              <w:left w:val="outset" w:color="000000" w:sz="6" w:space="0"/>
              <w:bottom w:val="outset" w:color="000000" w:sz="6" w:space="0"/>
              <w:right w:val="outset" w:color="000000" w:sz="6" w:space="0"/>
            </w:tcBorders>
            <w:noWrap w:val="0"/>
            <w:vAlign w:val="top"/>
          </w:tcPr>
          <w:p>
            <w:pPr>
              <w:rPr>
                <w:rFonts w:hint="eastAsia" w:ascii="宋体" w:cs="宋体"/>
                <w:kern w:val="0"/>
                <w:szCs w:val="21"/>
              </w:rPr>
            </w:pPr>
          </w:p>
        </w:tc>
        <w:tc>
          <w:tcPr>
            <w:tcW w:w="2424"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3033" w:hRule="atLeast"/>
        </w:trPr>
        <w:tc>
          <w:tcPr>
            <w:tcW w:w="9318" w:type="dxa"/>
            <w:gridSpan w:val="1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r>
              <w:rPr>
                <w:rFonts w:hint="eastAsia" w:ascii="宋体" w:cs="宋体"/>
                <w:kern w:val="0"/>
                <w:szCs w:val="21"/>
              </w:rPr>
              <w:t>评价组组长（签字）：</w:t>
            </w:r>
          </w:p>
          <w:p>
            <w:pPr>
              <w:widowControl/>
              <w:spacing w:line="300" w:lineRule="exact"/>
              <w:ind w:firstLine="6493" w:firstLineChars="3092"/>
              <w:rPr>
                <w:rFonts w:hint="eastAsia" w:ascii="宋体" w:cs="宋体"/>
                <w:kern w:val="0"/>
                <w:szCs w:val="21"/>
              </w:rPr>
            </w:pPr>
            <w:r>
              <w:rPr>
                <w:rFonts w:hint="eastAsia" w:ascii="宋体" w:cs="宋体"/>
                <w:kern w:val="0"/>
                <w:szCs w:val="21"/>
              </w:rPr>
              <w:t>年   月   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4599" w:hRule="atLeast"/>
        </w:trPr>
        <w:tc>
          <w:tcPr>
            <w:tcW w:w="9318" w:type="dxa"/>
            <w:gridSpan w:val="16"/>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r>
              <w:rPr>
                <w:rFonts w:hint="eastAsia" w:ascii="宋体" w:cs="宋体"/>
                <w:kern w:val="0"/>
                <w:szCs w:val="21"/>
              </w:rPr>
              <w:t>部门（单位）意见：</w:t>
            </w: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r>
              <w:rPr>
                <w:rFonts w:hint="eastAsia" w:ascii="宋体" w:cs="宋体"/>
                <w:kern w:val="0"/>
                <w:szCs w:val="21"/>
              </w:rPr>
              <w:t>部门（单位）负责人（签字）：</w:t>
            </w:r>
          </w:p>
          <w:p>
            <w:pPr>
              <w:widowControl/>
              <w:spacing w:line="300" w:lineRule="exact"/>
              <w:ind w:firstLine="6598" w:firstLineChars="3142"/>
              <w:rPr>
                <w:rFonts w:hint="eastAsia" w:ascii="宋体" w:cs="宋体"/>
                <w:kern w:val="0"/>
                <w:szCs w:val="21"/>
              </w:rPr>
            </w:pPr>
            <w:r>
              <w:rPr>
                <w:rFonts w:hint="eastAsia" w:ascii="宋体" w:cs="宋体"/>
                <w:kern w:val="0"/>
                <w:szCs w:val="21"/>
              </w:rPr>
              <w:t>年   月   日</w:t>
            </w:r>
          </w:p>
        </w:tc>
      </w:tr>
    </w:tbl>
    <w:p>
      <w:pPr>
        <w:widowControl/>
        <w:spacing w:line="480" w:lineRule="auto"/>
        <w:ind w:firstLine="480"/>
        <w:rPr>
          <w:rFonts w:hint="eastAsia" w:ascii="宋体" w:cs="宋体"/>
          <w:kern w:val="0"/>
          <w:szCs w:val="21"/>
        </w:rPr>
      </w:pPr>
      <w:bookmarkStart w:id="0" w:name="YS060101"/>
      <w:r>
        <w:rPr>
          <w:rFonts w:hint="eastAsia" w:ascii="宋体" w:cs="宋体"/>
          <w:kern w:val="0"/>
          <w:szCs w:val="21"/>
        </w:rPr>
        <w:t>填报人（签名）：                  联系电话：</w:t>
      </w:r>
    </w:p>
    <w:p>
      <w:pPr>
        <w:snapToGrid w:val="0"/>
        <w:spacing w:line="520" w:lineRule="exact"/>
        <w:ind w:firstLine="640" w:firstLineChars="200"/>
        <w:rPr>
          <w:rFonts w:hint="eastAsia" w:ascii="仿宋" w:hAnsi="仿宋" w:eastAsia="仿宋" w:cs="仿宋"/>
          <w:sz w:val="32"/>
          <w:szCs w:val="32"/>
        </w:rPr>
      </w:pP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一、单位情况</w:t>
      </w:r>
    </w:p>
    <w:bookmarkEnd w:id="0"/>
    <w:p>
      <w:pPr>
        <w:snapToGri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（一）基本情况。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1．主要职能。</w:t>
      </w:r>
    </w:p>
    <w:p>
      <w:pPr>
        <w:widowControl/>
        <w:ind w:firstLine="627" w:firstLineChars="196"/>
        <w:jc w:val="left"/>
        <w:rPr>
          <w:rFonts w:hint="eastAsia" w:ascii="仿宋" w:hAnsi="仿宋" w:eastAsia="仿宋" w:cs="仿宋"/>
          <w:b/>
          <w:bCs/>
          <w:sz w:val="32"/>
          <w:szCs w:val="32"/>
        </w:rPr>
      </w:pPr>
      <w:r>
        <w:rPr>
          <w:rFonts w:hint="eastAsia" w:ascii="仿宋" w:hAnsi="仿宋" w:eastAsia="仿宋" w:cs="仿宋"/>
          <w:sz w:val="32"/>
          <w:szCs w:val="32"/>
        </w:rPr>
        <w:t>洪江市文化旅游广电体育局主要承担全市文化、旅游、广播电视、体育、文物等工作职能（其中原新闻出版及扫黄打非、电影监管等职能划转给宣传部），对外使用洪江市文物局名称，加挂洪江市文化市场综合行政执法局牌子</w:t>
      </w:r>
    </w:p>
    <w:p>
      <w:pPr>
        <w:snapToGrid w:val="0"/>
        <w:spacing w:line="52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2、机构情况，包括当年变动情况及原因。</w:t>
      </w:r>
    </w:p>
    <w:p>
      <w:pPr>
        <w:widowControl/>
        <w:ind w:firstLine="627" w:firstLineChars="196"/>
        <w:jc w:val="left"/>
        <w:rPr>
          <w:rFonts w:hint="eastAsia" w:ascii="仿宋" w:hAnsi="仿宋" w:eastAsia="仿宋" w:cs="仿宋"/>
          <w:sz w:val="32"/>
          <w:szCs w:val="32"/>
        </w:rPr>
      </w:pPr>
      <w:r>
        <w:rPr>
          <w:rFonts w:hint="eastAsia" w:ascii="仿宋" w:hAnsi="仿宋" w:eastAsia="仿宋" w:cs="仿宋"/>
          <w:sz w:val="32"/>
          <w:szCs w:val="32"/>
        </w:rPr>
        <w:t>局机关内设办公室（政策法规股）、计划财务股、产业发展股、文化艺术股、市场管理股（行政审批服务股）、资源开发与全域旅游推进股（推广传播和交流合作股）、广播电视股、群众体育股、竞赛训练股、文物保护股等10个股室，下属6个二级机构，即：市文化市场综合行政执法大队、市旅游发展事务中心、市文化馆、市图书馆、市少年儿童业余体校和市安江剧院。</w:t>
      </w:r>
    </w:p>
    <w:p>
      <w:pPr>
        <w:widowControl/>
        <w:ind w:firstLine="320" w:firstLineChars="100"/>
        <w:jc w:val="left"/>
        <w:rPr>
          <w:rFonts w:hint="eastAsia" w:ascii="仿宋" w:hAnsi="仿宋" w:eastAsia="仿宋" w:cs="仿宋"/>
          <w:sz w:val="32"/>
          <w:szCs w:val="32"/>
        </w:rPr>
      </w:pPr>
      <w:r>
        <w:rPr>
          <w:rFonts w:hint="eastAsia" w:ascii="仿宋" w:hAnsi="仿宋" w:eastAsia="仿宋" w:cs="仿宋"/>
          <w:sz w:val="32"/>
          <w:szCs w:val="32"/>
        </w:rPr>
        <w:t>局机关行政编制6人，机关全额拨款事业编制12人文化馆20人、图书馆7人。设局长1名，副局长3名，总工程师1名，股室负责人10名。目前，局机关分别从文化馆抽调3人、体校抽调2人、文化市场综合行政执法大队抽调1人。整个文体局共有在职干部职工45人，其中自收自支编制2人，有离退休干部职工38人。</w:t>
      </w:r>
    </w:p>
    <w:p>
      <w:pPr>
        <w:widowControl/>
        <w:ind w:firstLine="320" w:firstLineChars="100"/>
        <w:jc w:val="left"/>
        <w:rPr>
          <w:rFonts w:hint="eastAsia" w:ascii="仿宋" w:hAnsi="仿宋" w:eastAsia="仿宋" w:cs="仿宋"/>
          <w:color w:val="000000"/>
          <w:sz w:val="32"/>
          <w:szCs w:val="32"/>
        </w:rPr>
      </w:pPr>
      <w:r>
        <w:rPr>
          <w:rFonts w:hint="eastAsia" w:ascii="仿宋" w:hAnsi="仿宋" w:eastAsia="仿宋" w:cs="仿宋"/>
          <w:bCs/>
          <w:kern w:val="0"/>
          <w:sz w:val="32"/>
          <w:szCs w:val="32"/>
        </w:rPr>
        <w:t>（二）决算单位构成。</w:t>
      </w:r>
      <w:r>
        <w:rPr>
          <w:rFonts w:hint="eastAsia" w:ascii="仿宋" w:hAnsi="仿宋" w:eastAsia="仿宋" w:cs="仿宋"/>
          <w:sz w:val="32"/>
          <w:szCs w:val="32"/>
        </w:rPr>
        <w:t>纳入2021年部门决算编制范围的决算单位包括：洪江市文化旅游广电体育局</w:t>
      </w:r>
      <w:r>
        <w:rPr>
          <w:rFonts w:hint="eastAsia" w:ascii="仿宋" w:hAnsi="仿宋" w:eastAsia="仿宋" w:cs="仿宋"/>
          <w:color w:val="000000"/>
          <w:sz w:val="32"/>
          <w:szCs w:val="32"/>
        </w:rPr>
        <w:t>部门本级，洪江市文化馆、洪江市图书馆（二级机构）。</w:t>
      </w:r>
    </w:p>
    <w:p>
      <w:pPr>
        <w:snapToGrid w:val="0"/>
        <w:spacing w:line="52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3、人员情况，包括当年变动情况及原因。</w:t>
      </w:r>
    </w:p>
    <w:p>
      <w:pPr>
        <w:widowControl/>
        <w:ind w:firstLine="320" w:firstLineChars="100"/>
        <w:jc w:val="left"/>
        <w:rPr>
          <w:rFonts w:hint="eastAsia" w:ascii="仿宋" w:hAnsi="仿宋" w:eastAsia="仿宋" w:cs="仿宋"/>
          <w:sz w:val="32"/>
          <w:szCs w:val="32"/>
        </w:rPr>
      </w:pPr>
      <w:r>
        <w:rPr>
          <w:rFonts w:hint="eastAsia" w:ascii="仿宋" w:hAnsi="仿宋" w:eastAsia="仿宋" w:cs="仿宋"/>
          <w:sz w:val="32"/>
          <w:szCs w:val="32"/>
        </w:rPr>
        <w:t>局机关行政编制6人，机关全额拨款事业编制12人文化馆20人、图书馆7人。设局长1名，副局长3名，总工程师1名，股室负责人10名。目前，局机关分别从文化馆抽调3人、体校抽调2人、文化市场综合行政执法大队抽调1人。整个系统共有在职干部职工44人，馆图书馆）其中自收自支编制2人，有离退休干部职工38人。</w:t>
      </w:r>
    </w:p>
    <w:p>
      <w:pPr>
        <w:snapToGrid w:val="0"/>
        <w:spacing w:line="520" w:lineRule="exact"/>
        <w:ind w:firstLine="321" w:firstLineChars="100"/>
        <w:rPr>
          <w:rFonts w:hint="eastAsia" w:ascii="仿宋" w:hAnsi="仿宋" w:eastAsia="仿宋" w:cs="仿宋"/>
          <w:b/>
          <w:sz w:val="32"/>
          <w:szCs w:val="32"/>
        </w:rPr>
      </w:pPr>
      <w:r>
        <w:rPr>
          <w:rFonts w:hint="eastAsia" w:ascii="仿宋" w:hAnsi="仿宋" w:eastAsia="仿宋" w:cs="仿宋"/>
          <w:b/>
          <w:sz w:val="32"/>
          <w:szCs w:val="32"/>
        </w:rPr>
        <w:t>（二）当年取得的主要事业成效。</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群众体育工作被国家部委认可。洪江市文旅广体局荣获国家体育总局2017-2020年度全国群众体育先进单位；洪江市代表团参加怀化市六运会获得金牌总数第三名、总分第三名等。成功举办第四届洪江黔阳古城半程马拉松赛、“荣耀雪峰 醉美洪江”第二届中国雪峰穿越岩鹰洞活动等。</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解决遗留问题干净利落。有序推进申德公司、德福基金退出。成立了洪江市关于“两个合同”解约工作领导小组，积极进行协商及举办听证会。2021年12月24日，向辽宁申华公司发出解决《湖南省洪江市生态文化旅游基础设施项目建设合作合同》决定书，目前已收回黔阳古城的经营权。</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品牌创建亮点纷呈。黔阳古城成功创建省级旅游休闲街区，古城南正街、北正街双双被评为省级历史文化街区，沅河镇沅城村成功申报为第一批怀化市乡村旅游重点村，群红农庄成功获评2021年怀化十大最美湖南省星级乡村旅游区（点）；经过省、市检查组实地验收，我市黔城镇茶溪村被评为省级“最美潇湘文化阵地”，黔城镇文化服务中心被评为市级“乡镇综合文化站示范点”；舞蹈《凤鸟朝阳》荣获怀化首届艺术节银奖、湖南省第七届艺术节优秀作品奖，渔鼓联唱《清风礼赞》获得怀化市首届艺术节”唱支山歌给党听“铿锵号子山歌擂台赛最佳表演奖；“红星耀黔阳”沅城会议纪念馆成功开馆对外开放，高庙遗址获评“湖南省十大考古发现、湖南省十大网络人气考古发现”，安江农校纪念园获评怀化市第一批清廉文化教育基地。</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是旅游链条逐步完善。注册成立了洪江市盈科文化旅游公司、镡城山水旅行社、海外旅行社洪江市门市部，签订了地接引流协议。有序推进张家界玩美假期旅游有限公司在茶溪柑橘博览园旅游商品购物店的建设。</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是文旅工作获强力抓手。成立了洪江市全域旅游工作委员会，由市委书记任主任、市长任副主任，统筹全市文旅产业发展；正式出台了《洪江市旅游产业发展扶持奖励暂行办法》，已上市政府常务会审议并通过《洪江市关于加快推动全市生态文化旅游产业高质量跨越式发展的意见》；成立了洪江市镡城山水文化旅游有限责任公司，促进全市文化和旅游事业发展。</w:t>
      </w:r>
    </w:p>
    <w:p>
      <w:pPr>
        <w:snapToGrid w:val="0"/>
        <w:spacing w:line="520" w:lineRule="exact"/>
        <w:ind w:firstLine="640" w:firstLineChars="200"/>
        <w:rPr>
          <w:rFonts w:hint="eastAsia" w:ascii="仿宋" w:hAnsi="仿宋" w:eastAsia="仿宋" w:cs="仿宋"/>
          <w:sz w:val="32"/>
          <w:szCs w:val="32"/>
        </w:rPr>
      </w:pPr>
      <w:bookmarkStart w:id="1" w:name="YS060102"/>
      <w:r>
        <w:rPr>
          <w:rFonts w:hint="eastAsia" w:ascii="仿宋" w:hAnsi="仿宋" w:eastAsia="仿宋" w:cs="仿宋"/>
          <w:sz w:val="32"/>
          <w:szCs w:val="32"/>
        </w:rPr>
        <w:t>二、收入支出预算执行情况分析</w:t>
      </w:r>
    </w:p>
    <w:bookmarkEnd w:id="1"/>
    <w:p>
      <w:pPr>
        <w:snapToGri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（一）收入支出预算安排情况。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包括单位收入、支出年初预算安排情况，与上年对比情况及增减变动原因。</w:t>
      </w:r>
    </w:p>
    <w:p>
      <w:pPr>
        <w:widowControl/>
        <w:ind w:firstLine="640" w:firstLineChars="200"/>
        <w:jc w:val="left"/>
        <w:rPr>
          <w:rFonts w:ascii="仿宋" w:hAnsi="仿宋" w:eastAsia="仿宋" w:cs="仿宋"/>
          <w:color w:val="000000"/>
          <w:sz w:val="32"/>
          <w:szCs w:val="32"/>
        </w:rPr>
      </w:pPr>
      <w:r>
        <w:rPr>
          <w:rFonts w:hint="eastAsia" w:ascii="仿宋" w:hAnsi="仿宋" w:eastAsia="仿宋" w:cs="仿宋"/>
          <w:sz w:val="32"/>
          <w:szCs w:val="32"/>
        </w:rPr>
        <w:t>2021年初预算数417.23万元，其中，一般公共预算拨款417.23万元，</w:t>
      </w:r>
      <w:r>
        <w:rPr>
          <w:rFonts w:hint="eastAsia" w:ascii="仿宋" w:hAnsi="仿宋" w:eastAsia="仿宋" w:cs="仿宋"/>
          <w:color w:val="333333"/>
          <w:sz w:val="32"/>
          <w:szCs w:val="32"/>
        </w:rPr>
        <w:t>收入较去年减少128.03万元，</w:t>
      </w:r>
      <w:r>
        <w:rPr>
          <w:rFonts w:hint="eastAsia" w:ascii="仿宋" w:hAnsi="仿宋" w:eastAsia="仿宋" w:cs="仿宋"/>
          <w:sz w:val="32"/>
          <w:szCs w:val="32"/>
        </w:rPr>
        <w:t>下降23.48%</w:t>
      </w:r>
      <w:r>
        <w:rPr>
          <w:rFonts w:hint="eastAsia" w:ascii="仿宋" w:hAnsi="仿宋" w:eastAsia="仿宋" w:cs="仿宋"/>
          <w:color w:val="333333"/>
          <w:sz w:val="32"/>
          <w:szCs w:val="32"/>
        </w:rPr>
        <w:t>减少的主要原因人</w:t>
      </w:r>
      <w:r>
        <w:rPr>
          <w:rFonts w:hint="eastAsia" w:ascii="仿宋" w:hAnsi="仿宋" w:eastAsia="仿宋" w:cs="仿宋"/>
          <w:color w:val="000000"/>
          <w:sz w:val="32"/>
          <w:szCs w:val="32"/>
        </w:rPr>
        <w:t>员调整和文化、体育、旅游活动减少。由于机构合并，人员减少；工作职能的划转，相关经费减少；根据要求，继续压减一般性支出经费。</w:t>
      </w:r>
    </w:p>
    <w:p>
      <w:pPr>
        <w:snapToGrid w:val="0"/>
        <w:spacing w:line="520" w:lineRule="exact"/>
        <w:rPr>
          <w:rFonts w:hint="eastAsia" w:ascii="仿宋" w:hAnsi="仿宋" w:eastAsia="仿宋" w:cs="仿宋"/>
          <w:b/>
          <w:sz w:val="32"/>
          <w:szCs w:val="32"/>
        </w:rPr>
      </w:pPr>
      <w:r>
        <w:rPr>
          <w:rFonts w:hint="eastAsia" w:ascii="仿宋" w:hAnsi="仿宋" w:eastAsia="仿宋" w:cs="仿宋"/>
          <w:b/>
          <w:sz w:val="32"/>
          <w:szCs w:val="32"/>
        </w:rPr>
        <w:t>（二）收入支出预算执行情况。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当年收入支出预算执行基本情况，与上年度对比情况，包括增减绝对值与幅度，增减变动主要原因</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文体局2021年预算收入支出执行2149.34万元，2020年共完成预算收入支出执行2012.01万元同比增加6.39%。（增加原因：增加了文物保护古建筑项目的拔款。</w:t>
      </w:r>
    </w:p>
    <w:p>
      <w:pPr>
        <w:pStyle w:val="7"/>
        <w:ind w:firstLine="640" w:firstLineChars="200"/>
        <w:rPr>
          <w:rFonts w:hint="eastAsia" w:ascii="仿宋" w:hAnsi="仿宋" w:eastAsia="仿宋" w:cs="仿宋"/>
          <w:sz w:val="32"/>
          <w:szCs w:val="32"/>
        </w:rPr>
      </w:pPr>
    </w:p>
    <w:p>
      <w:pPr>
        <w:snapToGrid w:val="0"/>
        <w:spacing w:line="520" w:lineRule="exact"/>
        <w:rPr>
          <w:rFonts w:hint="eastAsia" w:ascii="仿宋" w:hAnsi="仿宋" w:eastAsia="仿宋" w:cs="仿宋"/>
          <w:b/>
          <w:sz w:val="32"/>
          <w:szCs w:val="32"/>
        </w:rPr>
      </w:pPr>
      <w:r>
        <w:rPr>
          <w:rFonts w:hint="eastAsia" w:ascii="仿宋" w:hAnsi="仿宋" w:eastAsia="仿宋" w:cs="仿宋"/>
          <w:b/>
          <w:sz w:val="32"/>
          <w:szCs w:val="32"/>
        </w:rPr>
        <w:t>1．收入支出与预算对比分析。</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（1）预、决算差异情况</w:t>
      </w:r>
    </w:p>
    <w:p>
      <w:pPr>
        <w:pStyle w:val="7"/>
        <w:ind w:firstLine="640" w:firstLineChars="200"/>
        <w:rPr>
          <w:rFonts w:hint="eastAsia" w:ascii="仿宋" w:hAnsi="仿宋" w:eastAsia="仿宋" w:cs="仿宋"/>
          <w:sz w:val="32"/>
          <w:szCs w:val="32"/>
        </w:rPr>
      </w:pPr>
      <w:r>
        <w:rPr>
          <w:rFonts w:hint="eastAsia" w:ascii="仿宋" w:hAnsi="仿宋" w:eastAsia="仿宋" w:cs="仿宋"/>
          <w:sz w:val="32"/>
          <w:szCs w:val="32"/>
        </w:rPr>
        <w:t>2021年度财政拨款收支年初预算数为471.23万元，收支决算数为2149.34万元，完成年初预算的456.11%。本年支出合计2149.34万元，其中：基本支出548.27万元，占25.51%；项目支出1601.07万元，占74.49%；上缴上级支出0万元，占0%；经营支出0万元，占0%；对附属单位补助支出0万元，占0%。</w:t>
      </w:r>
    </w:p>
    <w:p>
      <w:pPr>
        <w:pStyle w:val="7"/>
        <w:rPr>
          <w:rFonts w:hint="eastAsia" w:ascii="仿宋" w:hAnsi="仿宋" w:eastAsia="仿宋" w:cs="仿宋"/>
          <w:sz w:val="32"/>
          <w:szCs w:val="32"/>
        </w:rPr>
      </w:pPr>
      <w:r>
        <w:rPr>
          <w:rFonts w:hint="eastAsia" w:ascii="仿宋" w:hAnsi="仿宋" w:eastAsia="仿宋" w:cs="仿宋"/>
          <w:sz w:val="32"/>
          <w:szCs w:val="32"/>
        </w:rPr>
        <w:t>（2）差异原因分析。</w:t>
      </w:r>
    </w:p>
    <w:p>
      <w:pPr>
        <w:pStyle w:val="7"/>
        <w:ind w:firstLine="800" w:firstLineChars="250"/>
        <w:rPr>
          <w:rFonts w:hint="eastAsia" w:ascii="仿宋" w:hAnsi="仿宋" w:eastAsia="仿宋" w:cs="仿宋"/>
          <w:sz w:val="32"/>
          <w:szCs w:val="32"/>
        </w:rPr>
      </w:pPr>
      <w:r>
        <w:rPr>
          <w:rFonts w:hint="eastAsia" w:ascii="仿宋" w:hAnsi="仿宋" w:eastAsia="仿宋" w:cs="仿宋"/>
          <w:sz w:val="32"/>
          <w:szCs w:val="32"/>
        </w:rPr>
        <w:t>1、文化旅游体育与传媒支出（类） 文化和旅游（款）行政运行（项）</w:t>
      </w:r>
    </w:p>
    <w:p>
      <w:pPr>
        <w:pStyle w:val="7"/>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年初预算为359.14万元，支出决算为2005.61万元，完成年初预算的558.45%，决算数大于年初预算数的主要原因是：增加了文物保护古建筑项目的拔款。</w:t>
      </w:r>
    </w:p>
    <w:p>
      <w:pPr>
        <w:pStyle w:val="7"/>
        <w:numPr>
          <w:ilvl w:val="0"/>
          <w:numId w:val="1"/>
        </w:numPr>
        <w:ind w:firstLine="960" w:firstLineChars="300"/>
        <w:rPr>
          <w:rFonts w:hint="eastAsia" w:ascii="仿宋" w:hAnsi="仿宋" w:eastAsia="仿宋" w:cs="仿宋"/>
          <w:sz w:val="32"/>
          <w:szCs w:val="32"/>
        </w:rPr>
      </w:pPr>
      <w:r>
        <w:rPr>
          <w:rFonts w:hint="eastAsia" w:ascii="仿宋" w:hAnsi="仿宋" w:eastAsia="仿宋" w:cs="仿宋"/>
          <w:sz w:val="32"/>
          <w:szCs w:val="32"/>
        </w:rPr>
        <w:t>社会保障和就业支出（类）  行政事业单位养老支出（款）职业年金缴费（项）</w:t>
      </w:r>
    </w:p>
    <w:p>
      <w:pPr>
        <w:pStyle w:val="7"/>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年初预算为60.45万元，支出决算为113.91万元，完成年初预算的139.15%，决算数大于年初预算数的主要原因是：抚恤金没有做预算增加追加指标</w:t>
      </w:r>
    </w:p>
    <w:p>
      <w:pPr>
        <w:pStyle w:val="7"/>
        <w:numPr>
          <w:ilvl w:val="0"/>
          <w:numId w:val="1"/>
        </w:numPr>
        <w:ind w:firstLine="960" w:firstLineChars="300"/>
        <w:rPr>
          <w:rFonts w:hint="eastAsia" w:ascii="仿宋" w:hAnsi="仿宋" w:eastAsia="仿宋" w:cs="仿宋"/>
          <w:sz w:val="32"/>
          <w:szCs w:val="32"/>
        </w:rPr>
      </w:pPr>
      <w:r>
        <w:rPr>
          <w:rFonts w:hint="eastAsia" w:ascii="仿宋" w:hAnsi="仿宋" w:eastAsia="仿宋" w:cs="仿宋"/>
          <w:sz w:val="32"/>
          <w:szCs w:val="32"/>
        </w:rPr>
        <w:t>住房保障支出（类）  住房改革支出（款）住房公积金（项）</w:t>
      </w:r>
    </w:p>
    <w:p>
      <w:pPr>
        <w:pStyle w:val="7"/>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年初预算为30.23万元，支出决算为29.83万元，完成年初预算的98.68%，决算数小于年初预算数的主要原因是：人员调出资金减少</w:t>
      </w:r>
    </w:p>
    <w:p>
      <w:pPr>
        <w:snapToGrid w:val="0"/>
        <w:spacing w:line="520" w:lineRule="exact"/>
        <w:rPr>
          <w:rFonts w:hint="eastAsia" w:ascii="仿宋" w:hAnsi="仿宋" w:eastAsia="仿宋" w:cs="仿宋"/>
          <w:b/>
          <w:sz w:val="32"/>
          <w:szCs w:val="32"/>
        </w:rPr>
      </w:pPr>
      <w:r>
        <w:rPr>
          <w:rFonts w:hint="eastAsia" w:ascii="仿宋" w:hAnsi="仿宋" w:eastAsia="仿宋" w:cs="仿宋"/>
          <w:b/>
          <w:sz w:val="32"/>
          <w:szCs w:val="32"/>
        </w:rPr>
        <w:t>2．收入支出结构分析。</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（1）各项收入占总收入的比重，各项支出占总支出的比重。</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年支出合计2149.34万元，其中：基本支出548.27万元，占总支出25.51%；项目支出1601.07万元，占总支出74.49%；主要用于以下方面：文化体育与传媒650.18万元，占总支出30.25%：文物支出1180.43万元，占总支出54.92%；体育支出175万元，占总支出8.14%；社会保障支出51.77万元，占总支出2.41%；抚恤支出35.97占总支出1.67%；住房公积29.83万元，占总支出1.39%</w:t>
      </w:r>
    </w:p>
    <w:p>
      <w:pPr>
        <w:pStyle w:val="7"/>
        <w:ind w:firstLine="320" w:firstLineChars="100"/>
        <w:rPr>
          <w:rFonts w:hint="eastAsia" w:ascii="仿宋" w:hAnsi="仿宋" w:eastAsia="仿宋" w:cs="仿宋"/>
          <w:sz w:val="32"/>
          <w:szCs w:val="32"/>
        </w:rPr>
      </w:pPr>
      <w:r>
        <w:rPr>
          <w:rFonts w:hint="eastAsia" w:ascii="仿宋" w:hAnsi="仿宋" w:eastAsia="仿宋" w:cs="仿宋"/>
          <w:sz w:val="32"/>
          <w:szCs w:val="32"/>
        </w:rPr>
        <w:t>（2）收入支出与上年度对比情况及原因分析</w:t>
      </w:r>
    </w:p>
    <w:p>
      <w:pPr>
        <w:widowControl/>
        <w:ind w:firstLine="960" w:firstLineChars="300"/>
        <w:jc w:val="left"/>
        <w:rPr>
          <w:rFonts w:ascii="仿宋" w:hAnsi="仿宋" w:eastAsia="仿宋" w:cs="仿宋"/>
          <w:color w:val="000000"/>
          <w:sz w:val="32"/>
          <w:szCs w:val="32"/>
        </w:rPr>
      </w:pPr>
      <w:r>
        <w:rPr>
          <w:rFonts w:hint="eastAsia" w:ascii="仿宋" w:hAnsi="仿宋" w:eastAsia="仿宋" w:cs="仿宋"/>
          <w:sz w:val="32"/>
          <w:szCs w:val="32"/>
        </w:rPr>
        <w:t>2021年度财政拨款收、支总计2149.34万元，与2020年相比，财政增加137.33万元,增加6.39%，增加原因：增加了文物保护古建筑项目的拔款。</w:t>
      </w:r>
    </w:p>
    <w:p>
      <w:pPr>
        <w:snapToGrid w:val="0"/>
        <w:spacing w:line="520" w:lineRule="exact"/>
        <w:rPr>
          <w:rFonts w:hint="eastAsia" w:ascii="仿宋" w:hAnsi="仿宋" w:eastAsia="仿宋" w:cs="仿宋"/>
          <w:b/>
          <w:sz w:val="32"/>
          <w:szCs w:val="32"/>
        </w:rPr>
      </w:pPr>
      <w:r>
        <w:rPr>
          <w:rFonts w:hint="eastAsia" w:ascii="仿宋" w:hAnsi="仿宋" w:eastAsia="仿宋" w:cs="仿宋"/>
          <w:b/>
          <w:sz w:val="32"/>
          <w:szCs w:val="32"/>
        </w:rPr>
        <w:t>3．支出按经济分类科目分析。</w:t>
      </w:r>
    </w:p>
    <w:p>
      <w:pPr>
        <w:pStyle w:val="7"/>
        <w:ind w:firstLine="800" w:firstLineChars="250"/>
        <w:rPr>
          <w:rFonts w:hint="eastAsia" w:ascii="仿宋" w:hAnsi="仿宋" w:eastAsia="仿宋" w:cs="仿宋"/>
          <w:sz w:val="32"/>
          <w:szCs w:val="32"/>
        </w:rPr>
      </w:pPr>
      <w:r>
        <w:rPr>
          <w:rFonts w:hint="eastAsia" w:ascii="仿宋" w:hAnsi="仿宋" w:eastAsia="仿宋" w:cs="仿宋"/>
          <w:sz w:val="32"/>
          <w:szCs w:val="32"/>
        </w:rPr>
        <w:t>“三公”经费财政拨款支出预算为8万元，支出决算为5.65万元，完成预算的70.63%，其中：</w:t>
      </w:r>
    </w:p>
    <w:p>
      <w:pPr>
        <w:pStyle w:val="7"/>
        <w:ind w:firstLine="640" w:firstLineChars="200"/>
        <w:rPr>
          <w:rFonts w:hint="eastAsia" w:ascii="仿宋" w:hAnsi="仿宋" w:eastAsia="仿宋" w:cs="仿宋"/>
          <w:sz w:val="32"/>
          <w:szCs w:val="32"/>
        </w:rPr>
      </w:pPr>
      <w:r>
        <w:rPr>
          <w:rFonts w:hint="eastAsia" w:ascii="仿宋" w:hAnsi="仿宋" w:eastAsia="仿宋" w:cs="仿宋"/>
          <w:sz w:val="32"/>
          <w:szCs w:val="32"/>
        </w:rPr>
        <w:t>因公出国（境）费支出预算为0万元，</w:t>
      </w:r>
    </w:p>
    <w:p>
      <w:pPr>
        <w:widowControl/>
        <w:ind w:firstLine="640" w:firstLineChars="200"/>
        <w:rPr>
          <w:rFonts w:hint="eastAsia" w:ascii="仿宋" w:hAnsi="仿宋" w:eastAsia="仿宋" w:cs="仿宋"/>
          <w:color w:val="333333"/>
          <w:sz w:val="32"/>
          <w:szCs w:val="32"/>
        </w:rPr>
      </w:pPr>
      <w:r>
        <w:rPr>
          <w:rFonts w:hint="eastAsia" w:ascii="仿宋" w:hAnsi="仿宋" w:eastAsia="仿宋" w:cs="仿宋"/>
          <w:sz w:val="32"/>
          <w:szCs w:val="32"/>
        </w:rPr>
        <w:t>公务接待费支出预算为8万元，支出决算为5.65万元，完成预算的70.63%，决算数小于年初预算数的主要原因是</w:t>
      </w:r>
      <w:r>
        <w:rPr>
          <w:rFonts w:hint="eastAsia" w:ascii="仿宋" w:hAnsi="仿宋" w:eastAsia="仿宋" w:cs="仿宋"/>
          <w:kern w:val="0"/>
          <w:sz w:val="32"/>
          <w:szCs w:val="32"/>
        </w:rPr>
        <w:t>本单位严格执行中央、省市厉行节约的各项规定，并通过定期通报“三公”经费支出情况，加强内部监督管理。</w:t>
      </w:r>
      <w:r>
        <w:rPr>
          <w:rFonts w:hint="eastAsia" w:ascii="仿宋" w:hAnsi="仿宋" w:eastAsia="仿宋" w:cs="仿宋"/>
          <w:sz w:val="32"/>
          <w:szCs w:val="32"/>
        </w:rPr>
        <w:t>与上年相比增加3.1万元，增加121%,增加的主要原因是</w:t>
      </w:r>
      <w:r>
        <w:rPr>
          <w:rFonts w:hint="eastAsia" w:ascii="仿宋" w:hAnsi="仿宋" w:eastAsia="仿宋" w:cs="仿宋"/>
          <w:color w:val="333333"/>
          <w:sz w:val="32"/>
          <w:szCs w:val="32"/>
        </w:rPr>
        <w:t>新增项目，接待来人增加</w:t>
      </w:r>
    </w:p>
    <w:p>
      <w:pPr>
        <w:pStyle w:val="7"/>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公务用车购置费及运行维护费支出预算为0万元，</w:t>
      </w:r>
    </w:p>
    <w:p>
      <w:pPr>
        <w:pStyle w:val="7"/>
        <w:rPr>
          <w:rFonts w:hint="eastAsia" w:ascii="仿宋" w:hAnsi="仿宋" w:eastAsia="仿宋" w:cs="仿宋"/>
          <w:bCs/>
          <w:sz w:val="32"/>
          <w:szCs w:val="32"/>
        </w:rPr>
      </w:pPr>
      <w:r>
        <w:rPr>
          <w:rFonts w:hint="eastAsia" w:ascii="仿宋" w:hAnsi="仿宋" w:eastAsia="仿宋" w:cs="仿宋"/>
          <w:bCs/>
          <w:sz w:val="32"/>
          <w:szCs w:val="32"/>
        </w:rPr>
        <w:t>二、“三公”经费财政拨款支出决算具体情况说明</w:t>
      </w:r>
    </w:p>
    <w:p>
      <w:pPr>
        <w:pStyle w:val="7"/>
        <w:ind w:firstLine="640" w:firstLineChars="200"/>
        <w:rPr>
          <w:rFonts w:hint="eastAsia" w:ascii="仿宋" w:hAnsi="仿宋" w:eastAsia="仿宋" w:cs="仿宋"/>
          <w:sz w:val="32"/>
          <w:szCs w:val="32"/>
        </w:rPr>
      </w:pPr>
      <w:r>
        <w:rPr>
          <w:rFonts w:hint="eastAsia" w:ascii="仿宋" w:hAnsi="仿宋" w:eastAsia="仿宋" w:cs="仿宋"/>
          <w:sz w:val="32"/>
          <w:szCs w:val="32"/>
        </w:rPr>
        <w:t>2021年度“三公”经费财政拨款支出决算中，公务接待费支出决算5.65万元，占70.63%,因公出国（境）费支出决算0万元，占0%,公务用车购置费及运行维护费支出决算0万元，占0%。其中：</w:t>
      </w:r>
    </w:p>
    <w:p>
      <w:pPr>
        <w:pStyle w:val="7"/>
        <w:ind w:firstLine="640" w:firstLineChars="200"/>
        <w:rPr>
          <w:rFonts w:hint="eastAsia" w:ascii="仿宋" w:hAnsi="仿宋" w:eastAsia="仿宋" w:cs="仿宋"/>
          <w:b/>
          <w:sz w:val="32"/>
          <w:szCs w:val="32"/>
        </w:rPr>
      </w:pPr>
      <w:r>
        <w:rPr>
          <w:rFonts w:hint="eastAsia" w:ascii="仿宋" w:hAnsi="仿宋" w:eastAsia="仿宋" w:cs="仿宋"/>
          <w:sz w:val="32"/>
          <w:szCs w:val="32"/>
        </w:rPr>
        <w:t>1、因公出国（境）费支出决算为0万元，全年安排因公出国（境）团组0个，累计0人次,开支内容包括：</w:t>
      </w:r>
    </w:p>
    <w:p>
      <w:pPr>
        <w:pStyle w:val="7"/>
        <w:ind w:firstLine="800" w:firstLineChars="250"/>
        <w:rPr>
          <w:rFonts w:hint="eastAsia" w:ascii="仿宋" w:hAnsi="仿宋" w:eastAsia="仿宋" w:cs="仿宋"/>
          <w:sz w:val="32"/>
          <w:szCs w:val="32"/>
        </w:rPr>
      </w:pPr>
      <w:r>
        <w:rPr>
          <w:rFonts w:hint="eastAsia" w:ascii="仿宋" w:hAnsi="仿宋" w:eastAsia="仿宋" w:cs="仿宋"/>
          <w:sz w:val="32"/>
          <w:szCs w:val="32"/>
        </w:rPr>
        <w:t>2、公务接待费支出决算为5.65万元，全年共接待来访团组135个、来宾405人次，主要是发展旅游事业发生的接待支出。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3、公务用车购置费及运行维护费支出决算为0万元，其中：公务用车购置费0万元，0）务用车0辆，公务用车运行维护费0万元，截止2020年12月31日，我单位开支财政拨款的公务用车保有量为0辆。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（2）会议费支出情况：</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2021年本部门开支会议费0.25万元，与上年同相比减少0.39万元。用于召开2021年度洪江市文化工作业务培训会议，人均支出50元，内容为文化工作业务培训会议；开支培训费0.25万元，用于用餐、住宿、资料。</w:t>
      </w:r>
    </w:p>
    <w:p>
      <w:pPr>
        <w:snapToGrid w:val="0"/>
        <w:spacing w:line="520" w:lineRule="exact"/>
        <w:rPr>
          <w:rFonts w:hint="eastAsia" w:ascii="仿宋" w:hAnsi="仿宋" w:eastAsia="仿宋" w:cs="仿宋"/>
          <w:sz w:val="32"/>
          <w:szCs w:val="32"/>
        </w:rPr>
      </w:pPr>
      <w:r>
        <w:rPr>
          <w:rFonts w:hint="eastAsia" w:ascii="仿宋" w:hAnsi="仿宋" w:eastAsia="仿宋" w:cs="仿宋"/>
          <w:sz w:val="32"/>
          <w:szCs w:val="32"/>
        </w:rPr>
        <w:t>（3）培训费支出情况：无</w:t>
      </w:r>
    </w:p>
    <w:p>
      <w:pPr>
        <w:snapToGrid w:val="0"/>
        <w:spacing w:line="520" w:lineRule="exact"/>
        <w:rPr>
          <w:rFonts w:hint="eastAsia" w:ascii="仿宋" w:hAnsi="仿宋" w:eastAsia="仿宋" w:cs="仿宋"/>
          <w:color w:val="000000"/>
          <w:kern w:val="0"/>
          <w:sz w:val="32"/>
          <w:szCs w:val="32"/>
        </w:rPr>
      </w:pPr>
      <w:r>
        <w:rPr>
          <w:rFonts w:hint="eastAsia" w:ascii="仿宋" w:hAnsi="仿宋" w:eastAsia="仿宋" w:cs="仿宋"/>
          <w:sz w:val="32"/>
          <w:szCs w:val="32"/>
        </w:rPr>
        <w:t>（4）其他对单位影响较大的支出情况。</w:t>
      </w:r>
    </w:p>
    <w:p>
      <w:pPr>
        <w:ind w:firstLine="480" w:firstLineChars="15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1、机关运行经费支出情况</w:t>
      </w:r>
    </w:p>
    <w:p>
      <w:pPr>
        <w:ind w:firstLine="640" w:firstLineChars="200"/>
        <w:rPr>
          <w:rFonts w:hint="eastAsia" w:ascii="仿宋" w:hAnsi="仿宋" w:eastAsia="仿宋" w:cs="仿宋"/>
          <w:bCs/>
          <w:color w:val="000000"/>
          <w:kern w:val="0"/>
          <w:sz w:val="32"/>
          <w:szCs w:val="32"/>
        </w:rPr>
      </w:pPr>
      <w:r>
        <w:rPr>
          <w:rFonts w:hint="eastAsia" w:ascii="仿宋" w:hAnsi="仿宋" w:eastAsia="仿宋" w:cs="仿宋"/>
          <w:color w:val="000000"/>
          <w:kern w:val="0"/>
          <w:sz w:val="32"/>
          <w:szCs w:val="32"/>
        </w:rPr>
        <w:t>本部门2021年度机关运行经费支出</w:t>
      </w:r>
      <w:r>
        <w:rPr>
          <w:rFonts w:hint="eastAsia" w:ascii="仿宋" w:hAnsi="仿宋" w:eastAsia="仿宋" w:cs="仿宋"/>
          <w:sz w:val="32"/>
          <w:szCs w:val="32"/>
        </w:rPr>
        <w:t>95.79</w:t>
      </w:r>
      <w:r>
        <w:rPr>
          <w:rFonts w:hint="eastAsia" w:ascii="仿宋" w:hAnsi="仿宋" w:eastAsia="仿宋" w:cs="仿宋"/>
          <w:color w:val="000000"/>
          <w:kern w:val="0"/>
          <w:sz w:val="32"/>
          <w:szCs w:val="32"/>
        </w:rPr>
        <w:t>万元，比年初预算数增加6.74.万元，增加</w:t>
      </w:r>
      <w:r>
        <w:rPr>
          <w:rFonts w:hint="eastAsia" w:ascii="仿宋" w:hAnsi="仿宋" w:eastAsia="仿宋" w:cs="仿宋"/>
          <w:sz w:val="32"/>
          <w:szCs w:val="32"/>
        </w:rPr>
        <w:t>7.03</w:t>
      </w:r>
      <w:r>
        <w:rPr>
          <w:rFonts w:hint="eastAsia" w:ascii="仿宋" w:hAnsi="仿宋" w:eastAsia="仿宋" w:cs="仿宋"/>
          <w:color w:val="000000"/>
          <w:kern w:val="0"/>
          <w:sz w:val="32"/>
          <w:szCs w:val="32"/>
        </w:rPr>
        <w:t>%。主要原因是：</w:t>
      </w:r>
      <w:r>
        <w:rPr>
          <w:rFonts w:hint="eastAsia" w:ascii="仿宋" w:hAnsi="仿宋" w:eastAsia="仿宋" w:cs="仿宋"/>
          <w:sz w:val="32"/>
          <w:szCs w:val="32"/>
        </w:rPr>
        <w:t>预算金额不足增加追加指标</w:t>
      </w:r>
      <w:r>
        <w:rPr>
          <w:rFonts w:hint="eastAsia" w:ascii="仿宋" w:hAnsi="仿宋" w:eastAsia="仿宋" w:cs="仿宋"/>
          <w:bCs/>
          <w:color w:val="000000"/>
          <w:kern w:val="0"/>
          <w:sz w:val="32"/>
          <w:szCs w:val="32"/>
        </w:rPr>
        <w:t>2、政府采购支出情况</w:t>
      </w:r>
    </w:p>
    <w:p>
      <w:pPr>
        <w:snapToGrid w:val="0"/>
        <w:spacing w:line="520" w:lineRule="exact"/>
        <w:rPr>
          <w:rFonts w:hint="eastAsia" w:ascii="仿宋" w:hAnsi="仿宋" w:eastAsia="仿宋" w:cs="仿宋"/>
          <w:sz w:val="32"/>
          <w:szCs w:val="32"/>
        </w:rPr>
      </w:pPr>
      <w:r>
        <w:rPr>
          <w:rFonts w:hint="eastAsia" w:ascii="仿宋" w:hAnsi="仿宋" w:eastAsia="仿宋" w:cs="仿宋"/>
          <w:color w:val="000000"/>
          <w:kern w:val="0"/>
          <w:sz w:val="32"/>
          <w:szCs w:val="32"/>
        </w:rPr>
        <w:t>本部门2021年度政府采购支出总额</w:t>
      </w:r>
      <w:r>
        <w:rPr>
          <w:rFonts w:hint="eastAsia" w:ascii="仿宋" w:hAnsi="仿宋" w:eastAsia="仿宋" w:cs="仿宋"/>
          <w:bCs/>
          <w:sz w:val="32"/>
          <w:szCs w:val="32"/>
        </w:rPr>
        <w:t>1033.93</w:t>
      </w:r>
      <w:r>
        <w:rPr>
          <w:rFonts w:hint="eastAsia" w:ascii="仿宋" w:hAnsi="仿宋" w:eastAsia="仿宋" w:cs="仿宋"/>
          <w:color w:val="000000"/>
          <w:kern w:val="0"/>
          <w:sz w:val="32"/>
          <w:szCs w:val="32"/>
        </w:rPr>
        <w:t>万元，其中：政府采购货物支出0万元、政府采购工程支出836.83万元、政府采购服务支出</w:t>
      </w:r>
      <w:r>
        <w:rPr>
          <w:rFonts w:hint="eastAsia" w:ascii="仿宋" w:hAnsi="仿宋" w:eastAsia="仿宋" w:cs="仿宋"/>
          <w:bCs/>
          <w:sz w:val="32"/>
          <w:szCs w:val="32"/>
        </w:rPr>
        <w:t>197.1</w:t>
      </w:r>
      <w:r>
        <w:rPr>
          <w:rFonts w:hint="eastAsia" w:ascii="仿宋" w:hAnsi="仿宋" w:eastAsia="仿宋" w:cs="仿宋"/>
          <w:color w:val="000000"/>
          <w:kern w:val="0"/>
          <w:sz w:val="32"/>
          <w:szCs w:val="32"/>
        </w:rPr>
        <w:t>0万元。授予中小企业合同金额863.75万元，占政府采购支出总额的83.54%，其中：授予小微企业合同金额170.18万元，占政府采购支出总额的16.46%。</w:t>
      </w:r>
    </w:p>
    <w:p>
      <w:pPr>
        <w:snapToGrid w:val="0"/>
        <w:spacing w:line="520" w:lineRule="exact"/>
        <w:rPr>
          <w:rFonts w:hint="eastAsia" w:ascii="仿宋" w:hAnsi="仿宋" w:eastAsia="仿宋" w:cs="仿宋"/>
          <w:sz w:val="32"/>
          <w:szCs w:val="32"/>
        </w:rPr>
      </w:pPr>
      <w:r>
        <w:rPr>
          <w:rFonts w:hint="eastAsia" w:ascii="仿宋" w:hAnsi="仿宋" w:eastAsia="仿宋" w:cs="仿宋"/>
          <w:sz w:val="32"/>
          <w:szCs w:val="32"/>
        </w:rPr>
        <w:t>（5）重点经济分类支出中存在的问题及改进措施。无</w:t>
      </w:r>
    </w:p>
    <w:p>
      <w:pPr>
        <w:snapToGrid w:val="0"/>
        <w:spacing w:line="520" w:lineRule="exact"/>
        <w:rPr>
          <w:rFonts w:hint="eastAsia" w:ascii="仿宋" w:hAnsi="仿宋" w:eastAsia="仿宋" w:cs="仿宋"/>
          <w:b/>
          <w:sz w:val="32"/>
          <w:szCs w:val="32"/>
        </w:rPr>
      </w:pPr>
      <w:r>
        <w:rPr>
          <w:rFonts w:hint="eastAsia" w:ascii="仿宋" w:hAnsi="仿宋" w:eastAsia="仿宋" w:cs="仿宋"/>
          <w:b/>
          <w:sz w:val="32"/>
          <w:szCs w:val="32"/>
        </w:rPr>
        <w:t>4.财政拨款收入、支出分析。</w:t>
      </w:r>
    </w:p>
    <w:p>
      <w:pPr>
        <w:pStyle w:val="7"/>
        <w:ind w:firstLine="640" w:firstLineChars="200"/>
        <w:rPr>
          <w:rFonts w:hint="eastAsia" w:ascii="仿宋" w:hAnsi="仿宋" w:eastAsia="仿宋" w:cs="仿宋"/>
          <w:sz w:val="32"/>
          <w:szCs w:val="32"/>
        </w:rPr>
      </w:pPr>
      <w:r>
        <w:rPr>
          <w:rFonts w:hint="eastAsia" w:ascii="仿宋" w:hAnsi="仿宋" w:eastAsia="仿宋" w:cs="仿宋"/>
          <w:sz w:val="32"/>
          <w:szCs w:val="32"/>
        </w:rPr>
        <w:t>本年收入合计2149.34万元，其中：财政拨款收入2149.34万元，占100%；上级补助收入0万元，占0%；事业收入2149.34万元，占100%；经营收入0万元，占XX%；附属单位上缴收入0万元，占0%；其他收入0万元，占0%。</w:t>
      </w:r>
    </w:p>
    <w:p>
      <w:pPr>
        <w:pStyle w:val="7"/>
        <w:ind w:firstLine="640" w:firstLineChars="200"/>
        <w:rPr>
          <w:rFonts w:hint="eastAsia" w:ascii="仿宋" w:hAnsi="仿宋" w:eastAsia="仿宋" w:cs="仿宋"/>
          <w:sz w:val="32"/>
          <w:szCs w:val="32"/>
        </w:rPr>
      </w:pPr>
      <w:r>
        <w:rPr>
          <w:rFonts w:hint="eastAsia" w:ascii="仿宋" w:hAnsi="仿宋" w:eastAsia="仿宋" w:cs="仿宋"/>
          <w:sz w:val="32"/>
          <w:szCs w:val="32"/>
        </w:rPr>
        <w:t>本年支出合计2149.34万元，其中：基本支出548.27万元，占25.51%；项目支出1601.07万元，占74.49%；上缴上级支出0万元，占0%；经营支出0万元，占0%；对附属单位补助支出0万元，占0%。</w:t>
      </w:r>
    </w:p>
    <w:p>
      <w:pPr>
        <w:snapToGrid w:val="0"/>
        <w:spacing w:line="520" w:lineRule="exact"/>
        <w:rPr>
          <w:rFonts w:hint="eastAsia" w:ascii="仿宋" w:hAnsi="仿宋" w:eastAsia="仿宋" w:cs="仿宋"/>
          <w:b/>
          <w:sz w:val="32"/>
          <w:szCs w:val="32"/>
        </w:rPr>
      </w:pPr>
      <w:r>
        <w:rPr>
          <w:rFonts w:hint="eastAsia" w:ascii="仿宋" w:hAnsi="仿宋" w:eastAsia="仿宋" w:cs="仿宋"/>
          <w:b/>
          <w:sz w:val="32"/>
          <w:szCs w:val="32"/>
        </w:rPr>
        <w:t>5.非财政拨款收入分析。</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根据报表项目分析非财政拨款收入情况，按照事业收入、经营收入和其他收入等分析具体构成和特点。</w:t>
      </w:r>
    </w:p>
    <w:p>
      <w:pPr>
        <w:snapToGri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（三）年末结转和结余情况。无</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1．根据报表项目分财政拨款结转结余和非财政拨款结转结余分析年末结转结余总体情况。按照资金来源、资金性质分析，特别是项目经费结转和结余情况。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2．消化结转和结余的对策。无</w:t>
      </w:r>
    </w:p>
    <w:p>
      <w:pPr>
        <w:snapToGrid w:val="0"/>
        <w:spacing w:line="520" w:lineRule="exact"/>
        <w:ind w:firstLine="643" w:firstLineChars="200"/>
        <w:rPr>
          <w:rFonts w:hint="eastAsia" w:ascii="仿宋" w:hAnsi="仿宋" w:eastAsia="仿宋" w:cs="仿宋"/>
          <w:b/>
          <w:sz w:val="32"/>
          <w:szCs w:val="32"/>
        </w:rPr>
      </w:pPr>
      <w:bookmarkStart w:id="2" w:name="YS060103"/>
      <w:r>
        <w:rPr>
          <w:rFonts w:hint="eastAsia" w:ascii="仿宋" w:hAnsi="仿宋" w:eastAsia="仿宋" w:cs="仿宋"/>
          <w:b/>
          <w:sz w:val="32"/>
          <w:szCs w:val="32"/>
        </w:rPr>
        <w:t>（四）与预算支出相关的其他指标分析。无</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对资产、负债信息进行分析，主要分析与上年度对比情况，包括增减绝对值与幅度，增减变动主要原因。</w:t>
      </w:r>
    </w:p>
    <w:p>
      <w:pPr>
        <w:snapToGri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（五）绩效目标完成情况。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1.概述项目绩效目标完成情况。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2.概述本单位整体支出绩效目标实现情况（如有）。</w:t>
      </w:r>
    </w:p>
    <w:p>
      <w:pPr>
        <w:snapToGri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（六）当年预算执行及绩效管理中存在问题、原因及改进措施。无</w:t>
      </w:r>
    </w:p>
    <w:bookmarkEnd w:id="2"/>
    <w:p>
      <w:pPr>
        <w:snapToGrid w:val="0"/>
        <w:spacing w:line="520" w:lineRule="exact"/>
        <w:ind w:firstLine="640" w:firstLineChars="200"/>
        <w:rPr>
          <w:rFonts w:hint="eastAsia" w:ascii="仿宋" w:hAnsi="仿宋" w:eastAsia="仿宋" w:cs="仿宋"/>
          <w:sz w:val="32"/>
          <w:szCs w:val="32"/>
        </w:rPr>
      </w:pPr>
      <w:bookmarkStart w:id="3" w:name="YS060104"/>
      <w:r>
        <w:rPr>
          <w:rFonts w:hint="eastAsia" w:ascii="仿宋" w:hAnsi="仿宋" w:eastAsia="仿宋" w:cs="仿宋"/>
          <w:sz w:val="32"/>
          <w:szCs w:val="32"/>
        </w:rPr>
        <w:t>三、本年度部门决算等财务工作开展情况</w:t>
      </w:r>
    </w:p>
    <w:bookmarkEnd w:id="3"/>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（一）本单位财务管理、绩效管理、决算组织、编报、审核情况。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（二）本单位决算及绩效信息公开工作开展情况。</w:t>
      </w:r>
    </w:p>
    <w:p>
      <w:pPr>
        <w:snapToGrid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（三）对部门决算管理工作的意见和建议。</w:t>
      </w:r>
    </w:p>
    <w:p>
      <w:pPr>
        <w:ind w:firstLine="709"/>
        <w:rPr>
          <w:rFonts w:hint="eastAsia" w:ascii="仿宋" w:hAnsi="仿宋" w:eastAsia="仿宋" w:cs="仿宋"/>
          <w:color w:val="000000"/>
          <w:sz w:val="32"/>
          <w:szCs w:val="32"/>
        </w:rPr>
      </w:pPr>
      <w:r>
        <w:rPr>
          <w:rFonts w:hint="eastAsia" w:ascii="仿宋" w:hAnsi="仿宋" w:eastAsia="仿宋" w:cs="仿宋"/>
          <w:color w:val="000000"/>
          <w:sz w:val="32"/>
          <w:szCs w:val="32"/>
        </w:rPr>
        <w:t>1.自行增加的审核公式和模板，请说明设置依据。</w:t>
      </w:r>
    </w:p>
    <w:p>
      <w:pPr>
        <w:ind w:firstLine="709"/>
        <w:rPr>
          <w:rFonts w:hint="eastAsia" w:ascii="仿宋" w:hAnsi="仿宋" w:eastAsia="仿宋" w:cs="仿宋"/>
          <w:color w:val="000000"/>
          <w:sz w:val="32"/>
          <w:szCs w:val="32"/>
        </w:rPr>
      </w:pPr>
      <w:r>
        <w:rPr>
          <w:rFonts w:hint="eastAsia" w:ascii="仿宋" w:hAnsi="仿宋" w:eastAsia="仿宋" w:cs="仿宋"/>
          <w:color w:val="000000"/>
          <w:sz w:val="32"/>
          <w:szCs w:val="32"/>
        </w:rPr>
        <w:t>2.对部门决算报表修订设计的意见和建议，包括表样、指标设置、软件、审核公式、模板和编审问答等，请列出并说明修改意见。</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3.对部门决算其他管理工作的建议。例如对加强部门决算数据分析利用工作、部门决算信息化建设等建议。</w:t>
      </w:r>
    </w:p>
    <w:p>
      <w:pPr>
        <w:widowControl/>
        <w:spacing w:line="480" w:lineRule="auto"/>
        <w:ind w:firstLine="480"/>
        <w:rPr>
          <w:rFonts w:hint="eastAsia" w:ascii="宋体" w:cs="宋体"/>
          <w:kern w:val="0"/>
          <w:szCs w:val="21"/>
        </w:rPr>
      </w:pPr>
    </w:p>
    <w:p>
      <w:pPr>
        <w:widowControl/>
        <w:spacing w:line="480" w:lineRule="auto"/>
        <w:ind w:firstLine="480"/>
        <w:rPr>
          <w:rFonts w:hint="eastAsia" w:ascii="宋体" w:cs="宋体"/>
          <w:kern w:val="0"/>
          <w:szCs w:val="21"/>
        </w:rPr>
      </w:pPr>
    </w:p>
    <w:p>
      <w:pPr>
        <w:widowControl/>
        <w:spacing w:line="480" w:lineRule="auto"/>
        <w:ind w:firstLine="480"/>
        <w:rPr>
          <w:rFonts w:hint="eastAsia" w:ascii="宋体" w:cs="宋体"/>
          <w:kern w:val="0"/>
          <w:szCs w:val="21"/>
        </w:rPr>
      </w:pPr>
    </w:p>
    <w:p>
      <w:pPr>
        <w:widowControl/>
        <w:spacing w:line="480" w:lineRule="auto"/>
        <w:ind w:firstLine="480"/>
        <w:rPr>
          <w:rFonts w:hint="eastAsia" w:ascii="宋体" w:cs="宋体"/>
          <w:kern w:val="0"/>
          <w:szCs w:val="21"/>
        </w:rPr>
      </w:pPr>
    </w:p>
    <w:p>
      <w:pPr>
        <w:widowControl/>
        <w:spacing w:line="480" w:lineRule="auto"/>
        <w:ind w:firstLine="480"/>
        <w:rPr>
          <w:rFonts w:hint="eastAsia" w:ascii="宋体" w:cs="宋体"/>
          <w:kern w:val="0"/>
          <w:szCs w:val="21"/>
        </w:rPr>
      </w:pPr>
    </w:p>
    <w:p>
      <w:pPr>
        <w:widowControl/>
        <w:spacing w:line="480" w:lineRule="auto"/>
        <w:ind w:firstLine="480"/>
        <w:rPr>
          <w:rFonts w:hint="eastAsia" w:ascii="宋体" w:cs="宋体"/>
          <w:kern w:val="0"/>
          <w:szCs w:val="21"/>
        </w:rPr>
      </w:pPr>
    </w:p>
    <w:p>
      <w:pPr>
        <w:widowControl/>
        <w:spacing w:line="480" w:lineRule="auto"/>
        <w:ind w:firstLine="480"/>
        <w:rPr>
          <w:rFonts w:hint="eastAsia" w:ascii="宋体" w:cs="宋体"/>
          <w:kern w:val="0"/>
          <w:szCs w:val="21"/>
        </w:rPr>
      </w:pPr>
    </w:p>
    <w:p>
      <w:pPr>
        <w:pStyle w:val="2"/>
        <w:ind w:firstLine="600"/>
        <w:rPr>
          <w:rFonts w:hint="eastAsia"/>
        </w:rPr>
      </w:pPr>
    </w:p>
    <w:p>
      <w:pPr>
        <w:pStyle w:val="3"/>
        <w:rPr>
          <w:rFonts w:hint="eastAsia"/>
        </w:rPr>
      </w:pPr>
    </w:p>
    <w:p>
      <w:pPr>
        <w:pStyle w:val="4"/>
        <w:rPr>
          <w:rFonts w:hint="eastAsia"/>
        </w:rPr>
      </w:pPr>
    </w:p>
    <w:p>
      <w:pPr>
        <w:rPr>
          <w:rFonts w:hint="eastAsia"/>
        </w:rPr>
      </w:pPr>
    </w:p>
    <w:p>
      <w:pPr>
        <w:pStyle w:val="2"/>
        <w:ind w:firstLine="600"/>
        <w:rPr>
          <w:rFonts w:hint="eastAsia"/>
        </w:rPr>
      </w:pPr>
    </w:p>
    <w:p>
      <w:pPr>
        <w:pStyle w:val="3"/>
        <w:rPr>
          <w:rFonts w:hint="eastAsia"/>
        </w:rPr>
      </w:pPr>
    </w:p>
    <w:p>
      <w:pPr>
        <w:pStyle w:val="4"/>
        <w:rPr>
          <w:rFonts w:hint="eastAsia"/>
        </w:rPr>
      </w:pPr>
    </w:p>
    <w:p>
      <w:pPr>
        <w:rPr>
          <w:rFonts w:hint="eastAsia"/>
        </w:rPr>
      </w:pP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24" w:type="dxa"/>
          <w:left w:w="24" w:type="dxa"/>
          <w:bottom w:w="24" w:type="dxa"/>
          <w:right w:w="24" w:type="dxa"/>
        </w:tblCellMar>
      </w:tblPr>
      <w:tblGrid>
        <w:gridCol w:w="90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12677" w:hRule="atLeast"/>
        </w:trPr>
        <w:tc>
          <w:tcPr>
            <w:tcW w:w="9005" w:type="dxa"/>
            <w:tcBorders>
              <w:top w:val="outset" w:color="000000" w:sz="6" w:space="0"/>
              <w:left w:val="outset" w:color="000000" w:sz="6" w:space="0"/>
              <w:bottom w:val="outset" w:color="000000" w:sz="6" w:space="0"/>
              <w:right w:val="outset" w:color="000000" w:sz="6" w:space="0"/>
            </w:tcBorders>
            <w:noWrap w:val="0"/>
            <w:vAlign w:val="top"/>
          </w:tcPr>
          <w:p>
            <w:pPr>
              <w:widowControl/>
              <w:spacing w:line="480" w:lineRule="auto"/>
              <w:ind w:firstLine="480"/>
              <w:rPr>
                <w:rFonts w:hint="eastAsia" w:ascii="宋体" w:cs="宋体"/>
                <w:kern w:val="0"/>
                <w:szCs w:val="21"/>
              </w:rPr>
            </w:pPr>
            <w:r>
              <w:rPr>
                <w:rFonts w:hint="eastAsia" w:ascii="宋体" w:cs="宋体"/>
                <w:b/>
                <w:bCs/>
                <w:kern w:val="0"/>
                <w:szCs w:val="21"/>
              </w:rPr>
              <w:t>五、评价报告综述（文字部分）</w:t>
            </w:r>
          </w:p>
          <w:p>
            <w:pPr>
              <w:widowControl/>
              <w:spacing w:line="480" w:lineRule="auto"/>
              <w:ind w:firstLine="480"/>
              <w:rPr>
                <w:rFonts w:hint="eastAsia" w:ascii="宋体" w:cs="宋体"/>
                <w:kern w:val="0"/>
                <w:szCs w:val="21"/>
              </w:rPr>
            </w:pPr>
            <w:r>
              <w:rPr>
                <w:rFonts w:hint="eastAsia" w:ascii="宋体" w:cs="宋体"/>
                <w:kern w:val="0"/>
                <w:szCs w:val="21"/>
              </w:rPr>
              <w:t>一、部门（单位）概况</w:t>
            </w:r>
          </w:p>
          <w:p>
            <w:pPr>
              <w:widowControl/>
              <w:spacing w:line="480" w:lineRule="auto"/>
              <w:ind w:firstLine="480"/>
              <w:rPr>
                <w:rFonts w:hint="eastAsia" w:ascii="宋体" w:cs="宋体"/>
                <w:kern w:val="0"/>
                <w:szCs w:val="21"/>
              </w:rPr>
            </w:pPr>
            <w:r>
              <w:rPr>
                <w:rFonts w:hint="eastAsia" w:ascii="宋体" w:cs="宋体"/>
                <w:kern w:val="0"/>
                <w:szCs w:val="21"/>
              </w:rPr>
              <w:t>（一）部门（单位）基本情况</w:t>
            </w:r>
          </w:p>
          <w:p>
            <w:pPr>
              <w:widowControl/>
              <w:spacing w:line="480" w:lineRule="auto"/>
              <w:ind w:firstLine="480"/>
              <w:rPr>
                <w:rFonts w:hint="eastAsia" w:ascii="宋体" w:cs="宋体"/>
                <w:kern w:val="0"/>
                <w:szCs w:val="21"/>
              </w:rPr>
            </w:pPr>
            <w:r>
              <w:rPr>
                <w:rFonts w:hint="eastAsia" w:ascii="宋体" w:cs="宋体"/>
                <w:kern w:val="0"/>
                <w:szCs w:val="21"/>
              </w:rPr>
              <w:t>（二）部门（单位）整体支出规模、使用方向和主要内容、涉及范围等</w:t>
            </w:r>
          </w:p>
          <w:p>
            <w:pPr>
              <w:widowControl/>
              <w:spacing w:line="480" w:lineRule="auto"/>
              <w:ind w:firstLine="480"/>
              <w:rPr>
                <w:rFonts w:hint="eastAsia" w:ascii="宋体" w:cs="宋体"/>
                <w:kern w:val="0"/>
                <w:szCs w:val="21"/>
              </w:rPr>
            </w:pPr>
            <w:r>
              <w:rPr>
                <w:rFonts w:hint="eastAsia" w:ascii="宋体" w:cs="宋体"/>
                <w:kern w:val="0"/>
                <w:szCs w:val="21"/>
              </w:rPr>
              <w:t>二、部门（单位）整体支出管理及使用情况</w:t>
            </w:r>
          </w:p>
          <w:p>
            <w:pPr>
              <w:widowControl/>
              <w:spacing w:line="480" w:lineRule="auto"/>
              <w:ind w:firstLine="480"/>
              <w:rPr>
                <w:rFonts w:hint="eastAsia" w:ascii="宋体" w:cs="宋体"/>
                <w:kern w:val="0"/>
                <w:szCs w:val="21"/>
              </w:rPr>
            </w:pPr>
            <w:r>
              <w:rPr>
                <w:rFonts w:hint="eastAsia" w:ascii="宋体" w:cs="宋体"/>
                <w:kern w:val="0"/>
                <w:szCs w:val="21"/>
              </w:rPr>
              <w:t>（一）基本支出</w:t>
            </w:r>
          </w:p>
          <w:p>
            <w:pPr>
              <w:widowControl/>
              <w:spacing w:line="480" w:lineRule="auto"/>
              <w:ind w:firstLine="480"/>
              <w:rPr>
                <w:rFonts w:hint="eastAsia" w:ascii="宋体" w:cs="宋体"/>
                <w:kern w:val="0"/>
                <w:szCs w:val="21"/>
              </w:rPr>
            </w:pPr>
            <w:r>
              <w:rPr>
                <w:rFonts w:hint="eastAsia" w:ascii="宋体" w:cs="宋体"/>
                <w:kern w:val="0"/>
                <w:szCs w:val="21"/>
              </w:rPr>
              <w:t>（二）专项支出</w:t>
            </w:r>
          </w:p>
          <w:p>
            <w:pPr>
              <w:widowControl/>
              <w:spacing w:line="480" w:lineRule="auto"/>
              <w:ind w:firstLine="480"/>
              <w:rPr>
                <w:rFonts w:hint="eastAsia" w:ascii="宋体" w:cs="宋体"/>
                <w:kern w:val="0"/>
                <w:szCs w:val="21"/>
              </w:rPr>
            </w:pPr>
            <w:r>
              <w:rPr>
                <w:rFonts w:hint="eastAsia" w:ascii="宋体" w:cs="宋体"/>
                <w:kern w:val="0"/>
                <w:szCs w:val="21"/>
              </w:rPr>
              <w:t>1、专项资金安排落实、总投入等情况分析</w:t>
            </w:r>
          </w:p>
          <w:p>
            <w:pPr>
              <w:widowControl/>
              <w:spacing w:line="480" w:lineRule="auto"/>
              <w:ind w:firstLine="480"/>
              <w:rPr>
                <w:rFonts w:hint="eastAsia" w:ascii="宋体" w:cs="宋体"/>
                <w:kern w:val="0"/>
                <w:szCs w:val="21"/>
              </w:rPr>
            </w:pPr>
            <w:r>
              <w:rPr>
                <w:rFonts w:hint="eastAsia" w:ascii="宋体" w:cs="宋体"/>
                <w:kern w:val="0"/>
                <w:szCs w:val="21"/>
              </w:rPr>
              <w:t>2、专项资金实际使用情况分析</w:t>
            </w:r>
          </w:p>
          <w:p>
            <w:pPr>
              <w:widowControl/>
              <w:spacing w:line="480" w:lineRule="auto"/>
              <w:ind w:firstLine="480"/>
              <w:rPr>
                <w:rFonts w:hint="eastAsia" w:ascii="宋体" w:cs="宋体"/>
                <w:kern w:val="0"/>
                <w:szCs w:val="21"/>
              </w:rPr>
            </w:pPr>
            <w:r>
              <w:rPr>
                <w:rFonts w:hint="eastAsia" w:ascii="宋体" w:cs="宋体"/>
                <w:kern w:val="0"/>
                <w:szCs w:val="21"/>
              </w:rPr>
              <w:t>3、专项资金管理情况分析</w:t>
            </w:r>
          </w:p>
          <w:p>
            <w:pPr>
              <w:widowControl/>
              <w:spacing w:line="480" w:lineRule="auto"/>
              <w:ind w:firstLine="480"/>
              <w:rPr>
                <w:rFonts w:hint="eastAsia" w:ascii="宋体" w:cs="宋体"/>
                <w:kern w:val="0"/>
                <w:szCs w:val="21"/>
              </w:rPr>
            </w:pPr>
            <w:r>
              <w:rPr>
                <w:rFonts w:hint="eastAsia" w:ascii="宋体" w:cs="宋体"/>
                <w:kern w:val="0"/>
                <w:szCs w:val="21"/>
              </w:rPr>
              <w:t>三、部门（单位）专项组织实施情况</w:t>
            </w:r>
          </w:p>
          <w:p>
            <w:pPr>
              <w:widowControl/>
              <w:spacing w:line="480" w:lineRule="auto"/>
              <w:ind w:firstLine="480"/>
              <w:rPr>
                <w:rFonts w:hint="eastAsia" w:ascii="宋体" w:cs="宋体"/>
                <w:kern w:val="0"/>
                <w:szCs w:val="21"/>
              </w:rPr>
            </w:pPr>
            <w:r>
              <w:rPr>
                <w:rFonts w:hint="eastAsia" w:ascii="宋体" w:cs="宋体"/>
                <w:kern w:val="0"/>
                <w:szCs w:val="21"/>
              </w:rPr>
              <w:t>（一）专项组织情况分析</w:t>
            </w:r>
          </w:p>
          <w:p>
            <w:pPr>
              <w:widowControl/>
              <w:spacing w:line="480" w:lineRule="auto"/>
              <w:ind w:firstLine="480"/>
              <w:rPr>
                <w:rFonts w:hint="eastAsia" w:ascii="宋体" w:cs="宋体"/>
                <w:kern w:val="0"/>
                <w:szCs w:val="21"/>
              </w:rPr>
            </w:pPr>
            <w:r>
              <w:rPr>
                <w:rFonts w:hint="eastAsia" w:ascii="宋体" w:cs="宋体"/>
                <w:kern w:val="0"/>
                <w:szCs w:val="21"/>
              </w:rPr>
              <w:t>（二）专项管理情况分析</w:t>
            </w:r>
          </w:p>
          <w:p>
            <w:pPr>
              <w:widowControl/>
              <w:spacing w:line="480" w:lineRule="auto"/>
              <w:ind w:firstLine="480"/>
              <w:rPr>
                <w:rFonts w:hint="eastAsia" w:ascii="宋体" w:cs="宋体"/>
                <w:kern w:val="0"/>
                <w:szCs w:val="21"/>
              </w:rPr>
            </w:pPr>
            <w:r>
              <w:rPr>
                <w:rFonts w:hint="eastAsia" w:ascii="宋体" w:cs="宋体"/>
                <w:kern w:val="0"/>
                <w:szCs w:val="21"/>
              </w:rPr>
              <w:t>四、部门（单位）整体支出绩效情况</w:t>
            </w:r>
          </w:p>
          <w:p>
            <w:pPr>
              <w:widowControl/>
              <w:spacing w:line="480" w:lineRule="auto"/>
              <w:ind w:firstLine="480"/>
              <w:rPr>
                <w:rFonts w:hint="eastAsia" w:ascii="宋体" w:cs="宋体"/>
                <w:kern w:val="0"/>
                <w:szCs w:val="21"/>
              </w:rPr>
            </w:pPr>
            <w:r>
              <w:rPr>
                <w:rFonts w:hint="eastAsia" w:ascii="宋体" w:cs="宋体"/>
                <w:kern w:val="0"/>
                <w:szCs w:val="21"/>
              </w:rPr>
              <w:t>五、存在的主要问题</w:t>
            </w:r>
          </w:p>
          <w:p>
            <w:pPr>
              <w:widowControl/>
              <w:spacing w:line="480" w:lineRule="auto"/>
              <w:ind w:firstLine="480"/>
              <w:rPr>
                <w:rFonts w:hint="eastAsia" w:ascii="宋体" w:cs="宋体"/>
                <w:kern w:val="0"/>
                <w:szCs w:val="21"/>
              </w:rPr>
            </w:pPr>
            <w:r>
              <w:rPr>
                <w:rFonts w:hint="eastAsia" w:ascii="宋体" w:cs="宋体"/>
                <w:kern w:val="0"/>
                <w:szCs w:val="21"/>
              </w:rPr>
              <w:t>六、改进措施和有关建议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2598F"/>
    <w:multiLevelType w:val="singleLevel"/>
    <w:tmpl w:val="3812598F"/>
    <w:lvl w:ilvl="0" w:tentative="0">
      <w:start w:val="2"/>
      <w:numFmt w:val="decimal"/>
      <w:suff w:val="nothing"/>
      <w:lvlText w:val="%1、"/>
      <w:lvlJc w:val="left"/>
      <w:pPr>
        <w:ind w:left="-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2U1NjU0NWU3OWJiZDQ2OTYxOTNhZWFkMTU3NDMifQ=="/>
  </w:docVars>
  <w:rsids>
    <w:rsidRoot w:val="7A452930"/>
    <w:rsid w:val="7A45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index 5"/>
    <w:basedOn w:val="1"/>
    <w:next w:val="1"/>
    <w:qFormat/>
    <w:uiPriority w:val="0"/>
    <w:pPr>
      <w:ind w:left="1680"/>
    </w:p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2022-08-26T01:13:00Z</dcterms:created>
  <dc:creator>Administrator</dc:creator>
  <cp:lastModifiedBy>Administrator</cp:lastModifiedBy>
  <dcterms:modified xsi:type="dcterms:W3CDTF">2022-08-26T01:49:13Z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0B10BE4EC3CE45DA93A34EFD5083F82E</vt:lpwstr>
  </property>
</Properties>
</file>