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firstLine="0" w:firstLineChars="0"/>
        <w:rPr>
          <w:rFonts w:ascii="Calibri" w:hAnsi="仿宋_GB2312" w:eastAsia="仿宋_GB2312" w:cs="仿宋_GB2312"/>
          <w:b w:val="0"/>
          <w:bCs w:val="0"/>
          <w:sz w:val="32"/>
          <w:szCs w:val="32"/>
        </w:rPr>
      </w:pPr>
      <w:r>
        <w:rPr>
          <w:rFonts w:hint="eastAsia" w:ascii="Calibri" w:hAnsi="仿宋_GB2312" w:eastAsia="仿宋_GB2312" w:cs="仿宋_GB2312"/>
          <w:b w:val="0"/>
          <w:bCs w:val="0"/>
          <w:sz w:val="32"/>
          <w:szCs w:val="32"/>
        </w:rPr>
        <w:t>附件1</w:t>
      </w:r>
    </w:p>
    <w:p>
      <w:pPr>
        <w:autoSpaceDE/>
        <w:autoSpaceDN/>
        <w:adjustRightInd/>
        <w:spacing w:line="520" w:lineRule="exact"/>
        <w:jc w:val="center"/>
        <w:rPr>
          <w:rFonts w:ascii="Calibri" w:hAnsi="黑体" w:eastAsia="黑体" w:cs="黑体"/>
          <w:b w:val="0"/>
          <w:bCs w:val="0"/>
          <w:sz w:val="36"/>
          <w:szCs w:val="36"/>
        </w:rPr>
      </w:pPr>
    </w:p>
    <w:p>
      <w:pPr>
        <w:autoSpaceDE/>
        <w:autoSpaceDN/>
        <w:adjustRightInd/>
        <w:spacing w:line="520" w:lineRule="exact"/>
        <w:jc w:val="center"/>
        <w:rPr>
          <w:rFonts w:ascii="黑体" w:hAnsi="黑体" w:eastAsia="黑体" w:cs="黑体"/>
          <w:b w:val="0"/>
          <w:bCs w:val="0"/>
          <w:sz w:val="30"/>
          <w:szCs w:val="30"/>
        </w:rPr>
      </w:pPr>
      <w:r>
        <w:rPr>
          <w:rFonts w:hint="eastAsia" w:ascii="Calibri" w:hAnsi="黑体" w:eastAsia="黑体" w:cs="黑体"/>
          <w:b w:val="0"/>
          <w:bCs w:val="0"/>
          <w:sz w:val="36"/>
          <w:szCs w:val="36"/>
        </w:rPr>
        <w:t>洪江市</w:t>
      </w:r>
      <w:r>
        <w:rPr>
          <w:rFonts w:hint="eastAsia" w:ascii="Calibri" w:hAnsi="黑体" w:eastAsia="黑体" w:cs="黑体"/>
          <w:b w:val="0"/>
          <w:bCs w:val="0"/>
          <w:sz w:val="36"/>
          <w:szCs w:val="36"/>
          <w:lang w:val="en-US" w:eastAsia="zh-CN"/>
        </w:rPr>
        <w:t xml:space="preserve"> 审计局</w:t>
      </w:r>
      <w:r>
        <w:rPr>
          <w:rFonts w:hint="eastAsia" w:ascii="Calibri" w:hAnsi="黑体" w:eastAsia="黑体" w:cs="黑体"/>
          <w:b w:val="0"/>
          <w:bCs w:val="0"/>
          <w:sz w:val="36"/>
          <w:szCs w:val="36"/>
        </w:rPr>
        <w:t>2023年部门预算编制说明</w:t>
      </w:r>
    </w:p>
    <w:p>
      <w:pPr>
        <w:autoSpaceDE/>
        <w:autoSpaceDN/>
        <w:adjustRightInd/>
        <w:spacing w:line="520" w:lineRule="exact"/>
        <w:jc w:val="center"/>
        <w:rPr>
          <w:rFonts w:ascii="黑体" w:hAnsi="黑体" w:eastAsia="黑体" w:cs="黑体"/>
          <w:b w:val="0"/>
          <w:bCs w:val="0"/>
          <w:sz w:val="30"/>
          <w:szCs w:val="30"/>
        </w:rPr>
      </w:pPr>
      <w:r>
        <w:rPr>
          <w:rFonts w:hint="eastAsia" w:ascii="黑体" w:hAnsi="黑体" w:eastAsia="黑体" w:cs="黑体"/>
          <w:b w:val="0"/>
          <w:bCs w:val="0"/>
          <w:sz w:val="30"/>
          <w:szCs w:val="30"/>
        </w:rPr>
        <w:t>目录</w:t>
      </w:r>
    </w:p>
    <w:p>
      <w:pPr>
        <w:autoSpaceDE/>
        <w:autoSpaceDN/>
        <w:adjustRightInd/>
        <w:spacing w:line="520" w:lineRule="exact"/>
        <w:ind w:firstLine="627" w:firstLineChars="196"/>
        <w:jc w:val="both"/>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第一部分   202</w:t>
      </w:r>
      <w:r>
        <w:rPr>
          <w:rFonts w:hint="eastAsia" w:eastAsia="仿宋_GB2312" w:cs="Times New Roman"/>
          <w:b w:val="0"/>
          <w:bCs w:val="0"/>
          <w:sz w:val="32"/>
          <w:szCs w:val="32"/>
        </w:rPr>
        <w:t>3</w:t>
      </w:r>
      <w:r>
        <w:rPr>
          <w:rFonts w:ascii="Times New Roman" w:hAnsi="Times New Roman" w:eastAsia="仿宋_GB2312" w:cs="Times New Roman"/>
          <w:b w:val="0"/>
          <w:bCs w:val="0"/>
          <w:sz w:val="32"/>
          <w:szCs w:val="32"/>
        </w:rPr>
        <w:t>年部门预算</w:t>
      </w:r>
      <w:r>
        <w:rPr>
          <w:rFonts w:hint="eastAsia" w:eastAsia="仿宋_GB2312" w:cs="Times New Roman"/>
          <w:b w:val="0"/>
          <w:bCs w:val="0"/>
          <w:sz w:val="32"/>
          <w:szCs w:val="32"/>
        </w:rPr>
        <w:t>编制</w:t>
      </w:r>
      <w:r>
        <w:rPr>
          <w:rFonts w:ascii="Times New Roman" w:hAnsi="Times New Roman" w:eastAsia="仿宋_GB2312" w:cs="Times New Roman"/>
          <w:b w:val="0"/>
          <w:bCs w:val="0"/>
          <w:sz w:val="32"/>
          <w:szCs w:val="32"/>
        </w:rPr>
        <w:t>说明</w:t>
      </w:r>
    </w:p>
    <w:p>
      <w:pPr>
        <w:autoSpaceDE/>
        <w:autoSpaceDN/>
        <w:adjustRightInd/>
        <w:spacing w:line="52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一、部门基本</w:t>
      </w:r>
      <w:r>
        <w:rPr>
          <w:rFonts w:hint="eastAsia" w:eastAsia="仿宋_GB2312" w:cs="Times New Roman"/>
          <w:b w:val="0"/>
          <w:bCs w:val="0"/>
          <w:sz w:val="32"/>
          <w:szCs w:val="32"/>
        </w:rPr>
        <w:t>情况</w:t>
      </w:r>
    </w:p>
    <w:p>
      <w:pPr>
        <w:autoSpaceDE/>
        <w:autoSpaceDN/>
        <w:adjustRightInd/>
        <w:spacing w:line="52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（一）</w:t>
      </w:r>
      <w:r>
        <w:rPr>
          <w:rFonts w:hint="eastAsia" w:eastAsia="仿宋_GB2312" w:cs="Times New Roman"/>
          <w:b w:val="0"/>
          <w:bCs w:val="0"/>
          <w:sz w:val="32"/>
          <w:szCs w:val="32"/>
        </w:rPr>
        <w:t>单位职能职责</w:t>
      </w:r>
    </w:p>
    <w:p>
      <w:pPr>
        <w:autoSpaceDE/>
        <w:autoSpaceDN/>
        <w:adjustRightInd/>
        <w:spacing w:line="52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（二）机构设置</w:t>
      </w:r>
    </w:p>
    <w:p>
      <w:pPr>
        <w:autoSpaceDE/>
        <w:autoSpaceDN/>
        <w:adjustRightInd/>
        <w:spacing w:line="52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二、部门预算单位构成</w:t>
      </w:r>
    </w:p>
    <w:p>
      <w:pPr>
        <w:autoSpaceDE/>
        <w:autoSpaceDN/>
        <w:adjustRightInd/>
        <w:spacing w:line="52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三、部门收支总体情况</w:t>
      </w:r>
    </w:p>
    <w:p>
      <w:pPr>
        <w:pStyle w:val="8"/>
        <w:widowControl w:val="0"/>
        <w:shd w:val="clear" w:color="auto" w:fill="FFFFFF"/>
        <w:autoSpaceDE/>
        <w:autoSpaceDN/>
        <w:adjustRightInd/>
        <w:spacing w:before="0" w:beforeAutospacing="0" w:after="0" w:afterAutospacing="0" w:line="520" w:lineRule="exact"/>
        <w:ind w:firstLine="640" w:firstLineChars="200"/>
        <w:jc w:val="both"/>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（一）收入预算</w:t>
      </w:r>
    </w:p>
    <w:p>
      <w:pPr>
        <w:pStyle w:val="8"/>
        <w:widowControl w:val="0"/>
        <w:shd w:val="clear" w:color="auto" w:fill="FFFFFF"/>
        <w:autoSpaceDE/>
        <w:autoSpaceDN/>
        <w:adjustRightInd/>
        <w:spacing w:before="0" w:beforeAutospacing="0" w:after="0" w:afterAutospacing="0" w:line="520" w:lineRule="exact"/>
        <w:ind w:firstLine="640" w:firstLineChars="200"/>
        <w:jc w:val="both"/>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（二）支出预算</w:t>
      </w:r>
    </w:p>
    <w:p>
      <w:pPr>
        <w:autoSpaceDE/>
        <w:autoSpaceDN/>
        <w:adjustRightInd/>
        <w:spacing w:line="52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四、一般公共预算拨款支出</w:t>
      </w:r>
      <w:r>
        <w:rPr>
          <w:rFonts w:hint="eastAsia" w:eastAsia="仿宋_GB2312" w:cs="Times New Roman"/>
          <w:b w:val="0"/>
          <w:bCs w:val="0"/>
          <w:sz w:val="32"/>
          <w:szCs w:val="32"/>
        </w:rPr>
        <w:t>预算</w:t>
      </w:r>
    </w:p>
    <w:p>
      <w:pPr>
        <w:autoSpaceDE/>
        <w:autoSpaceDN/>
        <w:adjustRightInd/>
        <w:spacing w:line="52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（一）基本支出</w:t>
      </w:r>
    </w:p>
    <w:p>
      <w:pPr>
        <w:autoSpaceDE/>
        <w:autoSpaceDN/>
        <w:adjustRightInd/>
        <w:spacing w:line="52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（二）项目支出</w:t>
      </w:r>
    </w:p>
    <w:p>
      <w:pPr>
        <w:autoSpaceDE/>
        <w:autoSpaceDN/>
        <w:adjustRightInd/>
        <w:spacing w:line="52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五、政府性基金支出</w:t>
      </w:r>
    </w:p>
    <w:p>
      <w:pPr>
        <w:autoSpaceDE/>
        <w:autoSpaceDN/>
        <w:adjustRightInd/>
        <w:spacing w:line="52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六、其他重要事项的情况说明</w:t>
      </w:r>
    </w:p>
    <w:p>
      <w:pPr>
        <w:autoSpaceDE/>
        <w:autoSpaceDN/>
        <w:adjustRightInd/>
        <w:spacing w:line="52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（一）机关运行经费</w:t>
      </w:r>
    </w:p>
    <w:p>
      <w:pPr>
        <w:autoSpaceDE/>
        <w:autoSpaceDN/>
        <w:adjustRightInd/>
        <w:spacing w:line="52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（二）“三公”经费</w:t>
      </w:r>
      <w:r>
        <w:rPr>
          <w:rFonts w:hint="eastAsia" w:eastAsia="仿宋_GB2312" w:cs="Times New Roman"/>
          <w:b w:val="0"/>
          <w:bCs w:val="0"/>
          <w:sz w:val="32"/>
          <w:szCs w:val="32"/>
        </w:rPr>
        <w:t>预算</w:t>
      </w:r>
    </w:p>
    <w:p>
      <w:pPr>
        <w:autoSpaceDE/>
        <w:autoSpaceDN/>
        <w:adjustRightInd/>
        <w:spacing w:line="520" w:lineRule="exact"/>
        <w:ind w:firstLine="640" w:firstLineChars="200"/>
        <w:rPr>
          <w:rFonts w:ascii="Times New Roman" w:hAnsi="Times New Roman" w:eastAsia="仿宋_GB2312" w:cs="Times New Roman"/>
          <w:b w:val="0"/>
          <w:bCs w:val="0"/>
          <w:sz w:val="32"/>
          <w:szCs w:val="32"/>
        </w:rPr>
      </w:pPr>
      <w:r>
        <w:rPr>
          <w:rFonts w:hint="eastAsia" w:eastAsia="仿宋_GB2312" w:cs="Times New Roman"/>
          <w:b w:val="0"/>
          <w:bCs w:val="0"/>
          <w:sz w:val="32"/>
          <w:szCs w:val="32"/>
        </w:rPr>
        <w:t>（三）</w:t>
      </w:r>
      <w:r>
        <w:rPr>
          <w:rFonts w:ascii="Times New Roman" w:hAnsi="Times New Roman" w:eastAsia="仿宋_GB2312" w:cs="Times New Roman"/>
          <w:b w:val="0"/>
          <w:bCs w:val="0"/>
          <w:sz w:val="32"/>
          <w:szCs w:val="32"/>
        </w:rPr>
        <w:t>一般性支出情况</w:t>
      </w:r>
    </w:p>
    <w:p>
      <w:pPr>
        <w:autoSpaceDE/>
        <w:autoSpaceDN/>
        <w:adjustRightInd/>
        <w:spacing w:line="52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w:t>
      </w:r>
      <w:r>
        <w:rPr>
          <w:rFonts w:hint="eastAsia" w:eastAsia="仿宋_GB2312" w:cs="Times New Roman"/>
          <w:b w:val="0"/>
          <w:bCs w:val="0"/>
          <w:sz w:val="32"/>
          <w:szCs w:val="32"/>
        </w:rPr>
        <w:t>四</w:t>
      </w:r>
      <w:r>
        <w:rPr>
          <w:rFonts w:ascii="Times New Roman" w:hAnsi="Times New Roman" w:eastAsia="仿宋_GB2312" w:cs="Times New Roman"/>
          <w:b w:val="0"/>
          <w:bCs w:val="0"/>
          <w:sz w:val="32"/>
          <w:szCs w:val="32"/>
        </w:rPr>
        <w:t>）政府采购情况</w:t>
      </w:r>
    </w:p>
    <w:p>
      <w:pPr>
        <w:autoSpaceDE/>
        <w:autoSpaceDN/>
        <w:adjustRightInd/>
        <w:spacing w:line="52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（五）国有资产占用使用情况</w:t>
      </w:r>
      <w:r>
        <w:rPr>
          <w:rFonts w:hint="eastAsia" w:eastAsia="仿宋_GB2312" w:cs="Times New Roman"/>
          <w:b w:val="0"/>
          <w:bCs w:val="0"/>
          <w:sz w:val="32"/>
          <w:szCs w:val="32"/>
        </w:rPr>
        <w:t>说明</w:t>
      </w:r>
    </w:p>
    <w:p>
      <w:pPr>
        <w:autoSpaceDE/>
        <w:autoSpaceDN/>
        <w:adjustRightInd/>
        <w:spacing w:line="520" w:lineRule="exact"/>
        <w:ind w:firstLine="640" w:firstLineChars="200"/>
        <w:rPr>
          <w:rFonts w:eastAsia="仿宋_GB2312" w:cs="Times New Roman"/>
          <w:b w:val="0"/>
          <w:bCs w:val="0"/>
          <w:sz w:val="32"/>
          <w:szCs w:val="32"/>
        </w:rPr>
      </w:pPr>
      <w:r>
        <w:rPr>
          <w:rFonts w:ascii="Times New Roman" w:hAnsi="Times New Roman" w:eastAsia="仿宋_GB2312" w:cs="Times New Roman"/>
          <w:b w:val="0"/>
          <w:bCs w:val="0"/>
          <w:sz w:val="32"/>
          <w:szCs w:val="32"/>
        </w:rPr>
        <w:t>（六）预算绩效</w:t>
      </w:r>
      <w:r>
        <w:rPr>
          <w:rFonts w:hint="eastAsia" w:eastAsia="仿宋_GB2312" w:cs="Times New Roman"/>
          <w:b w:val="0"/>
          <w:bCs w:val="0"/>
          <w:sz w:val="32"/>
          <w:szCs w:val="32"/>
        </w:rPr>
        <w:t>目标说明</w:t>
      </w:r>
    </w:p>
    <w:p>
      <w:pPr>
        <w:autoSpaceDE/>
        <w:autoSpaceDN/>
        <w:adjustRightInd/>
        <w:spacing w:line="52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七、名词解释</w:t>
      </w:r>
    </w:p>
    <w:p>
      <w:pPr>
        <w:autoSpaceDE/>
        <w:autoSpaceDN/>
        <w:adjustRightInd/>
        <w:spacing w:line="520" w:lineRule="exact"/>
        <w:ind w:firstLine="640" w:firstLineChars="200"/>
        <w:jc w:val="both"/>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第二部分    202</w:t>
      </w:r>
      <w:r>
        <w:rPr>
          <w:rFonts w:hint="eastAsia" w:eastAsia="仿宋_GB2312" w:cs="Times New Roman"/>
          <w:b w:val="0"/>
          <w:bCs w:val="0"/>
          <w:sz w:val="32"/>
          <w:szCs w:val="32"/>
        </w:rPr>
        <w:t>3</w:t>
      </w:r>
      <w:r>
        <w:rPr>
          <w:rFonts w:ascii="Times New Roman" w:hAnsi="Times New Roman" w:eastAsia="仿宋_GB2312" w:cs="Times New Roman"/>
          <w:b w:val="0"/>
          <w:bCs w:val="0"/>
          <w:sz w:val="32"/>
          <w:szCs w:val="32"/>
        </w:rPr>
        <w:t>年部门预算公开表</w:t>
      </w:r>
    </w:p>
    <w:p>
      <w:pPr>
        <w:autoSpaceDE/>
        <w:autoSpaceDN/>
        <w:adjustRightInd/>
        <w:spacing w:line="520" w:lineRule="exact"/>
        <w:jc w:val="center"/>
        <w:rPr>
          <w:rFonts w:ascii="Times New Roman" w:hAnsi="Times New Roman" w:eastAsia="经典黑体简" w:cs="Times New Roman"/>
          <w:b w:val="0"/>
          <w:bCs w:val="0"/>
          <w:sz w:val="44"/>
          <w:szCs w:val="44"/>
        </w:rPr>
      </w:pPr>
    </w:p>
    <w:p>
      <w:pPr>
        <w:jc w:val="center"/>
        <w:rPr>
          <w:rFonts w:ascii="宋体" w:hAnsi="Times New Roman" w:eastAsia="宋体" w:cs="宋体"/>
          <w:b w:val="0"/>
          <w:bCs w:val="0"/>
          <w:sz w:val="42"/>
          <w:szCs w:val="42"/>
        </w:rPr>
      </w:pPr>
    </w:p>
    <w:p>
      <w:pPr>
        <w:keepNext w:val="0"/>
        <w:keepLines w:val="0"/>
        <w:pageBreakBefore w:val="0"/>
        <w:kinsoku/>
        <w:wordWrap/>
        <w:overflowPunct/>
        <w:topLinePunct w:val="0"/>
        <w:autoSpaceDE/>
        <w:autoSpaceDN/>
        <w:bidi w:val="0"/>
        <w:adjustRightInd/>
        <w:snapToGrid/>
        <w:spacing w:line="480" w:lineRule="exact"/>
        <w:ind w:firstLine="880" w:firstLineChars="200"/>
        <w:jc w:val="both"/>
        <w:textAlignment w:val="auto"/>
        <w:rPr>
          <w:rFonts w:ascii="Times New Roman" w:hAnsi="Times New Roman" w:eastAsia="经典黑体简" w:cs="Times New Roman"/>
          <w:b w:val="0"/>
          <w:bCs w:val="0"/>
          <w:sz w:val="44"/>
          <w:szCs w:val="44"/>
        </w:rPr>
      </w:pPr>
      <w:r>
        <w:rPr>
          <w:rFonts w:ascii="Times New Roman" w:hAnsi="Times New Roman" w:eastAsia="经典黑体简" w:cs="Times New Roman"/>
          <w:b w:val="0"/>
          <w:bCs w:val="0"/>
          <w:sz w:val="44"/>
          <w:szCs w:val="44"/>
        </w:rPr>
        <w:t>第一部分</w:t>
      </w:r>
      <w:r>
        <w:rPr>
          <w:rFonts w:hint="eastAsia" w:eastAsia="经典黑体简" w:cs="Times New Roman"/>
          <w:b w:val="0"/>
          <w:bCs w:val="0"/>
          <w:sz w:val="44"/>
          <w:szCs w:val="44"/>
        </w:rPr>
        <w:t>2023</w:t>
      </w:r>
      <w:r>
        <w:rPr>
          <w:rFonts w:ascii="Times New Roman" w:hAnsi="Times New Roman" w:eastAsia="经典黑体简" w:cs="Times New Roman"/>
          <w:b w:val="0"/>
          <w:bCs w:val="0"/>
          <w:sz w:val="44"/>
          <w:szCs w:val="44"/>
        </w:rPr>
        <w:t>年部门预算</w:t>
      </w:r>
      <w:r>
        <w:rPr>
          <w:rFonts w:hint="eastAsia" w:eastAsia="经典黑体简" w:cs="Times New Roman"/>
          <w:b w:val="0"/>
          <w:bCs w:val="0"/>
          <w:sz w:val="44"/>
          <w:szCs w:val="44"/>
        </w:rPr>
        <w:t>编制</w:t>
      </w:r>
      <w:r>
        <w:rPr>
          <w:rFonts w:ascii="Times New Roman" w:hAnsi="Times New Roman" w:eastAsia="经典黑体简" w:cs="Times New Roman"/>
          <w:b w:val="0"/>
          <w:bCs w:val="0"/>
          <w:sz w:val="44"/>
          <w:szCs w:val="44"/>
        </w:rPr>
        <w:t>说明</w:t>
      </w:r>
    </w:p>
    <w:p>
      <w:pPr>
        <w:keepNext w:val="0"/>
        <w:keepLines w:val="0"/>
        <w:pageBreakBefore w:val="0"/>
        <w:kinsoku/>
        <w:wordWrap/>
        <w:overflowPunct/>
        <w:topLinePunct w:val="0"/>
        <w:autoSpaceDE/>
        <w:autoSpaceDN/>
        <w:bidi w:val="0"/>
        <w:adjustRightInd/>
        <w:snapToGrid/>
        <w:spacing w:line="480" w:lineRule="exact"/>
        <w:jc w:val="both"/>
        <w:textAlignment w:val="auto"/>
        <w:rPr>
          <w:rFonts w:ascii="Times New Roman" w:hAnsi="Times New Roman" w:eastAsia="仿宋_GB2312" w:cs="Times New Roman"/>
          <w:b w:val="0"/>
          <w:bCs w:val="0"/>
          <w:sz w:val="32"/>
          <w:szCs w:val="32"/>
        </w:rPr>
      </w:pPr>
    </w:p>
    <w:p>
      <w:pPr>
        <w:keepNext w:val="0"/>
        <w:keepLines w:val="0"/>
        <w:pageBreakBefore w:val="0"/>
        <w:kinsoku/>
        <w:wordWrap/>
        <w:overflowPunct/>
        <w:topLinePunct w:val="0"/>
        <w:bidi w:val="0"/>
        <w:snapToGrid/>
        <w:spacing w:line="480" w:lineRule="exact"/>
        <w:jc w:val="center"/>
        <w:textAlignment w:val="auto"/>
        <w:rPr>
          <w:rFonts w:ascii="宋体" w:hAnsi="Times New Roman" w:eastAsia="宋体" w:cs="宋体"/>
          <w:b w:val="0"/>
          <w:bCs w:val="0"/>
          <w:sz w:val="42"/>
          <w:szCs w:val="42"/>
        </w:rPr>
      </w:pPr>
    </w:p>
    <w:p>
      <w:pPr>
        <w:keepNext w:val="0"/>
        <w:keepLines w:val="0"/>
        <w:pageBreakBefore w:val="0"/>
        <w:kinsoku/>
        <w:wordWrap/>
        <w:overflowPunct/>
        <w:topLinePunct w:val="0"/>
        <w:autoSpaceDE w:val="0"/>
        <w:autoSpaceDN w:val="0"/>
        <w:bidi w:val="0"/>
        <w:adjustRightInd w:val="0"/>
        <w:snapToGrid/>
        <w:spacing w:line="520" w:lineRule="exact"/>
        <w:ind w:firstLine="627" w:firstLineChars="196"/>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一、部门基本情况</w:t>
      </w:r>
    </w:p>
    <w:p>
      <w:pPr>
        <w:keepNext w:val="0"/>
        <w:keepLines w:val="0"/>
        <w:pageBreakBefore w:val="0"/>
        <w:kinsoku/>
        <w:wordWrap/>
        <w:overflowPunct/>
        <w:topLinePunct w:val="0"/>
        <w:autoSpaceDE w:val="0"/>
        <w:autoSpaceDN w:val="0"/>
        <w:bidi w:val="0"/>
        <w:adjustRightInd w:val="0"/>
        <w:snapToGrid/>
        <w:spacing w:line="520" w:lineRule="exact"/>
        <w:ind w:firstLine="627" w:firstLineChars="196"/>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（一）单位职能职责</w:t>
      </w:r>
    </w:p>
    <w:p>
      <w:pPr>
        <w:pStyle w:val="8"/>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520" w:lineRule="exact"/>
        <w:ind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color w:val="666666"/>
          <w:sz w:val="32"/>
          <w:szCs w:val="32"/>
          <w:shd w:val="clear" w:color="auto" w:fill="FFFFFF"/>
        </w:rPr>
        <w:t>1、主管全市审计工作。2、贯彻执行国家关于审计方针、政策和法律法规，研究拟订我市审计政策，制定审计业务规章制度，并监督执行。3、向市人民政府报告和向市人民政府有关部门通报审计情况，提出制订和完善有关政策法规、宏观调控措施以及管理体制、机制建设的建议4、向市人民政府提出年度市本级预算执行和其他财政收支情况的审计结果报告。5、出具审计报告，在法定职权范围内做出审计决定或向有关单位提出处理处罚的建议。6、负责市领导干部经济责任审计领导小组办公室日常工作，按规定对市管党政领导干部及依法属于市审计局审计监督对象的其他单位主要负责人实施经济责任审计，协调各成员单位运用经济责任审计成果。7、组织实施对国家财经法律、法规、规章、政策和宏观调控措施执行情况、财政预算管理或国有资产管理使用等与国家财政收支有关的特定事项进行专项审计调查。8、承担省审计厅和怀化市审计局授权的审计项目和专项审计调查项目的组织实施。9、依法检查审计决定执行情况，督促纠正和处理审计发现的问题，依法办理被审计的单位对审计决定提请行政复议、行政诉讼或市政府裁决中的有关事项。协助配合有关部门查处相关重大案件。10、指导和监督内部审计工作，核查社会审计机构对依法属于审计监督对象的单位出具的相关审计报告。11、承办市人民政府交办的其他事项。</w:t>
      </w:r>
    </w:p>
    <w:p>
      <w:pPr>
        <w:keepNext w:val="0"/>
        <w:keepLines w:val="0"/>
        <w:pageBreakBefore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b w:val="0"/>
          <w:bCs w:val="0"/>
          <w:sz w:val="32"/>
          <w:szCs w:val="32"/>
        </w:rPr>
      </w:pP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（二）机构设置</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洪江市审计局</w:t>
      </w:r>
      <w:r>
        <w:rPr>
          <w:rFonts w:hint="eastAsia" w:ascii="仿宋" w:hAnsi="仿宋" w:eastAsia="仿宋" w:cs="仿宋"/>
          <w:b w:val="0"/>
          <w:bCs w:val="0"/>
          <w:sz w:val="32"/>
          <w:szCs w:val="32"/>
        </w:rPr>
        <w:t>作为部门预算单位，</w:t>
      </w:r>
      <w:r>
        <w:rPr>
          <w:rFonts w:hint="eastAsia" w:ascii="仿宋" w:hAnsi="仿宋" w:eastAsia="仿宋" w:cs="仿宋"/>
          <w:b w:val="0"/>
          <w:bCs w:val="0"/>
          <w:sz w:val="32"/>
          <w:szCs w:val="32"/>
          <w:lang w:val="en-US" w:eastAsia="zh-CN"/>
        </w:rPr>
        <w:t>内设机构7个，即办公室（秘书股）、法制股（行政审批服务股）、财政金融和社会保障审计股、行政事业企业外资审计股、经济责任审计室、自然资源和生态环境审计股、重大项目与政策跟踪审计股（固定资产投资审计股）。所属二级事业单位1个，即洪江市建设项目审计中心。</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rPr>
      </w:pPr>
    </w:p>
    <w:p>
      <w:pPr>
        <w:keepNext w:val="0"/>
        <w:keepLines w:val="0"/>
        <w:pageBreakBefore w:val="0"/>
        <w:kinsoku/>
        <w:wordWrap/>
        <w:overflowPunct/>
        <w:topLinePunct w:val="0"/>
        <w:autoSpaceDE w:val="0"/>
        <w:autoSpaceDN w:val="0"/>
        <w:bidi w:val="0"/>
        <w:adjustRightInd w:val="0"/>
        <w:snapToGrid/>
        <w:spacing w:line="520" w:lineRule="exact"/>
        <w:ind w:left="2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二、部门预算单位构成    </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洪江市审计局</w:t>
      </w:r>
      <w:r>
        <w:rPr>
          <w:rFonts w:hint="eastAsia" w:ascii="仿宋" w:hAnsi="仿宋" w:eastAsia="仿宋" w:cs="仿宋"/>
          <w:b w:val="0"/>
          <w:bCs w:val="0"/>
          <w:sz w:val="32"/>
          <w:szCs w:val="32"/>
        </w:rPr>
        <w:t>只有本级，没有其他二级预算单位，因此，纳入2023年部门预算编制范围的只有</w:t>
      </w:r>
      <w:r>
        <w:rPr>
          <w:rFonts w:hint="eastAsia" w:ascii="仿宋" w:hAnsi="仿宋" w:eastAsia="仿宋" w:cs="仿宋"/>
          <w:b w:val="0"/>
          <w:bCs w:val="0"/>
          <w:sz w:val="32"/>
          <w:szCs w:val="32"/>
          <w:lang w:eastAsia="zh-CN"/>
        </w:rPr>
        <w:t>审计局</w:t>
      </w:r>
      <w:r>
        <w:rPr>
          <w:rFonts w:hint="eastAsia" w:ascii="仿宋" w:hAnsi="仿宋" w:eastAsia="仿宋" w:cs="仿宋"/>
          <w:b w:val="0"/>
          <w:bCs w:val="0"/>
          <w:sz w:val="32"/>
          <w:szCs w:val="32"/>
        </w:rPr>
        <w:t>部门本级。</w:t>
      </w:r>
    </w:p>
    <w:p>
      <w:pPr>
        <w:keepNext w:val="0"/>
        <w:keepLines w:val="0"/>
        <w:pageBreakBefore w:val="0"/>
        <w:kinsoku/>
        <w:wordWrap/>
        <w:overflowPunct/>
        <w:topLinePunct w:val="0"/>
        <w:autoSpaceDE w:val="0"/>
        <w:autoSpaceDN w:val="0"/>
        <w:bidi w:val="0"/>
        <w:adjustRightInd w:val="0"/>
        <w:snapToGrid/>
        <w:spacing w:line="520" w:lineRule="exact"/>
        <w:ind w:left="720" w:leftChars="3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三、部门收支总体情况    </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2023年部门预算包括</w:t>
      </w:r>
      <w:r>
        <w:rPr>
          <w:rFonts w:hint="eastAsia" w:ascii="仿宋" w:hAnsi="仿宋" w:eastAsia="仿宋" w:cs="仿宋"/>
          <w:b w:val="0"/>
          <w:bCs w:val="0"/>
          <w:sz w:val="32"/>
          <w:szCs w:val="32"/>
          <w:lang w:eastAsia="zh-CN"/>
        </w:rPr>
        <w:t>洪江市审计局</w:t>
      </w:r>
      <w:r>
        <w:rPr>
          <w:rFonts w:hint="eastAsia" w:ascii="仿宋" w:hAnsi="仿宋" w:eastAsia="仿宋" w:cs="仿宋"/>
          <w:b w:val="0"/>
          <w:bCs w:val="0"/>
          <w:sz w:val="32"/>
          <w:szCs w:val="32"/>
        </w:rPr>
        <w:t>的收入、支出及专项经费安排情况。收入既包括公共预算财政拨款和政府性基金拨款，又包括上级补助收入等；支出既包括保障局机关基本运行的经费，也包括</w:t>
      </w:r>
      <w:r>
        <w:rPr>
          <w:rFonts w:hint="eastAsia" w:ascii="仿宋" w:hAnsi="仿宋" w:eastAsia="仿宋" w:cs="仿宋"/>
          <w:b w:val="0"/>
          <w:bCs w:val="0"/>
          <w:sz w:val="32"/>
          <w:szCs w:val="32"/>
          <w:lang w:eastAsia="zh-CN"/>
        </w:rPr>
        <w:t>审计局</w:t>
      </w:r>
      <w:r>
        <w:rPr>
          <w:rFonts w:hint="eastAsia" w:ascii="仿宋" w:hAnsi="仿宋" w:eastAsia="仿宋" w:cs="仿宋"/>
          <w:b w:val="0"/>
          <w:bCs w:val="0"/>
          <w:sz w:val="32"/>
          <w:szCs w:val="32"/>
        </w:rPr>
        <w:t>归口管理、面向全市分配的</w:t>
      </w:r>
      <w:r>
        <w:rPr>
          <w:rFonts w:hint="eastAsia" w:ascii="仿宋" w:hAnsi="仿宋" w:eastAsia="仿宋" w:cs="仿宋"/>
          <w:b w:val="0"/>
          <w:bCs w:val="0"/>
          <w:sz w:val="32"/>
          <w:szCs w:val="32"/>
          <w:lang w:eastAsia="zh-CN"/>
        </w:rPr>
        <w:t>审计</w:t>
      </w:r>
      <w:r>
        <w:rPr>
          <w:rFonts w:hint="eastAsia" w:ascii="仿宋" w:hAnsi="仿宋" w:eastAsia="仿宋" w:cs="仿宋"/>
          <w:b w:val="0"/>
          <w:bCs w:val="0"/>
          <w:sz w:val="32"/>
          <w:szCs w:val="32"/>
        </w:rPr>
        <w:t>专项经费。</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（一）收入预算：2023年年初预算数</w:t>
      </w:r>
      <w:r>
        <w:rPr>
          <w:rFonts w:hint="eastAsia" w:ascii="仿宋" w:hAnsi="仿宋" w:eastAsia="仿宋" w:cs="仿宋"/>
          <w:b w:val="0"/>
          <w:bCs w:val="0"/>
          <w:sz w:val="32"/>
          <w:szCs w:val="32"/>
          <w:lang w:val="en-US" w:eastAsia="zh-CN"/>
        </w:rPr>
        <w:t>514.53</w:t>
      </w:r>
      <w:r>
        <w:rPr>
          <w:rFonts w:hint="eastAsia" w:ascii="仿宋" w:hAnsi="仿宋" w:eastAsia="仿宋" w:cs="仿宋"/>
          <w:b w:val="0"/>
          <w:bCs w:val="0"/>
          <w:sz w:val="32"/>
          <w:szCs w:val="32"/>
        </w:rPr>
        <w:t>万元，其中，一般公共预算拨款</w:t>
      </w:r>
      <w:r>
        <w:rPr>
          <w:rFonts w:hint="eastAsia" w:ascii="仿宋" w:hAnsi="仿宋" w:eastAsia="仿宋" w:cs="仿宋"/>
          <w:b w:val="0"/>
          <w:bCs w:val="0"/>
          <w:sz w:val="32"/>
          <w:szCs w:val="32"/>
          <w:lang w:val="en-US" w:eastAsia="zh-CN"/>
        </w:rPr>
        <w:t>514.53</w:t>
      </w:r>
      <w:r>
        <w:rPr>
          <w:rFonts w:hint="eastAsia" w:ascii="仿宋" w:hAnsi="仿宋" w:eastAsia="仿宋" w:cs="仿宋"/>
          <w:b w:val="0"/>
          <w:bCs w:val="0"/>
          <w:sz w:val="32"/>
          <w:szCs w:val="32"/>
        </w:rPr>
        <w:t>万元，政府性基金预算拨款</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万元，纳入财政专户管理的非税收入拨款</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万元，国有资本经营预算拨款</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万元。收入较去年</w:t>
      </w:r>
      <w:r>
        <w:rPr>
          <w:rFonts w:hint="eastAsia" w:ascii="仿宋" w:hAnsi="仿宋" w:eastAsia="仿宋" w:cs="仿宋"/>
          <w:b w:val="0"/>
          <w:bCs w:val="0"/>
          <w:sz w:val="32"/>
          <w:szCs w:val="32"/>
          <w:lang w:eastAsia="zh-CN"/>
        </w:rPr>
        <w:t>增加</w:t>
      </w:r>
      <w:r>
        <w:rPr>
          <w:rFonts w:hint="eastAsia" w:ascii="仿宋" w:hAnsi="仿宋" w:eastAsia="仿宋" w:cs="仿宋"/>
          <w:b w:val="0"/>
          <w:bCs w:val="0"/>
          <w:sz w:val="32"/>
          <w:szCs w:val="32"/>
          <w:lang w:val="en-US" w:eastAsia="zh-CN"/>
        </w:rPr>
        <w:t>85.63</w:t>
      </w:r>
      <w:r>
        <w:rPr>
          <w:rFonts w:hint="eastAsia" w:ascii="仿宋" w:hAnsi="仿宋" w:eastAsia="仿宋" w:cs="仿宋"/>
          <w:b w:val="0"/>
          <w:bCs w:val="0"/>
          <w:sz w:val="32"/>
          <w:szCs w:val="32"/>
        </w:rPr>
        <w:t>万元，主要原因</w:t>
      </w:r>
      <w:r>
        <w:rPr>
          <w:rFonts w:hint="eastAsia" w:ascii="仿宋" w:hAnsi="仿宋" w:eastAsia="仿宋" w:cs="仿宋"/>
          <w:b w:val="0"/>
          <w:bCs w:val="0"/>
          <w:sz w:val="32"/>
          <w:szCs w:val="32"/>
          <w:lang w:eastAsia="zh-CN"/>
        </w:rPr>
        <w:t>人员增加，机关运行经费增加</w:t>
      </w:r>
      <w:r>
        <w:rPr>
          <w:rFonts w:hint="eastAsia" w:ascii="仿宋" w:hAnsi="仿宋" w:eastAsia="仿宋" w:cs="仿宋"/>
          <w:b w:val="0"/>
          <w:bCs w:val="0"/>
          <w:sz w:val="32"/>
          <w:szCs w:val="32"/>
        </w:rPr>
        <w:t>。</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rPr>
      </w:pP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（二）支出预算：2023年年初预算数</w:t>
      </w:r>
      <w:r>
        <w:rPr>
          <w:rFonts w:hint="eastAsia" w:ascii="仿宋" w:hAnsi="仿宋" w:eastAsia="仿宋" w:cs="仿宋"/>
          <w:b w:val="0"/>
          <w:bCs w:val="0"/>
          <w:sz w:val="32"/>
          <w:szCs w:val="32"/>
          <w:lang w:val="en-US" w:eastAsia="zh-CN"/>
        </w:rPr>
        <w:t>514.53</w:t>
      </w:r>
      <w:r>
        <w:rPr>
          <w:rFonts w:hint="eastAsia" w:ascii="仿宋" w:hAnsi="仿宋" w:eastAsia="仿宋" w:cs="仿宋"/>
          <w:b w:val="0"/>
          <w:bCs w:val="0"/>
          <w:sz w:val="32"/>
          <w:szCs w:val="32"/>
        </w:rPr>
        <w:t>万元，其中：一般公共服务支出</w:t>
      </w:r>
      <w:r>
        <w:rPr>
          <w:rFonts w:hint="eastAsia" w:ascii="仿宋" w:hAnsi="仿宋" w:eastAsia="仿宋" w:cs="仿宋"/>
          <w:b w:val="0"/>
          <w:bCs w:val="0"/>
          <w:sz w:val="32"/>
          <w:szCs w:val="32"/>
          <w:lang w:val="en-US" w:eastAsia="zh-CN"/>
        </w:rPr>
        <w:t>415.33</w:t>
      </w:r>
      <w:r>
        <w:rPr>
          <w:rFonts w:hint="eastAsia" w:ascii="仿宋" w:hAnsi="仿宋" w:eastAsia="仿宋" w:cs="仿宋"/>
          <w:b w:val="0"/>
          <w:bCs w:val="0"/>
          <w:sz w:val="32"/>
          <w:szCs w:val="32"/>
        </w:rPr>
        <w:t>万元，公共安全支出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万元，教育支出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万元，科学技术支出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万元，文化旅游体育与传媒支出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万元，社会保障和就业支出</w:t>
      </w:r>
      <w:r>
        <w:rPr>
          <w:rFonts w:hint="eastAsia" w:ascii="仿宋" w:hAnsi="仿宋" w:eastAsia="仿宋" w:cs="仿宋"/>
          <w:b w:val="0"/>
          <w:bCs w:val="0"/>
          <w:sz w:val="32"/>
          <w:szCs w:val="32"/>
          <w:lang w:val="en-US" w:eastAsia="zh-CN"/>
        </w:rPr>
        <w:t>54.35</w:t>
      </w:r>
      <w:r>
        <w:rPr>
          <w:rFonts w:hint="eastAsia" w:ascii="仿宋" w:hAnsi="仿宋" w:eastAsia="仿宋" w:cs="仿宋"/>
          <w:b w:val="0"/>
          <w:bCs w:val="0"/>
          <w:sz w:val="32"/>
          <w:szCs w:val="32"/>
        </w:rPr>
        <w:t>万元，社会保险基金支出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万元，卫生健康支出</w:t>
      </w:r>
      <w:r>
        <w:rPr>
          <w:rFonts w:hint="eastAsia" w:ascii="仿宋" w:hAnsi="仿宋" w:eastAsia="仿宋" w:cs="仿宋"/>
          <w:b w:val="0"/>
          <w:bCs w:val="0"/>
          <w:sz w:val="32"/>
          <w:szCs w:val="32"/>
          <w:lang w:val="en-US" w:eastAsia="zh-CN"/>
        </w:rPr>
        <w:t>18.6</w:t>
      </w:r>
      <w:r>
        <w:rPr>
          <w:rFonts w:hint="eastAsia" w:ascii="仿宋" w:hAnsi="仿宋" w:eastAsia="仿宋" w:cs="仿宋"/>
          <w:b w:val="0"/>
          <w:bCs w:val="0"/>
          <w:sz w:val="32"/>
          <w:szCs w:val="32"/>
        </w:rPr>
        <w:t>万元，节能环保支出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万元，城乡社区支出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万元，农林水支出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万元，交通运输支出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万元，资源勘探信息等支出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万元，商业服务业等支出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万元，金融支出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万元，援助其他地区支出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万元，自然资源海洋气象等支出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万元，住房保障支出</w:t>
      </w:r>
      <w:r>
        <w:rPr>
          <w:rFonts w:hint="eastAsia" w:ascii="仿宋" w:hAnsi="仿宋" w:eastAsia="仿宋" w:cs="仿宋"/>
          <w:b w:val="0"/>
          <w:bCs w:val="0"/>
          <w:sz w:val="32"/>
          <w:szCs w:val="32"/>
          <w:lang w:val="en-US" w:eastAsia="zh-CN"/>
        </w:rPr>
        <w:t>26.25</w:t>
      </w:r>
      <w:r>
        <w:rPr>
          <w:rFonts w:hint="eastAsia" w:ascii="仿宋" w:hAnsi="仿宋" w:eastAsia="仿宋" w:cs="仿宋"/>
          <w:b w:val="0"/>
          <w:bCs w:val="0"/>
          <w:sz w:val="32"/>
          <w:szCs w:val="32"/>
        </w:rPr>
        <w:t>万元，粮油物资储备支出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万元，灾害防治及应急管理支出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万元，预备费</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万元，其他支出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万元，转移性支出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万元，债务还本支出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万元，债务付息支出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万元，债务发行费用支出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万元。支出较去年预算</w:t>
      </w:r>
      <w:r>
        <w:rPr>
          <w:rFonts w:hint="eastAsia" w:ascii="仿宋" w:hAnsi="仿宋" w:eastAsia="仿宋" w:cs="仿宋"/>
          <w:b w:val="0"/>
          <w:bCs w:val="0"/>
          <w:sz w:val="32"/>
          <w:szCs w:val="32"/>
          <w:lang w:eastAsia="zh-CN"/>
        </w:rPr>
        <w:t>增加</w:t>
      </w:r>
      <w:r>
        <w:rPr>
          <w:rFonts w:hint="eastAsia" w:ascii="仿宋" w:hAnsi="仿宋" w:eastAsia="仿宋" w:cs="仿宋"/>
          <w:b w:val="0"/>
          <w:bCs w:val="0"/>
          <w:sz w:val="32"/>
          <w:szCs w:val="32"/>
          <w:lang w:val="en-US" w:eastAsia="zh-CN"/>
        </w:rPr>
        <w:t>85.63</w:t>
      </w:r>
      <w:r>
        <w:rPr>
          <w:rFonts w:hint="eastAsia" w:ascii="仿宋" w:hAnsi="仿宋" w:eastAsia="仿宋" w:cs="仿宋"/>
          <w:b w:val="0"/>
          <w:bCs w:val="0"/>
          <w:sz w:val="32"/>
          <w:szCs w:val="32"/>
        </w:rPr>
        <w:t>万元，其中基本支出</w:t>
      </w:r>
      <w:r>
        <w:rPr>
          <w:rFonts w:hint="eastAsia" w:ascii="仿宋" w:hAnsi="仿宋" w:eastAsia="仿宋" w:cs="仿宋"/>
          <w:b w:val="0"/>
          <w:bCs w:val="0"/>
          <w:sz w:val="32"/>
          <w:szCs w:val="32"/>
          <w:lang w:eastAsia="zh-CN"/>
        </w:rPr>
        <w:t>增加</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85.63</w:t>
      </w:r>
      <w:r>
        <w:rPr>
          <w:rFonts w:hint="eastAsia" w:ascii="仿宋" w:hAnsi="仿宋" w:eastAsia="仿宋" w:cs="仿宋"/>
          <w:b w:val="0"/>
          <w:bCs w:val="0"/>
          <w:sz w:val="32"/>
          <w:szCs w:val="32"/>
        </w:rPr>
        <w:t>万元，项目支出减少</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万元。支出较去年</w:t>
      </w:r>
      <w:r>
        <w:rPr>
          <w:rFonts w:hint="eastAsia" w:ascii="仿宋" w:hAnsi="仿宋" w:eastAsia="仿宋" w:cs="仿宋"/>
          <w:b w:val="0"/>
          <w:bCs w:val="0"/>
          <w:sz w:val="32"/>
          <w:szCs w:val="32"/>
          <w:lang w:eastAsia="zh-CN"/>
        </w:rPr>
        <w:t>增加</w:t>
      </w:r>
      <w:r>
        <w:rPr>
          <w:rFonts w:hint="eastAsia" w:ascii="仿宋" w:hAnsi="仿宋" w:eastAsia="仿宋" w:cs="仿宋"/>
          <w:b w:val="0"/>
          <w:bCs w:val="0"/>
          <w:sz w:val="32"/>
          <w:szCs w:val="32"/>
          <w:lang w:val="en-US" w:eastAsia="zh-CN"/>
        </w:rPr>
        <w:t>85.63</w:t>
      </w:r>
      <w:r>
        <w:rPr>
          <w:rFonts w:hint="eastAsia" w:ascii="仿宋" w:hAnsi="仿宋" w:eastAsia="仿宋" w:cs="仿宋"/>
          <w:b w:val="0"/>
          <w:bCs w:val="0"/>
          <w:sz w:val="32"/>
          <w:szCs w:val="32"/>
        </w:rPr>
        <w:t>万元，</w:t>
      </w:r>
      <w:r>
        <w:rPr>
          <w:rFonts w:hint="eastAsia" w:ascii="仿宋" w:hAnsi="仿宋" w:eastAsia="仿宋" w:cs="仿宋"/>
          <w:b w:val="0"/>
          <w:bCs w:val="0"/>
          <w:sz w:val="32"/>
          <w:szCs w:val="32"/>
        </w:rPr>
        <w:t>主要原因</w:t>
      </w:r>
      <w:r>
        <w:rPr>
          <w:rFonts w:hint="eastAsia" w:ascii="仿宋" w:hAnsi="仿宋" w:eastAsia="仿宋" w:cs="仿宋"/>
          <w:b w:val="0"/>
          <w:bCs w:val="0"/>
          <w:sz w:val="32"/>
          <w:szCs w:val="32"/>
          <w:lang w:eastAsia="zh-CN"/>
        </w:rPr>
        <w:t>人员增加，机关运行经费增加</w:t>
      </w:r>
      <w:r>
        <w:rPr>
          <w:rFonts w:hint="eastAsia" w:ascii="仿宋" w:hAnsi="仿宋" w:eastAsia="仿宋" w:cs="仿宋"/>
          <w:b w:val="0"/>
          <w:bCs w:val="0"/>
          <w:sz w:val="32"/>
          <w:szCs w:val="32"/>
        </w:rPr>
        <w:t>。</w:t>
      </w:r>
    </w:p>
    <w:p>
      <w:pPr>
        <w:keepNext w:val="0"/>
        <w:keepLines w:val="0"/>
        <w:pageBreakBefore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b w:val="0"/>
          <w:bCs w:val="0"/>
          <w:sz w:val="32"/>
          <w:szCs w:val="32"/>
        </w:rPr>
      </w:pP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四、一般公共预算拨款支出预算    </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2023年一般公共预算拨款收入为</w:t>
      </w:r>
      <w:r>
        <w:rPr>
          <w:rFonts w:hint="eastAsia" w:ascii="仿宋" w:hAnsi="仿宋" w:eastAsia="仿宋" w:cs="仿宋"/>
          <w:b w:val="0"/>
          <w:bCs w:val="0"/>
          <w:sz w:val="32"/>
          <w:szCs w:val="32"/>
          <w:lang w:val="en-US" w:eastAsia="zh-CN"/>
        </w:rPr>
        <w:t>514.53</w:t>
      </w:r>
      <w:bookmarkStart w:id="0" w:name="_GoBack"/>
      <w:bookmarkEnd w:id="0"/>
      <w:r>
        <w:rPr>
          <w:rFonts w:hint="eastAsia" w:ascii="仿宋" w:hAnsi="仿宋" w:eastAsia="仿宋" w:cs="仿宋"/>
          <w:b w:val="0"/>
          <w:bCs w:val="0"/>
          <w:sz w:val="32"/>
          <w:szCs w:val="32"/>
        </w:rPr>
        <w:t>万元，具体安排情况如下：</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（一）基本支出：2023年年初预算数为</w:t>
      </w:r>
      <w:r>
        <w:rPr>
          <w:rFonts w:hint="eastAsia" w:ascii="仿宋" w:hAnsi="仿宋" w:eastAsia="仿宋" w:cs="仿宋"/>
          <w:b w:val="0"/>
          <w:bCs w:val="0"/>
          <w:sz w:val="32"/>
          <w:szCs w:val="32"/>
          <w:lang w:val="en-US" w:eastAsia="zh-CN"/>
        </w:rPr>
        <w:t>398.2</w:t>
      </w:r>
      <w:r>
        <w:rPr>
          <w:rFonts w:hint="eastAsia" w:ascii="仿宋" w:hAnsi="仿宋" w:eastAsia="仿宋" w:cs="仿宋"/>
          <w:b w:val="0"/>
          <w:bCs w:val="0"/>
          <w:sz w:val="32"/>
          <w:szCs w:val="32"/>
        </w:rPr>
        <w:t>万元，是指为保障单位机构正常运转、完成日常工作任务而发生的各项支出，包括用于基本工资、津贴补贴、办公费、印刷费、水电费、办公设备购置费等日常公用经费。</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（二）项目支出：2023年年初预算数为</w:t>
      </w:r>
      <w:r>
        <w:rPr>
          <w:rFonts w:hint="eastAsia" w:ascii="仿宋" w:hAnsi="仿宋" w:eastAsia="仿宋" w:cs="仿宋"/>
          <w:b w:val="0"/>
          <w:bCs w:val="0"/>
          <w:sz w:val="32"/>
          <w:szCs w:val="32"/>
          <w:lang w:val="en-US" w:eastAsia="zh-CN"/>
        </w:rPr>
        <w:t>116.33</w:t>
      </w:r>
      <w:r>
        <w:rPr>
          <w:rFonts w:hint="eastAsia" w:ascii="仿宋" w:hAnsi="仿宋" w:eastAsia="仿宋" w:cs="仿宋"/>
          <w:b w:val="0"/>
          <w:bCs w:val="0"/>
          <w:sz w:val="32"/>
          <w:szCs w:val="32"/>
        </w:rPr>
        <w:t>万元，是指单位为完成特定行政工作任务或事业发展目标而发生的支出，包括有关事业发展专项、专项业务费、基本建设支出等。其中：</w:t>
      </w:r>
      <w:r>
        <w:rPr>
          <w:rFonts w:hint="eastAsia" w:ascii="仿宋" w:hAnsi="仿宋" w:eastAsia="仿宋" w:cs="仿宋"/>
          <w:b w:val="0"/>
          <w:bCs w:val="0"/>
          <w:sz w:val="32"/>
          <w:szCs w:val="32"/>
          <w:lang w:eastAsia="zh-CN"/>
        </w:rPr>
        <w:t>审计补贴</w:t>
      </w:r>
      <w:r>
        <w:rPr>
          <w:rFonts w:hint="eastAsia" w:ascii="仿宋" w:hAnsi="仿宋" w:eastAsia="仿宋" w:cs="仿宋"/>
          <w:b w:val="0"/>
          <w:bCs w:val="0"/>
          <w:sz w:val="32"/>
          <w:szCs w:val="32"/>
        </w:rPr>
        <w:t>支出</w:t>
      </w:r>
      <w:r>
        <w:rPr>
          <w:rFonts w:hint="eastAsia" w:ascii="仿宋" w:hAnsi="仿宋" w:eastAsia="仿宋" w:cs="仿宋"/>
          <w:b w:val="0"/>
          <w:bCs w:val="0"/>
          <w:sz w:val="32"/>
          <w:szCs w:val="32"/>
          <w:lang w:val="en-US" w:eastAsia="zh-CN"/>
        </w:rPr>
        <w:t>6.33</w:t>
      </w:r>
      <w:r>
        <w:rPr>
          <w:rFonts w:hint="eastAsia" w:ascii="仿宋" w:hAnsi="仿宋" w:eastAsia="仿宋" w:cs="仿宋"/>
          <w:b w:val="0"/>
          <w:bCs w:val="0"/>
          <w:sz w:val="32"/>
          <w:szCs w:val="32"/>
        </w:rPr>
        <w:t>万元，主要用于</w:t>
      </w:r>
      <w:r>
        <w:rPr>
          <w:rFonts w:hint="eastAsia" w:ascii="仿宋" w:hAnsi="仿宋" w:eastAsia="仿宋" w:cs="仿宋"/>
          <w:b w:val="0"/>
          <w:bCs w:val="0"/>
          <w:sz w:val="32"/>
          <w:szCs w:val="32"/>
          <w:lang w:eastAsia="zh-CN"/>
        </w:rPr>
        <w:t>审计人员岗位津贴</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审计工作经费</w:t>
      </w:r>
      <w:r>
        <w:rPr>
          <w:rFonts w:hint="eastAsia" w:ascii="仿宋" w:hAnsi="仿宋" w:eastAsia="仿宋" w:cs="仿宋"/>
          <w:b w:val="0"/>
          <w:bCs w:val="0"/>
          <w:sz w:val="32"/>
          <w:szCs w:val="32"/>
        </w:rPr>
        <w:t>支出</w:t>
      </w:r>
      <w:r>
        <w:rPr>
          <w:rFonts w:hint="eastAsia" w:ascii="仿宋" w:hAnsi="仿宋" w:eastAsia="仿宋" w:cs="仿宋"/>
          <w:b w:val="0"/>
          <w:bCs w:val="0"/>
          <w:sz w:val="32"/>
          <w:szCs w:val="32"/>
          <w:lang w:val="en-US" w:eastAsia="zh-CN"/>
        </w:rPr>
        <w:t>60</w:t>
      </w:r>
      <w:r>
        <w:rPr>
          <w:rFonts w:hint="eastAsia" w:ascii="仿宋" w:hAnsi="仿宋" w:eastAsia="仿宋" w:cs="仿宋"/>
          <w:b w:val="0"/>
          <w:bCs w:val="0"/>
          <w:sz w:val="32"/>
          <w:szCs w:val="32"/>
        </w:rPr>
        <w:t>万元，主要用于</w:t>
      </w:r>
      <w:r>
        <w:rPr>
          <w:rFonts w:hint="eastAsia" w:ascii="仿宋" w:hAnsi="仿宋" w:eastAsia="仿宋" w:cs="仿宋"/>
          <w:b w:val="0"/>
          <w:bCs w:val="0"/>
          <w:sz w:val="32"/>
          <w:szCs w:val="32"/>
          <w:lang w:eastAsia="zh-CN"/>
        </w:rPr>
        <w:t>审计业务费</w:t>
      </w:r>
      <w:r>
        <w:rPr>
          <w:rFonts w:hint="eastAsia" w:ascii="仿宋" w:hAnsi="仿宋" w:eastAsia="仿宋" w:cs="仿宋"/>
          <w:b w:val="0"/>
          <w:bCs w:val="0"/>
          <w:sz w:val="32"/>
          <w:szCs w:val="32"/>
        </w:rPr>
        <w:t>等方面；</w:t>
      </w:r>
      <w:r>
        <w:rPr>
          <w:rFonts w:hint="eastAsia" w:ascii="仿宋" w:hAnsi="仿宋" w:eastAsia="仿宋" w:cs="仿宋"/>
          <w:b w:val="0"/>
          <w:bCs w:val="0"/>
          <w:sz w:val="32"/>
          <w:szCs w:val="32"/>
          <w:lang w:eastAsia="zh-CN"/>
        </w:rPr>
        <w:t>购买第三方造价咨询服务费</w:t>
      </w:r>
      <w:r>
        <w:rPr>
          <w:rFonts w:hint="eastAsia" w:ascii="仿宋" w:hAnsi="仿宋" w:eastAsia="仿宋" w:cs="仿宋"/>
          <w:b w:val="0"/>
          <w:bCs w:val="0"/>
          <w:sz w:val="32"/>
          <w:szCs w:val="32"/>
          <w:lang w:val="en-US" w:eastAsia="zh-CN"/>
        </w:rPr>
        <w:t>50万元，主要用于购买服务第三方造价咨询服务费。</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rPr>
      </w:pPr>
    </w:p>
    <w:p>
      <w:pPr>
        <w:keepNext w:val="0"/>
        <w:keepLines w:val="0"/>
        <w:pageBreakBefore w:val="0"/>
        <w:kinsoku/>
        <w:wordWrap/>
        <w:overflowPunct/>
        <w:topLinePunct w:val="0"/>
        <w:autoSpaceDE w:val="0"/>
        <w:autoSpaceDN w:val="0"/>
        <w:bidi w:val="0"/>
        <w:adjustRightInd w:val="0"/>
        <w:snapToGrid/>
        <w:spacing w:line="520" w:lineRule="exact"/>
        <w:ind w:left="2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五、政府性基金预算支出    </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2023年政府性基金支出为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万元，具体安排为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w:t>
      </w:r>
    </w:p>
    <w:p>
      <w:pPr>
        <w:keepNext w:val="0"/>
        <w:keepLines w:val="0"/>
        <w:pageBreakBefore w:val="0"/>
        <w:kinsoku/>
        <w:wordWrap/>
        <w:overflowPunct/>
        <w:topLinePunct w:val="0"/>
        <w:autoSpaceDE w:val="0"/>
        <w:autoSpaceDN w:val="0"/>
        <w:bidi w:val="0"/>
        <w:adjustRightInd w:val="0"/>
        <w:snapToGrid/>
        <w:spacing w:line="520" w:lineRule="exact"/>
        <w:ind w:left="2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六、其他重要事项的情况说明    </w:t>
      </w:r>
    </w:p>
    <w:p>
      <w:pPr>
        <w:keepNext w:val="0"/>
        <w:keepLines w:val="0"/>
        <w:pageBreakBefore w:val="0"/>
        <w:kinsoku/>
        <w:wordWrap/>
        <w:overflowPunct/>
        <w:topLinePunct w:val="0"/>
        <w:autoSpaceDE w:val="0"/>
        <w:autoSpaceDN w:val="0"/>
        <w:bidi w:val="0"/>
        <w:adjustRightInd w:val="0"/>
        <w:snapToGrid/>
        <w:spacing w:line="520" w:lineRule="exact"/>
        <w:ind w:left="2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（一）机关运行经费    </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2023年机关运行经费一般公共预算拨款</w:t>
      </w:r>
      <w:r>
        <w:rPr>
          <w:rFonts w:hint="eastAsia" w:ascii="仿宋" w:hAnsi="仿宋" w:eastAsia="仿宋" w:cs="仿宋"/>
          <w:b w:val="0"/>
          <w:bCs w:val="0"/>
          <w:sz w:val="32"/>
          <w:szCs w:val="32"/>
          <w:lang w:val="en-US" w:eastAsia="zh-CN"/>
        </w:rPr>
        <w:t>50.84</w:t>
      </w:r>
      <w:r>
        <w:rPr>
          <w:rFonts w:hint="eastAsia" w:ascii="仿宋" w:hAnsi="仿宋" w:eastAsia="仿宋" w:cs="仿宋"/>
          <w:b w:val="0"/>
          <w:bCs w:val="0"/>
          <w:sz w:val="32"/>
          <w:szCs w:val="32"/>
        </w:rPr>
        <w:t>万元，比去年预算数增加</w:t>
      </w:r>
      <w:r>
        <w:rPr>
          <w:rFonts w:hint="eastAsia" w:ascii="仿宋" w:hAnsi="仿宋" w:eastAsia="仿宋" w:cs="仿宋"/>
          <w:b w:val="0"/>
          <w:bCs w:val="0"/>
          <w:sz w:val="32"/>
          <w:szCs w:val="32"/>
          <w:lang w:val="en-US" w:eastAsia="zh-CN"/>
        </w:rPr>
        <w:t>17.84</w:t>
      </w:r>
      <w:r>
        <w:rPr>
          <w:rFonts w:hint="eastAsia" w:ascii="仿宋" w:hAnsi="仿宋" w:eastAsia="仿宋" w:cs="仿宋"/>
          <w:b w:val="0"/>
          <w:bCs w:val="0"/>
          <w:sz w:val="32"/>
          <w:szCs w:val="32"/>
        </w:rPr>
        <w:t>万元，提高</w:t>
      </w:r>
      <w:r>
        <w:rPr>
          <w:rFonts w:hint="eastAsia" w:ascii="仿宋" w:hAnsi="仿宋" w:eastAsia="仿宋" w:cs="仿宋"/>
          <w:b w:val="0"/>
          <w:bCs w:val="0"/>
          <w:sz w:val="32"/>
          <w:szCs w:val="32"/>
          <w:lang w:val="en-US" w:eastAsia="zh-CN"/>
        </w:rPr>
        <w:t>54</w:t>
      </w:r>
      <w:r>
        <w:rPr>
          <w:rFonts w:hint="eastAsia" w:ascii="仿宋" w:hAnsi="仿宋" w:eastAsia="仿宋" w:cs="仿宋"/>
          <w:b w:val="0"/>
          <w:bCs w:val="0"/>
          <w:sz w:val="32"/>
          <w:szCs w:val="32"/>
        </w:rPr>
        <w:t>%，主要因为</w:t>
      </w:r>
      <w:r>
        <w:rPr>
          <w:rFonts w:hint="eastAsia" w:ascii="仿宋" w:hAnsi="仿宋" w:eastAsia="仿宋" w:cs="仿宋"/>
          <w:b w:val="0"/>
          <w:bCs w:val="0"/>
          <w:sz w:val="32"/>
          <w:szCs w:val="32"/>
          <w:lang w:eastAsia="zh-CN"/>
        </w:rPr>
        <w:t>人员增加</w:t>
      </w:r>
      <w:r>
        <w:rPr>
          <w:rFonts w:hint="eastAsia" w:ascii="仿宋" w:hAnsi="仿宋" w:eastAsia="仿宋" w:cs="仿宋"/>
          <w:b w:val="0"/>
          <w:bCs w:val="0"/>
          <w:sz w:val="32"/>
          <w:szCs w:val="32"/>
        </w:rPr>
        <w:t>。</w:t>
      </w:r>
    </w:p>
    <w:p>
      <w:pPr>
        <w:keepNext w:val="0"/>
        <w:keepLines w:val="0"/>
        <w:pageBreakBefore w:val="0"/>
        <w:kinsoku/>
        <w:wordWrap/>
        <w:overflowPunct/>
        <w:topLinePunct w:val="0"/>
        <w:autoSpaceDE w:val="0"/>
        <w:autoSpaceDN w:val="0"/>
        <w:bidi w:val="0"/>
        <w:adjustRightInd w:val="0"/>
        <w:snapToGrid/>
        <w:spacing w:line="520" w:lineRule="exact"/>
        <w:ind w:left="2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（二）“三公”经费预算    </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2023年</w:t>
      </w:r>
      <w:r>
        <w:rPr>
          <w:rFonts w:hint="eastAsia" w:ascii="仿宋" w:hAnsi="仿宋" w:eastAsia="仿宋" w:cs="仿宋"/>
          <w:b w:val="0"/>
          <w:bCs w:val="0"/>
          <w:sz w:val="32"/>
          <w:szCs w:val="32"/>
          <w:lang w:eastAsia="zh-CN"/>
        </w:rPr>
        <w:t>审计局</w:t>
      </w:r>
      <w:r>
        <w:rPr>
          <w:rFonts w:hint="eastAsia" w:ascii="仿宋" w:hAnsi="仿宋" w:eastAsia="仿宋" w:cs="仿宋"/>
          <w:b w:val="0"/>
          <w:bCs w:val="0"/>
          <w:sz w:val="32"/>
          <w:szCs w:val="32"/>
        </w:rPr>
        <w:t>部门一般公共预算拨款安排“三公”经费预算数为</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万元，其中，公务接待费</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万元，公务用车购置费</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万元，公务用车运行费</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万元，因公出国（境）费</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万元。2023年“三公”经费预算较2022年预算数减少</w:t>
      </w:r>
      <w:r>
        <w:rPr>
          <w:rFonts w:hint="eastAsia" w:ascii="仿宋" w:hAnsi="仿宋" w:eastAsia="仿宋" w:cs="仿宋"/>
          <w:b w:val="0"/>
          <w:bCs w:val="0"/>
          <w:sz w:val="32"/>
          <w:szCs w:val="32"/>
          <w:lang w:val="en-US" w:eastAsia="zh-CN"/>
        </w:rPr>
        <w:t>14.3</w:t>
      </w:r>
      <w:r>
        <w:rPr>
          <w:rFonts w:hint="eastAsia" w:ascii="仿宋" w:hAnsi="仿宋" w:eastAsia="仿宋" w:cs="仿宋"/>
          <w:b w:val="0"/>
          <w:bCs w:val="0"/>
          <w:sz w:val="32"/>
          <w:szCs w:val="32"/>
        </w:rPr>
        <w:t>万元，下降</w:t>
      </w:r>
      <w:r>
        <w:rPr>
          <w:rFonts w:hint="eastAsia" w:ascii="仿宋" w:hAnsi="仿宋" w:eastAsia="仿宋" w:cs="仿宋"/>
          <w:b w:val="0"/>
          <w:bCs w:val="0"/>
          <w:sz w:val="32"/>
          <w:szCs w:val="32"/>
          <w:lang w:val="en-US" w:eastAsia="zh-CN"/>
        </w:rPr>
        <w:t>93.46</w:t>
      </w:r>
      <w:r>
        <w:rPr>
          <w:rFonts w:hint="eastAsia" w:ascii="仿宋" w:hAnsi="仿宋" w:eastAsia="仿宋" w:cs="仿宋"/>
          <w:b w:val="0"/>
          <w:bCs w:val="0"/>
          <w:sz w:val="32"/>
          <w:szCs w:val="32"/>
        </w:rPr>
        <w:t>%，主要因为</w:t>
      </w:r>
      <w:r>
        <w:rPr>
          <w:rFonts w:hint="eastAsia" w:ascii="仿宋" w:hAnsi="仿宋" w:eastAsia="仿宋" w:cs="仿宋"/>
          <w:b w:val="0"/>
          <w:bCs w:val="0"/>
          <w:sz w:val="32"/>
          <w:szCs w:val="32"/>
          <w:lang w:eastAsia="zh-CN"/>
        </w:rPr>
        <w:t>厉行节约及减少了公务运行车辆维护费</w:t>
      </w:r>
      <w:r>
        <w:rPr>
          <w:rFonts w:hint="eastAsia" w:ascii="仿宋" w:hAnsi="仿宋" w:eastAsia="仿宋" w:cs="仿宋"/>
          <w:b w:val="0"/>
          <w:bCs w:val="0"/>
          <w:sz w:val="32"/>
          <w:szCs w:val="32"/>
        </w:rPr>
        <w:t>。</w:t>
      </w:r>
    </w:p>
    <w:p>
      <w:pPr>
        <w:keepNext w:val="0"/>
        <w:keepLines w:val="0"/>
        <w:pageBreakBefore w:val="0"/>
        <w:numPr>
          <w:ilvl w:val="0"/>
          <w:numId w:val="1"/>
        </w:numPr>
        <w:kinsoku/>
        <w:wordWrap/>
        <w:overflowPunct/>
        <w:topLinePunct w:val="0"/>
        <w:autoSpaceDE w:val="0"/>
        <w:autoSpaceDN w:val="0"/>
        <w:bidi w:val="0"/>
        <w:adjustRightInd w:val="0"/>
        <w:snapToGrid/>
        <w:spacing w:line="520" w:lineRule="exact"/>
        <w:ind w:left="2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一般性支出预算</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2023年</w:t>
      </w:r>
      <w:r>
        <w:rPr>
          <w:rFonts w:hint="eastAsia" w:ascii="仿宋" w:hAnsi="仿宋" w:eastAsia="仿宋" w:cs="仿宋"/>
          <w:b w:val="0"/>
          <w:bCs w:val="0"/>
          <w:sz w:val="32"/>
          <w:szCs w:val="32"/>
          <w:lang w:eastAsia="zh-CN"/>
        </w:rPr>
        <w:t>时审计局</w:t>
      </w:r>
      <w:r>
        <w:rPr>
          <w:rFonts w:hint="eastAsia" w:ascii="仿宋" w:hAnsi="仿宋" w:eastAsia="仿宋" w:cs="仿宋"/>
          <w:b w:val="0"/>
          <w:bCs w:val="0"/>
          <w:sz w:val="32"/>
          <w:szCs w:val="32"/>
        </w:rPr>
        <w:t>一般性支出预算</w:t>
      </w:r>
      <w:r>
        <w:rPr>
          <w:rFonts w:hint="eastAsia" w:ascii="仿宋" w:hAnsi="仿宋" w:eastAsia="仿宋" w:cs="仿宋"/>
          <w:b w:val="0"/>
          <w:bCs w:val="0"/>
          <w:sz w:val="32"/>
          <w:szCs w:val="32"/>
          <w:lang w:val="en-US" w:eastAsia="zh-CN"/>
        </w:rPr>
        <w:t>158.94</w:t>
      </w:r>
      <w:r>
        <w:rPr>
          <w:rFonts w:hint="eastAsia" w:ascii="仿宋" w:hAnsi="仿宋" w:eastAsia="仿宋" w:cs="仿宋"/>
          <w:b w:val="0"/>
          <w:bCs w:val="0"/>
          <w:sz w:val="32"/>
          <w:szCs w:val="32"/>
        </w:rPr>
        <w:t xml:space="preserve">万元，主要用于一般公共预算拨款安排的商品和服务支出中的办公费、印刷费、咨询费、水费、电费、邮电费、取暖费、物业管理费、差旅费、维修(护)费、租赁费、会议费、培训费、公务接待费、被装购置费、劳务费、委托业务费、其他交通费用等。   </w:t>
      </w:r>
    </w:p>
    <w:p>
      <w:pPr>
        <w:keepNext w:val="0"/>
        <w:keepLines w:val="0"/>
        <w:pageBreakBefore w:val="0"/>
        <w:kinsoku/>
        <w:wordWrap/>
        <w:overflowPunct/>
        <w:topLinePunct w:val="0"/>
        <w:autoSpaceDE w:val="0"/>
        <w:autoSpaceDN w:val="0"/>
        <w:bidi w:val="0"/>
        <w:adjustRightInd w:val="0"/>
        <w:snapToGrid/>
        <w:spacing w:line="520" w:lineRule="exact"/>
        <w:ind w:left="2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（四）政府采购情况    </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2023年</w:t>
      </w:r>
      <w:r>
        <w:rPr>
          <w:rFonts w:hint="eastAsia" w:ascii="仿宋" w:hAnsi="仿宋" w:eastAsia="仿宋" w:cs="仿宋"/>
          <w:b w:val="0"/>
          <w:bCs w:val="0"/>
          <w:sz w:val="32"/>
          <w:szCs w:val="32"/>
          <w:lang w:eastAsia="zh-CN"/>
        </w:rPr>
        <w:t>审计局</w:t>
      </w:r>
      <w:r>
        <w:rPr>
          <w:rFonts w:hint="eastAsia" w:ascii="仿宋" w:hAnsi="仿宋" w:eastAsia="仿宋" w:cs="仿宋"/>
          <w:b w:val="0"/>
          <w:bCs w:val="0"/>
          <w:sz w:val="32"/>
          <w:szCs w:val="32"/>
        </w:rPr>
        <w:t>部门政府采购预算总额</w:t>
      </w:r>
      <w:r>
        <w:rPr>
          <w:rFonts w:hint="eastAsia" w:ascii="仿宋" w:hAnsi="仿宋" w:eastAsia="仿宋" w:cs="仿宋"/>
          <w:b w:val="0"/>
          <w:bCs w:val="0"/>
          <w:sz w:val="32"/>
          <w:szCs w:val="32"/>
          <w:lang w:val="en-US" w:eastAsia="zh-CN"/>
        </w:rPr>
        <w:t>50</w:t>
      </w:r>
      <w:r>
        <w:rPr>
          <w:rFonts w:hint="eastAsia" w:ascii="仿宋" w:hAnsi="仿宋" w:eastAsia="仿宋" w:cs="仿宋"/>
          <w:b w:val="0"/>
          <w:bCs w:val="0"/>
          <w:sz w:val="32"/>
          <w:szCs w:val="32"/>
        </w:rPr>
        <w:t>万元，其中，政府采购货物预算</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万元、政府采购工程预算</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万元、政府采购服务预算</w:t>
      </w:r>
      <w:r>
        <w:rPr>
          <w:rFonts w:hint="eastAsia" w:ascii="仿宋" w:hAnsi="仿宋" w:eastAsia="仿宋" w:cs="仿宋"/>
          <w:b w:val="0"/>
          <w:bCs w:val="0"/>
          <w:sz w:val="32"/>
          <w:szCs w:val="32"/>
          <w:lang w:val="en-US" w:eastAsia="zh-CN"/>
        </w:rPr>
        <w:t>50</w:t>
      </w:r>
      <w:r>
        <w:rPr>
          <w:rFonts w:hint="eastAsia" w:ascii="仿宋" w:hAnsi="仿宋" w:eastAsia="仿宋" w:cs="仿宋"/>
          <w:b w:val="0"/>
          <w:bCs w:val="0"/>
          <w:sz w:val="32"/>
          <w:szCs w:val="32"/>
        </w:rPr>
        <w:t>万元。</w:t>
      </w:r>
    </w:p>
    <w:p>
      <w:pPr>
        <w:keepNext w:val="0"/>
        <w:keepLines w:val="0"/>
        <w:pageBreakBefore w:val="0"/>
        <w:kinsoku/>
        <w:wordWrap/>
        <w:overflowPunct/>
        <w:topLinePunct w:val="0"/>
        <w:autoSpaceDE w:val="0"/>
        <w:autoSpaceDN w:val="0"/>
        <w:bidi w:val="0"/>
        <w:adjustRightInd w:val="0"/>
        <w:snapToGrid/>
        <w:spacing w:line="52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（五）国有资产占用使用情况说明:</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1、截至2022年12月31日，本部门共有车辆</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辆，其中，一般公务用车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辆、一般执法执勤用车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辆、特种专业技术用车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辆、其他用车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辆。单位价值50 万元以上通用设备</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台（套），单价100 万元以上专用设备</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台（套）。</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2、2023年，本部门拟新增资产具体为：公务用车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辆，价值</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万元；单价50万元以上通用设备</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台（套）；单价100万元以上的专用设备</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台（套）。</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（六）预算绩效目标说明：按照我市预算绩效管理工作的总体要求，2023年我单位整体支出</w:t>
      </w:r>
      <w:r>
        <w:rPr>
          <w:rFonts w:hint="eastAsia" w:ascii="仿宋" w:hAnsi="仿宋" w:eastAsia="仿宋" w:cs="仿宋"/>
          <w:b w:val="0"/>
          <w:bCs w:val="0"/>
          <w:sz w:val="32"/>
          <w:szCs w:val="32"/>
          <w:lang w:val="en-US" w:eastAsia="zh-CN"/>
        </w:rPr>
        <w:t>514.53</w:t>
      </w:r>
      <w:r>
        <w:rPr>
          <w:rFonts w:hint="eastAsia" w:ascii="仿宋" w:hAnsi="仿宋" w:eastAsia="仿宋" w:cs="仿宋"/>
          <w:b w:val="0"/>
          <w:bCs w:val="0"/>
          <w:sz w:val="32"/>
          <w:szCs w:val="32"/>
        </w:rPr>
        <w:t>万元，全部实行整体支出绩效目标管理，编报绩效目标的项目</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个，涉及项目支出</w:t>
      </w:r>
      <w:r>
        <w:rPr>
          <w:rFonts w:hint="eastAsia" w:ascii="仿宋" w:hAnsi="仿宋" w:eastAsia="仿宋" w:cs="仿宋"/>
          <w:b w:val="0"/>
          <w:bCs w:val="0"/>
          <w:sz w:val="32"/>
          <w:szCs w:val="32"/>
          <w:lang w:val="en-US" w:eastAsia="zh-CN"/>
        </w:rPr>
        <w:t>116.33</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审计补贴</w:t>
      </w:r>
      <w:r>
        <w:rPr>
          <w:rFonts w:hint="eastAsia" w:ascii="仿宋" w:hAnsi="仿宋" w:eastAsia="仿宋" w:cs="仿宋"/>
          <w:b w:val="0"/>
          <w:bCs w:val="0"/>
          <w:sz w:val="32"/>
          <w:szCs w:val="32"/>
        </w:rPr>
        <w:t>支出</w:t>
      </w:r>
      <w:r>
        <w:rPr>
          <w:rFonts w:hint="eastAsia" w:ascii="仿宋" w:hAnsi="仿宋" w:eastAsia="仿宋" w:cs="仿宋"/>
          <w:b w:val="0"/>
          <w:bCs w:val="0"/>
          <w:sz w:val="32"/>
          <w:szCs w:val="32"/>
          <w:lang w:val="en-US" w:eastAsia="zh-CN"/>
        </w:rPr>
        <w:t>6.33</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审计工作经费</w:t>
      </w:r>
      <w:r>
        <w:rPr>
          <w:rFonts w:hint="eastAsia" w:ascii="仿宋" w:hAnsi="仿宋" w:eastAsia="仿宋" w:cs="仿宋"/>
          <w:b w:val="0"/>
          <w:bCs w:val="0"/>
          <w:sz w:val="32"/>
          <w:szCs w:val="32"/>
        </w:rPr>
        <w:t>支出</w:t>
      </w:r>
      <w:r>
        <w:rPr>
          <w:rFonts w:hint="eastAsia" w:ascii="仿宋" w:hAnsi="仿宋" w:eastAsia="仿宋" w:cs="仿宋"/>
          <w:b w:val="0"/>
          <w:bCs w:val="0"/>
          <w:sz w:val="32"/>
          <w:szCs w:val="32"/>
          <w:lang w:val="en-US" w:eastAsia="zh-CN"/>
        </w:rPr>
        <w:t>60</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购买第三方造价咨询服务费</w:t>
      </w:r>
      <w:r>
        <w:rPr>
          <w:rFonts w:hint="eastAsia" w:ascii="仿宋" w:hAnsi="仿宋" w:eastAsia="仿宋" w:cs="仿宋"/>
          <w:b w:val="0"/>
          <w:bCs w:val="0"/>
          <w:sz w:val="32"/>
          <w:szCs w:val="32"/>
          <w:lang w:val="en-US" w:eastAsia="zh-CN"/>
        </w:rPr>
        <w:t>50万元</w:t>
      </w:r>
      <w:r>
        <w:rPr>
          <w:rFonts w:hint="eastAsia" w:ascii="仿宋" w:hAnsi="仿宋" w:eastAsia="仿宋" w:cs="仿宋"/>
          <w:b w:val="0"/>
          <w:bCs w:val="0"/>
          <w:sz w:val="32"/>
          <w:szCs w:val="32"/>
        </w:rPr>
        <w:t>，全部实行项目支出绩效目标管理。</w:t>
      </w:r>
    </w:p>
    <w:p>
      <w:pPr>
        <w:keepNext w:val="0"/>
        <w:keepLines w:val="0"/>
        <w:pageBreakBefore w:val="0"/>
        <w:kinsoku/>
        <w:wordWrap/>
        <w:overflowPunct/>
        <w:topLinePunct w:val="0"/>
        <w:autoSpaceDE w:val="0"/>
        <w:autoSpaceDN w:val="0"/>
        <w:bidi w:val="0"/>
        <w:adjustRightInd w:val="0"/>
        <w:snapToGrid/>
        <w:spacing w:line="520" w:lineRule="exact"/>
        <w:ind w:firstLine="960" w:firstLineChars="3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七、名词解释</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机关（事业）单位运行经费：是指机关（事业）单位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 w:hAnsi="仿宋" w:eastAsia="仿宋" w:cs="仿宋"/>
          <w:b w:val="0"/>
          <w:bCs w:val="0"/>
          <w:sz w:val="32"/>
          <w:szCs w:val="32"/>
        </w:rPr>
      </w:pPr>
    </w:p>
    <w:p>
      <w:pPr>
        <w:pStyle w:val="2"/>
        <w:keepNext w:val="0"/>
        <w:keepLines w:val="0"/>
        <w:pageBreakBefore w:val="0"/>
        <w:kinsoku/>
        <w:wordWrap/>
        <w:overflowPunct/>
        <w:topLinePunct w:val="0"/>
        <w:bidi w:val="0"/>
        <w:snapToGrid/>
        <w:spacing w:line="480" w:lineRule="exact"/>
        <w:ind w:firstLine="600"/>
        <w:textAlignment w:val="auto"/>
        <w:rPr>
          <w:b w:val="0"/>
          <w:bCs w:val="0"/>
        </w:rPr>
      </w:pPr>
    </w:p>
    <w:p>
      <w:pPr>
        <w:keepNext w:val="0"/>
        <w:keepLines w:val="0"/>
        <w:pageBreakBefore w:val="0"/>
        <w:kinsoku/>
        <w:wordWrap/>
        <w:overflowPunct/>
        <w:topLinePunct w:val="0"/>
        <w:autoSpaceDE/>
        <w:autoSpaceDN/>
        <w:bidi w:val="0"/>
        <w:adjustRightInd/>
        <w:snapToGrid/>
        <w:spacing w:line="480" w:lineRule="exact"/>
        <w:ind w:firstLine="880" w:firstLineChars="200"/>
        <w:jc w:val="both"/>
        <w:textAlignment w:val="auto"/>
        <w:rPr>
          <w:rFonts w:ascii="Times New Roman" w:hAnsi="Times New Roman" w:eastAsia="经典黑体简" w:cs="Times New Roman"/>
          <w:b w:val="0"/>
          <w:bCs w:val="0"/>
          <w:sz w:val="44"/>
          <w:szCs w:val="44"/>
        </w:rPr>
      </w:pPr>
    </w:p>
    <w:p>
      <w:pPr>
        <w:keepNext w:val="0"/>
        <w:keepLines w:val="0"/>
        <w:pageBreakBefore w:val="0"/>
        <w:kinsoku/>
        <w:wordWrap/>
        <w:overflowPunct/>
        <w:topLinePunct w:val="0"/>
        <w:autoSpaceDE/>
        <w:autoSpaceDN/>
        <w:bidi w:val="0"/>
        <w:adjustRightInd/>
        <w:snapToGrid/>
        <w:spacing w:line="480" w:lineRule="exact"/>
        <w:ind w:firstLine="880" w:firstLineChars="200"/>
        <w:jc w:val="both"/>
        <w:textAlignment w:val="auto"/>
        <w:rPr>
          <w:rFonts w:ascii="Times New Roman" w:hAnsi="Times New Roman" w:eastAsia="经典黑体简" w:cs="Times New Roman"/>
          <w:b w:val="0"/>
          <w:bCs w:val="0"/>
          <w:sz w:val="44"/>
          <w:szCs w:val="44"/>
        </w:rPr>
      </w:pPr>
    </w:p>
    <w:p>
      <w:pPr>
        <w:keepNext w:val="0"/>
        <w:keepLines w:val="0"/>
        <w:pageBreakBefore w:val="0"/>
        <w:kinsoku/>
        <w:wordWrap/>
        <w:overflowPunct/>
        <w:topLinePunct w:val="0"/>
        <w:autoSpaceDE/>
        <w:autoSpaceDN/>
        <w:bidi w:val="0"/>
        <w:adjustRightInd/>
        <w:snapToGrid/>
        <w:spacing w:line="480" w:lineRule="exact"/>
        <w:ind w:firstLine="880" w:firstLineChars="200"/>
        <w:jc w:val="both"/>
        <w:textAlignment w:val="auto"/>
        <w:rPr>
          <w:rFonts w:ascii="Times New Roman" w:hAnsi="Times New Roman" w:eastAsia="经典黑体简" w:cs="Times New Roman"/>
          <w:b w:val="0"/>
          <w:bCs w:val="0"/>
          <w:sz w:val="44"/>
          <w:szCs w:val="44"/>
        </w:rPr>
      </w:pPr>
    </w:p>
    <w:p>
      <w:pPr>
        <w:keepNext w:val="0"/>
        <w:keepLines w:val="0"/>
        <w:pageBreakBefore w:val="0"/>
        <w:kinsoku/>
        <w:wordWrap/>
        <w:overflowPunct/>
        <w:topLinePunct w:val="0"/>
        <w:autoSpaceDE/>
        <w:autoSpaceDN/>
        <w:bidi w:val="0"/>
        <w:adjustRightInd/>
        <w:snapToGrid/>
        <w:spacing w:line="480" w:lineRule="exact"/>
        <w:ind w:firstLine="880" w:firstLineChars="200"/>
        <w:jc w:val="both"/>
        <w:textAlignment w:val="auto"/>
        <w:rPr>
          <w:rFonts w:ascii="仿宋" w:hAnsi="仿宋" w:eastAsia="仿宋" w:cs="仿宋"/>
          <w:b w:val="0"/>
          <w:bCs w:val="0"/>
          <w:sz w:val="32"/>
          <w:szCs w:val="32"/>
        </w:rPr>
      </w:pPr>
      <w:r>
        <w:rPr>
          <w:rFonts w:ascii="Times New Roman" w:hAnsi="Times New Roman" w:eastAsia="经典黑体简" w:cs="Times New Roman"/>
          <w:b w:val="0"/>
          <w:bCs w:val="0"/>
          <w:sz w:val="44"/>
          <w:szCs w:val="44"/>
        </w:rPr>
        <w:t>第二部分</w:t>
      </w:r>
      <w:r>
        <w:rPr>
          <w:rFonts w:hint="eastAsia" w:eastAsia="经典黑体简" w:cs="Times New Roman"/>
          <w:b w:val="0"/>
          <w:bCs w:val="0"/>
          <w:sz w:val="44"/>
          <w:szCs w:val="44"/>
        </w:rPr>
        <w:t>2023</w:t>
      </w:r>
      <w:r>
        <w:rPr>
          <w:rFonts w:ascii="Times New Roman" w:hAnsi="Times New Roman" w:eastAsia="经典黑体简" w:cs="Times New Roman"/>
          <w:b w:val="0"/>
          <w:bCs w:val="0"/>
          <w:sz w:val="44"/>
          <w:szCs w:val="44"/>
        </w:rPr>
        <w:t>年部门预算公开表</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经典黑体简">
    <w:altName w:val="SimSun-ExtB"/>
    <w:panose1 w:val="00000000000000000000"/>
    <w:charset w:val="86"/>
    <w:family w:val="auto"/>
    <w:pitch w:val="default"/>
    <w:sig w:usb0="00000000" w:usb1="00000000" w:usb2="0000001E" w:usb3="00000000" w:csb0="20040000" w:csb1="00000000"/>
  </w:font>
  <w:font w:name="仿宋">
    <w:panose1 w:val="02010609060101010101"/>
    <w:charset w:val="86"/>
    <w:family w:val="modern"/>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37033"/>
    <w:multiLevelType w:val="singleLevel"/>
    <w:tmpl w:val="5C63703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docVars>
    <w:docVar w:name="commondata" w:val="eyJoZGlkIjoiMzE1MGRiNzc5MTNmZTA0MmY0OTlhNjYzZmFlMDY3ZTYifQ=="/>
  </w:docVars>
  <w:rsids>
    <w:rsidRoot w:val="00AC121B"/>
    <w:rsid w:val="00024549"/>
    <w:rsid w:val="00071DC5"/>
    <w:rsid w:val="00090D75"/>
    <w:rsid w:val="000A3261"/>
    <w:rsid w:val="000A483E"/>
    <w:rsid w:val="000E1839"/>
    <w:rsid w:val="000F782D"/>
    <w:rsid w:val="001568E7"/>
    <w:rsid w:val="00216A8F"/>
    <w:rsid w:val="002423B2"/>
    <w:rsid w:val="00246159"/>
    <w:rsid w:val="002515D8"/>
    <w:rsid w:val="00256A72"/>
    <w:rsid w:val="00266E7A"/>
    <w:rsid w:val="00286253"/>
    <w:rsid w:val="002B7811"/>
    <w:rsid w:val="002E390B"/>
    <w:rsid w:val="003142D0"/>
    <w:rsid w:val="00323B43"/>
    <w:rsid w:val="003405EC"/>
    <w:rsid w:val="003D37D8"/>
    <w:rsid w:val="003E2EEB"/>
    <w:rsid w:val="003E7127"/>
    <w:rsid w:val="00404601"/>
    <w:rsid w:val="004358AB"/>
    <w:rsid w:val="00480ADC"/>
    <w:rsid w:val="005430E0"/>
    <w:rsid w:val="00546082"/>
    <w:rsid w:val="005943A1"/>
    <w:rsid w:val="005A3827"/>
    <w:rsid w:val="00614FAC"/>
    <w:rsid w:val="00633D6B"/>
    <w:rsid w:val="00655544"/>
    <w:rsid w:val="006F72F4"/>
    <w:rsid w:val="00796C85"/>
    <w:rsid w:val="00876CB0"/>
    <w:rsid w:val="008B7726"/>
    <w:rsid w:val="00900A2E"/>
    <w:rsid w:val="00902D5E"/>
    <w:rsid w:val="00904F1B"/>
    <w:rsid w:val="009170E6"/>
    <w:rsid w:val="00922D0D"/>
    <w:rsid w:val="00937828"/>
    <w:rsid w:val="0095354E"/>
    <w:rsid w:val="00A20FCB"/>
    <w:rsid w:val="00A635DE"/>
    <w:rsid w:val="00A933E7"/>
    <w:rsid w:val="00AC121B"/>
    <w:rsid w:val="00B647F8"/>
    <w:rsid w:val="00B96B59"/>
    <w:rsid w:val="00C114C3"/>
    <w:rsid w:val="00C251DE"/>
    <w:rsid w:val="00C45809"/>
    <w:rsid w:val="00C83146"/>
    <w:rsid w:val="00C838F9"/>
    <w:rsid w:val="00C93F9B"/>
    <w:rsid w:val="00CA7112"/>
    <w:rsid w:val="00CE1E53"/>
    <w:rsid w:val="00DE49A1"/>
    <w:rsid w:val="00E60BA9"/>
    <w:rsid w:val="00EB5BDF"/>
    <w:rsid w:val="00F329C1"/>
    <w:rsid w:val="00F90487"/>
    <w:rsid w:val="00F91992"/>
    <w:rsid w:val="00F91E9F"/>
    <w:rsid w:val="00FA5603"/>
    <w:rsid w:val="00FF24DC"/>
    <w:rsid w:val="044709D6"/>
    <w:rsid w:val="06D36822"/>
    <w:rsid w:val="085E1E06"/>
    <w:rsid w:val="0DB7653F"/>
    <w:rsid w:val="13685B2E"/>
    <w:rsid w:val="14BF039C"/>
    <w:rsid w:val="152A4D1C"/>
    <w:rsid w:val="19874D25"/>
    <w:rsid w:val="1A082900"/>
    <w:rsid w:val="23832610"/>
    <w:rsid w:val="23BB3B1D"/>
    <w:rsid w:val="240F5DE0"/>
    <w:rsid w:val="28D05617"/>
    <w:rsid w:val="2F257855"/>
    <w:rsid w:val="311B3FE9"/>
    <w:rsid w:val="396D59EA"/>
    <w:rsid w:val="3FB73A09"/>
    <w:rsid w:val="414F18C3"/>
    <w:rsid w:val="4209201A"/>
    <w:rsid w:val="432B675E"/>
    <w:rsid w:val="43C02409"/>
    <w:rsid w:val="455603DD"/>
    <w:rsid w:val="47EF1BCE"/>
    <w:rsid w:val="48172480"/>
    <w:rsid w:val="4C433254"/>
    <w:rsid w:val="4D52663F"/>
    <w:rsid w:val="4F90464F"/>
    <w:rsid w:val="59124E98"/>
    <w:rsid w:val="60725FEE"/>
    <w:rsid w:val="635E3A4C"/>
    <w:rsid w:val="64D63DA1"/>
    <w:rsid w:val="65FF3551"/>
    <w:rsid w:val="66FF28E5"/>
    <w:rsid w:val="69F77DBA"/>
    <w:rsid w:val="72CF2C79"/>
    <w:rsid w:val="75451507"/>
    <w:rsid w:val="7BF04A34"/>
    <w:rsid w:val="7F0306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Arial" w:hAnsi="Arial" w:cs="Arial" w:eastAsiaTheme="minorEastAsia"/>
      <w:color w:val="000000"/>
      <w:sz w:val="24"/>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adjustRightInd/>
      <w:spacing w:line="360" w:lineRule="auto"/>
      <w:ind w:firstLine="200" w:firstLineChars="200"/>
      <w:jc w:val="both"/>
    </w:pPr>
    <w:rPr>
      <w:rFonts w:ascii="Times New Roman" w:hAnsi="Times New Roman" w:eastAsia="宋体" w:cs="Times New Roman"/>
      <w:color w:val="auto"/>
      <w:kern w:val="2"/>
      <w:sz w:val="30"/>
      <w:szCs w:val="30"/>
    </w:rPr>
  </w:style>
  <w:style w:type="paragraph" w:customStyle="1" w:styleId="3">
    <w:name w:val="p0"/>
    <w:next w:val="4"/>
    <w:qFormat/>
    <w:uiPriority w:val="0"/>
    <w:pPr>
      <w:spacing w:line="365" w:lineRule="atLeast"/>
      <w:ind w:left="1"/>
    </w:pPr>
    <w:rPr>
      <w:rFonts w:ascii="Times New Roman" w:hAnsi="Times New Roman" w:eastAsia="宋体" w:cs="Times New Roman"/>
      <w:sz w:val="24"/>
      <w:lang w:val="en-US" w:eastAsia="zh-CN" w:bidi="ar-SA"/>
    </w:rPr>
  </w:style>
  <w:style w:type="paragraph" w:styleId="4">
    <w:name w:val="index 5"/>
    <w:basedOn w:val="1"/>
    <w:next w:val="1"/>
    <w:qFormat/>
    <w:uiPriority w:val="0"/>
    <w:pPr>
      <w:ind w:left="1680"/>
    </w:pPr>
  </w:style>
  <w:style w:type="paragraph" w:styleId="5">
    <w:name w:val="footer"/>
    <w:basedOn w:val="1"/>
    <w:qFormat/>
    <w:uiPriority w:val="0"/>
    <w:pPr>
      <w:tabs>
        <w:tab w:val="center" w:pos="4153"/>
        <w:tab w:val="right" w:pos="8307"/>
      </w:tabs>
      <w:snapToGrid w:val="0"/>
    </w:pPr>
    <w:rPr>
      <w:sz w:val="18"/>
    </w:rPr>
  </w:style>
  <w:style w:type="paragraph" w:styleId="6">
    <w:name w:val="header"/>
    <w:basedOn w:val="1"/>
    <w:next w:val="1"/>
    <w:qFormat/>
    <w:uiPriority w:val="0"/>
    <w:pPr>
      <w:pBdr>
        <w:bottom w:val="single" w:color="auto" w:sz="6" w:space="1"/>
      </w:pBdr>
      <w:tabs>
        <w:tab w:val="center" w:pos="4153"/>
        <w:tab w:val="right" w:pos="8306"/>
      </w:tabs>
      <w:snapToGrid w:val="0"/>
      <w:jc w:val="center"/>
    </w:pPr>
    <w:rPr>
      <w:rFonts w:ascii="Times New Roman" w:hAnsi="Times New Roman" w:eastAsia="仿宋_GB2312"/>
      <w:kern w:val="2"/>
      <w:sz w:val="18"/>
      <w:szCs w:val="18"/>
    </w:rPr>
  </w:style>
  <w:style w:type="paragraph" w:styleId="7">
    <w:name w:val="footnote text"/>
    <w:basedOn w:val="1"/>
    <w:link w:val="12"/>
    <w:unhideWhenUsed/>
    <w:qFormat/>
    <w:uiPriority w:val="99"/>
    <w:pPr>
      <w:autoSpaceDE/>
      <w:autoSpaceDN/>
      <w:adjustRightInd/>
      <w:snapToGrid w:val="0"/>
    </w:pPr>
    <w:rPr>
      <w:rFonts w:ascii="Calibri" w:hAnsi="Calibri" w:eastAsia="宋体" w:cs="Times New Roman"/>
      <w:color w:val="auto"/>
      <w:kern w:val="2"/>
      <w:sz w:val="18"/>
      <w:szCs w:val="18"/>
    </w:rPr>
  </w:style>
  <w:style w:type="paragraph" w:styleId="8">
    <w:name w:val="Normal (Web)"/>
    <w:basedOn w:val="1"/>
    <w:next w:val="5"/>
    <w:qFormat/>
    <w:uiPriority w:val="0"/>
    <w:pPr>
      <w:widowControl/>
      <w:spacing w:before="100" w:beforeAutospacing="1" w:after="100" w:afterAutospacing="1"/>
    </w:pPr>
    <w:rPr>
      <w:rFonts w:ascii="宋体" w:eastAsia="宋体" w:cs="宋体"/>
    </w:rPr>
  </w:style>
  <w:style w:type="character" w:styleId="11">
    <w:name w:val="page number"/>
    <w:basedOn w:val="10"/>
    <w:qFormat/>
    <w:uiPriority w:val="0"/>
  </w:style>
  <w:style w:type="character" w:customStyle="1" w:styleId="12">
    <w:name w:val="脚注文本 Char"/>
    <w:basedOn w:val="10"/>
    <w:link w:val="7"/>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2972</Words>
  <Characters>3154</Characters>
  <Lines>18</Lines>
  <Paragraphs>5</Paragraphs>
  <TotalTime>3</TotalTime>
  <ScaleCrop>false</ScaleCrop>
  <LinksUpToDate>false</LinksUpToDate>
  <CharactersWithSpaces>3205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2022-07-06T03:07:00Z</dcterms:created>
  <dc:creator>xtzj</dc:creator>
  <cp:lastModifiedBy>巍</cp:lastModifiedBy>
  <dcterms:modified xsi:type="dcterms:W3CDTF">2023-03-30T00:18:57Z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ABD685962939423093DB5507D4170118_12</vt:lpwstr>
  </property>
</Properties>
</file>