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C0960">
      <w:pPr>
        <w:pStyle w:val="2"/>
        <w:spacing w:line="600" w:lineRule="exact"/>
        <w:ind w:firstLine="0" w:firstLineChars="0"/>
        <w:rPr>
          <w:rFonts w:ascii="Calibri" w:hAnsi="仿宋_GB2312" w:eastAsia="仿宋_GB2312" w:cs="仿宋_GB2312"/>
          <w:sz w:val="32"/>
          <w:szCs w:val="32"/>
        </w:rPr>
      </w:pPr>
      <w:r>
        <w:rPr>
          <w:rFonts w:hint="eastAsia" w:ascii="Calibri" w:hAnsi="仿宋_GB2312" w:eastAsia="仿宋_GB2312" w:cs="仿宋_GB2312"/>
          <w:sz w:val="32"/>
          <w:szCs w:val="32"/>
        </w:rPr>
        <w:t>附件1</w:t>
      </w:r>
    </w:p>
    <w:p w14:paraId="24130B50">
      <w:pPr>
        <w:autoSpaceDE/>
        <w:autoSpaceDN/>
        <w:adjustRightInd/>
        <w:spacing w:line="520" w:lineRule="exact"/>
        <w:jc w:val="center"/>
        <w:rPr>
          <w:rFonts w:ascii="Calibri" w:hAnsi="黑体" w:eastAsia="黑体" w:cs="黑体"/>
          <w:sz w:val="36"/>
          <w:szCs w:val="36"/>
        </w:rPr>
      </w:pPr>
    </w:p>
    <w:p w14:paraId="7807CD11">
      <w:pPr>
        <w:autoSpaceDE/>
        <w:autoSpaceDN/>
        <w:adjustRightInd/>
        <w:spacing w:line="520" w:lineRule="exact"/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Calibri" w:hAnsi="黑体" w:eastAsia="黑体" w:cs="黑体"/>
          <w:sz w:val="36"/>
          <w:szCs w:val="36"/>
        </w:rPr>
        <w:t>洪江市</w:t>
      </w:r>
      <w:r>
        <w:rPr>
          <w:rFonts w:hint="eastAsia" w:ascii="Calibri" w:hAnsi="黑体" w:eastAsia="黑体" w:cs="黑体"/>
          <w:sz w:val="36"/>
          <w:szCs w:val="36"/>
          <w:lang w:val="en-US" w:eastAsia="zh-CN"/>
        </w:rPr>
        <w:t>退役军人事务局</w:t>
      </w:r>
      <w:r>
        <w:rPr>
          <w:rFonts w:hint="eastAsia" w:ascii="Calibri" w:hAnsi="黑体" w:eastAsia="黑体" w:cs="黑体"/>
          <w:sz w:val="36"/>
          <w:szCs w:val="36"/>
        </w:rPr>
        <w:t>202</w:t>
      </w:r>
      <w:r>
        <w:rPr>
          <w:rFonts w:hint="eastAsia" w:ascii="Calibri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Calibri" w:hAnsi="黑体" w:eastAsia="黑体" w:cs="黑体"/>
          <w:sz w:val="36"/>
          <w:szCs w:val="36"/>
        </w:rPr>
        <w:t>年部门预算编制说明</w:t>
      </w:r>
    </w:p>
    <w:p w14:paraId="02F03805">
      <w:pPr>
        <w:autoSpaceDE/>
        <w:autoSpaceDN/>
        <w:adjustRightInd/>
        <w:spacing w:line="520" w:lineRule="exact"/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目录</w:t>
      </w:r>
    </w:p>
    <w:p w14:paraId="44D4B914">
      <w:pPr>
        <w:autoSpaceDE/>
        <w:autoSpaceDN/>
        <w:adjustRightInd/>
        <w:spacing w:line="520" w:lineRule="exact"/>
        <w:ind w:firstLine="627" w:firstLineChars="196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第一部分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年部门预算</w:t>
      </w:r>
      <w:r>
        <w:rPr>
          <w:rFonts w:hint="eastAsia" w:eastAsia="仿宋_GB2312" w:cs="Times New Roman"/>
          <w:bCs/>
          <w:sz w:val="32"/>
          <w:szCs w:val="32"/>
        </w:rPr>
        <w:t>编制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说明</w:t>
      </w:r>
    </w:p>
    <w:p w14:paraId="16A13EE9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一、部门基本</w:t>
      </w:r>
      <w:r>
        <w:rPr>
          <w:rFonts w:hint="eastAsia" w:eastAsia="仿宋_GB2312" w:cs="Times New Roman"/>
          <w:bCs/>
          <w:sz w:val="32"/>
          <w:szCs w:val="32"/>
        </w:rPr>
        <w:t>情况</w:t>
      </w:r>
    </w:p>
    <w:p w14:paraId="37DF27F8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</w:t>
      </w:r>
      <w:r>
        <w:rPr>
          <w:rFonts w:hint="eastAsia" w:eastAsia="仿宋_GB2312" w:cs="Times New Roman"/>
          <w:bCs/>
          <w:sz w:val="32"/>
          <w:szCs w:val="32"/>
        </w:rPr>
        <w:t>单位职能职责</w:t>
      </w:r>
    </w:p>
    <w:p w14:paraId="124C8590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（二）机构设置</w:t>
      </w:r>
    </w:p>
    <w:p w14:paraId="5B0DAC74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二、部门预算单位构成</w:t>
      </w:r>
    </w:p>
    <w:p w14:paraId="2CC9E8A5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三、部门收支总体情况</w:t>
      </w:r>
    </w:p>
    <w:p w14:paraId="662EE18A">
      <w:pPr>
        <w:pStyle w:val="7"/>
        <w:widowControl w:val="0"/>
        <w:shd w:val="clear" w:color="auto" w:fill="FFFFFF"/>
        <w:autoSpaceDE/>
        <w:autoSpaceDN/>
        <w:adjustRightInd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（一）收入预算</w:t>
      </w:r>
    </w:p>
    <w:p w14:paraId="14F611C7">
      <w:pPr>
        <w:pStyle w:val="7"/>
        <w:widowControl w:val="0"/>
        <w:shd w:val="clear" w:color="auto" w:fill="FFFFFF"/>
        <w:autoSpaceDE/>
        <w:autoSpaceDN/>
        <w:adjustRightInd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（二）支出预算</w:t>
      </w:r>
    </w:p>
    <w:p w14:paraId="3946A97B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四、一般公共预算拨款支出</w:t>
      </w:r>
      <w:r>
        <w:rPr>
          <w:rFonts w:hint="eastAsia" w:eastAsia="仿宋_GB2312" w:cs="Times New Roman"/>
          <w:bCs/>
          <w:sz w:val="32"/>
          <w:szCs w:val="32"/>
        </w:rPr>
        <w:t>预算</w:t>
      </w:r>
    </w:p>
    <w:p w14:paraId="144E76B3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（一）基本支出</w:t>
      </w:r>
    </w:p>
    <w:p w14:paraId="77477CBE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（二）项目支出</w:t>
      </w:r>
    </w:p>
    <w:p w14:paraId="65215CDA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五、政府性基金支出</w:t>
      </w:r>
    </w:p>
    <w:p w14:paraId="4DE615A2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六、其他重要事项的情况说明</w:t>
      </w:r>
    </w:p>
    <w:p w14:paraId="3C076605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（一）机关运行经费</w:t>
      </w:r>
    </w:p>
    <w:p w14:paraId="2876841B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（二）“三公”经费</w:t>
      </w:r>
      <w:r>
        <w:rPr>
          <w:rFonts w:hint="eastAsia" w:eastAsia="仿宋_GB2312" w:cs="Times New Roman"/>
          <w:bCs/>
          <w:sz w:val="32"/>
          <w:szCs w:val="32"/>
        </w:rPr>
        <w:t>预算</w:t>
      </w:r>
    </w:p>
    <w:p w14:paraId="37F82226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一般性支出情况</w:t>
      </w:r>
    </w:p>
    <w:p w14:paraId="75F65423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eastAsia" w:eastAsia="仿宋_GB2312" w:cs="Times New Roman"/>
          <w:bCs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）政府采购情况</w:t>
      </w:r>
    </w:p>
    <w:p w14:paraId="7B0BCC81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（五）国有资产占用使用情况</w:t>
      </w:r>
      <w:r>
        <w:rPr>
          <w:rFonts w:hint="eastAsia" w:eastAsia="仿宋_GB2312" w:cs="Times New Roman"/>
          <w:bCs/>
          <w:sz w:val="32"/>
          <w:szCs w:val="32"/>
        </w:rPr>
        <w:t>说明</w:t>
      </w:r>
    </w:p>
    <w:p w14:paraId="2BDEF0F5">
      <w:pPr>
        <w:autoSpaceDE/>
        <w:autoSpaceDN/>
        <w:adjustRightInd/>
        <w:spacing w:line="520" w:lineRule="exact"/>
        <w:ind w:firstLine="640" w:firstLineChars="200"/>
        <w:rPr>
          <w:rFonts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（六）预算绩效</w:t>
      </w:r>
      <w:r>
        <w:rPr>
          <w:rFonts w:hint="eastAsia" w:eastAsia="仿宋_GB2312" w:cs="Times New Roman"/>
          <w:bCs/>
          <w:sz w:val="32"/>
          <w:szCs w:val="32"/>
        </w:rPr>
        <w:t>目标说明</w:t>
      </w:r>
    </w:p>
    <w:p w14:paraId="4482776F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七、名词解释</w:t>
      </w:r>
    </w:p>
    <w:p w14:paraId="54D6F5D8">
      <w:pPr>
        <w:autoSpaceDE/>
        <w:autoSpaceDN/>
        <w:adjustRightInd/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第二部分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年部门预算公开表</w:t>
      </w:r>
    </w:p>
    <w:p w14:paraId="62EAB1B1">
      <w:pPr>
        <w:autoSpaceDE/>
        <w:autoSpaceDN/>
        <w:adjustRightInd/>
        <w:spacing w:line="520" w:lineRule="exact"/>
        <w:jc w:val="center"/>
        <w:rPr>
          <w:rFonts w:ascii="Times New Roman" w:hAnsi="Times New Roman" w:eastAsia="经典黑体简" w:cs="Times New Roman"/>
          <w:bCs/>
          <w:sz w:val="44"/>
          <w:szCs w:val="44"/>
        </w:rPr>
      </w:pPr>
    </w:p>
    <w:p w14:paraId="21B27895">
      <w:pPr>
        <w:jc w:val="center"/>
        <w:rPr>
          <w:rFonts w:ascii="宋体" w:hAnsi="Times New Roman" w:eastAsia="宋体" w:cs="宋体"/>
          <w:b/>
          <w:bCs/>
          <w:sz w:val="42"/>
          <w:szCs w:val="42"/>
        </w:rPr>
      </w:pPr>
    </w:p>
    <w:p w14:paraId="73C60434">
      <w:pPr>
        <w:autoSpaceDE/>
        <w:autoSpaceDN/>
        <w:adjustRightInd/>
        <w:spacing w:line="520" w:lineRule="exact"/>
        <w:ind w:firstLine="880" w:firstLineChars="200"/>
        <w:jc w:val="both"/>
        <w:rPr>
          <w:rFonts w:ascii="Times New Roman" w:hAnsi="Times New Roman" w:eastAsia="经典黑体简" w:cs="Times New Roman"/>
          <w:bCs/>
          <w:sz w:val="44"/>
          <w:szCs w:val="44"/>
        </w:rPr>
      </w:pPr>
      <w:r>
        <w:rPr>
          <w:rFonts w:ascii="Times New Roman" w:hAnsi="Times New Roman" w:eastAsia="经典黑体简" w:cs="Times New Roman"/>
          <w:bCs/>
          <w:sz w:val="44"/>
          <w:szCs w:val="44"/>
        </w:rPr>
        <w:t>第一部分</w:t>
      </w:r>
      <w:r>
        <w:rPr>
          <w:rFonts w:hint="eastAsia" w:eastAsia="经典黑体简" w:cs="Times New Roman"/>
          <w:bCs/>
          <w:sz w:val="44"/>
          <w:szCs w:val="44"/>
        </w:rPr>
        <w:t>202</w:t>
      </w:r>
      <w:r>
        <w:rPr>
          <w:rFonts w:hint="eastAsia" w:eastAsia="经典黑体简" w:cs="Times New Roman"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经典黑体简" w:cs="Times New Roman"/>
          <w:bCs/>
          <w:sz w:val="44"/>
          <w:szCs w:val="44"/>
        </w:rPr>
        <w:t>年部门预算</w:t>
      </w:r>
      <w:r>
        <w:rPr>
          <w:rFonts w:hint="eastAsia" w:eastAsia="经典黑体简" w:cs="Times New Roman"/>
          <w:bCs/>
          <w:sz w:val="44"/>
          <w:szCs w:val="44"/>
        </w:rPr>
        <w:t>编制</w:t>
      </w:r>
      <w:r>
        <w:rPr>
          <w:rFonts w:ascii="Times New Roman" w:hAnsi="Times New Roman" w:eastAsia="经典黑体简" w:cs="Times New Roman"/>
          <w:bCs/>
          <w:sz w:val="44"/>
          <w:szCs w:val="44"/>
        </w:rPr>
        <w:t>说明</w:t>
      </w:r>
    </w:p>
    <w:p w14:paraId="0AE3C5F2">
      <w:pPr>
        <w:autoSpaceDE/>
        <w:autoSpaceDN/>
        <w:adjustRightInd/>
        <w:spacing w:line="52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4C85E05">
      <w:pPr>
        <w:jc w:val="center"/>
        <w:rPr>
          <w:rFonts w:ascii="宋体" w:hAnsi="Times New Roman" w:eastAsia="宋体" w:cs="宋体"/>
          <w:b/>
          <w:bCs/>
          <w:sz w:val="42"/>
          <w:szCs w:val="42"/>
        </w:rPr>
      </w:pPr>
    </w:p>
    <w:p w14:paraId="4B88E7B1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27" w:firstLineChars="196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一、部门基本情况</w:t>
      </w:r>
    </w:p>
    <w:p w14:paraId="5006C478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27" w:firstLineChars="196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（一）单位职能职责</w:t>
      </w:r>
    </w:p>
    <w:p w14:paraId="5FA8881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</w:t>
      </w:r>
      <w:r>
        <w:rPr>
          <w:rFonts w:hint="eastAsia" w:ascii="仿宋" w:hAnsi="仿宋" w:eastAsia="仿宋" w:cs="仿宋"/>
          <w:sz w:val="32"/>
          <w:szCs w:val="32"/>
        </w:rPr>
        <w:t>役军人事务局系我市机构改革新组建的政府组成部门，履行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拥军优抚、军休服务、移交安置、创业就业、褒扬纪念等行政职能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 w14:paraId="78982580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27" w:firstLineChars="196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（二）机构设置</w:t>
      </w:r>
    </w:p>
    <w:p w14:paraId="0995B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洪江市退役军人事务局</w:t>
      </w:r>
      <w:r>
        <w:rPr>
          <w:rFonts w:hint="eastAsia" w:ascii="仿宋" w:hAnsi="仿宋" w:eastAsia="仿宋" w:cs="仿宋"/>
          <w:sz w:val="32"/>
          <w:szCs w:val="32"/>
        </w:rPr>
        <w:t>作为部门预算单位，内设机构有：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内设综合室、就业创业移交安置股、拥军优军休管理股3个股室，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下设光荣院、军干所、</w:t>
      </w:r>
      <w:r>
        <w:rPr>
          <w:rFonts w:hint="eastAsia" w:ascii="仿宋" w:hAnsi="仿宋" w:eastAsia="仿宋" w:cs="仿宋"/>
          <w:sz w:val="32"/>
          <w:szCs w:val="32"/>
        </w:rPr>
        <w:t>退役军人服务中心3个事业单位。</w:t>
      </w:r>
    </w:p>
    <w:p w14:paraId="03A58FDB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2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二、部门预算单位构成    </w:t>
      </w:r>
    </w:p>
    <w:p w14:paraId="7DA73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年部门预算编制范围的为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洪江市退役军人事务局</w:t>
      </w:r>
      <w:r>
        <w:rPr>
          <w:rFonts w:hint="eastAsia" w:ascii="仿宋" w:hAnsi="仿宋" w:eastAsia="仿宋" w:cs="仿宋"/>
          <w:sz w:val="32"/>
          <w:szCs w:val="32"/>
        </w:rPr>
        <w:t>本级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洪江市光荣院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42D2321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720" w:leftChars="3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三、部门收支总体情况    </w:t>
      </w:r>
    </w:p>
    <w:p w14:paraId="1BF0988C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年部门预算包括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洪江市退役军人事务局</w:t>
      </w:r>
      <w:r>
        <w:rPr>
          <w:rFonts w:hint="eastAsia" w:ascii="仿宋" w:hAnsi="仿宋" w:eastAsia="仿宋" w:cs="仿宋"/>
          <w:sz w:val="32"/>
          <w:szCs w:val="32"/>
        </w:rPr>
        <w:t>的收入、支出及专项经费安排情况。收入既包括公共预算财政拨款和政府性基金拨款，又包括上级补助收入等；支出既包括保障局机关基本运行的经费，也包括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归口管理、面向全市分配的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社会保障类</w:t>
      </w:r>
      <w:r>
        <w:rPr>
          <w:rFonts w:hint="eastAsia" w:ascii="仿宋" w:hAnsi="仿宋" w:eastAsia="仿宋" w:cs="仿宋"/>
          <w:sz w:val="32"/>
          <w:szCs w:val="32"/>
        </w:rPr>
        <w:t>专项经费。</w:t>
      </w:r>
    </w:p>
    <w:p w14:paraId="51A12360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（一）收入预算：202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450.32</w:t>
      </w:r>
      <w:r>
        <w:rPr>
          <w:rFonts w:hint="eastAsia" w:ascii="仿宋" w:hAnsi="仿宋" w:eastAsia="仿宋" w:cs="仿宋"/>
          <w:sz w:val="32"/>
          <w:szCs w:val="32"/>
        </w:rPr>
        <w:t>万元，其中，一般公共预算拨款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450.32</w:t>
      </w:r>
      <w:r>
        <w:rPr>
          <w:rFonts w:hint="eastAsia" w:ascii="仿宋" w:hAnsi="仿宋" w:eastAsia="仿宋" w:cs="仿宋"/>
          <w:sz w:val="32"/>
          <w:szCs w:val="32"/>
        </w:rPr>
        <w:t>万元，政府性基金预算拨款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万元，纳入财政专户管理的非税收入拨款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万元。收入较去年减少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657.22万元</w:t>
      </w:r>
      <w:r>
        <w:rPr>
          <w:rFonts w:hint="eastAsia" w:ascii="仿宋" w:hAnsi="仿宋" w:eastAsia="仿宋" w:cs="仿宋"/>
          <w:sz w:val="32"/>
          <w:szCs w:val="32"/>
        </w:rPr>
        <w:t>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有上级补助经费来源的专项资金2024年未纳入本级预算，导致专项资金减少。</w:t>
      </w:r>
    </w:p>
    <w:p w14:paraId="64995F43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（二）支出预算：202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450.32</w:t>
      </w:r>
      <w:r>
        <w:rPr>
          <w:rFonts w:hint="eastAsia" w:ascii="仿宋" w:hAnsi="仿宋" w:eastAsia="仿宋" w:cs="仿宋"/>
          <w:sz w:val="32"/>
          <w:szCs w:val="32"/>
        </w:rPr>
        <w:t>万元，其中：一般公共服务支出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万元，公共安全支出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万元，教育支出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万元，科学技术支出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万元，文化旅游体育与传媒支出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万元，社会保障和就业支出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435.41</w:t>
      </w:r>
      <w:r>
        <w:rPr>
          <w:rFonts w:hint="eastAsia" w:ascii="仿宋" w:hAnsi="仿宋" w:eastAsia="仿宋" w:cs="仿宋"/>
          <w:sz w:val="32"/>
          <w:szCs w:val="32"/>
        </w:rPr>
        <w:t>万元，社会保险基金支出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万元，卫生健康支出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14.91</w:t>
      </w:r>
      <w:r>
        <w:rPr>
          <w:rFonts w:hint="eastAsia" w:ascii="仿宋" w:hAnsi="仿宋" w:eastAsia="仿宋" w:cs="仿宋"/>
          <w:sz w:val="32"/>
          <w:szCs w:val="32"/>
        </w:rPr>
        <w:t>万元，节能环保支出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万元，城乡社区支出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万元，农林水支出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万元，交通运输支出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万元，资源勘探信息等支出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万元，商业服务业等支出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万元，金融支出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万元，援助其他地区支出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万元，自然资源海洋气象等支出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万元，住房保障支出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万元，粮油物资储备支出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万元，灾害防治及应急管理支出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万元，预备费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万元，其他支出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万元，转移性支出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万元，债务还本支出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万元，债务付息支出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万元，债务发行费用支出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万元。支出较去年预算减少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657.22</w:t>
      </w:r>
      <w:r>
        <w:rPr>
          <w:rFonts w:hint="eastAsia" w:ascii="仿宋" w:hAnsi="仿宋" w:eastAsia="仿宋" w:cs="仿宋"/>
          <w:sz w:val="32"/>
          <w:szCs w:val="32"/>
        </w:rPr>
        <w:t>万元，其中基本支出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增加1.15</w:t>
      </w:r>
      <w:r>
        <w:rPr>
          <w:rFonts w:hint="eastAsia" w:ascii="仿宋" w:hAnsi="仿宋" w:eastAsia="仿宋" w:cs="仿宋"/>
          <w:sz w:val="32"/>
          <w:szCs w:val="32"/>
        </w:rPr>
        <w:t>万元，项目支出减少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658.37</w:t>
      </w:r>
      <w:r>
        <w:rPr>
          <w:rFonts w:hint="eastAsia" w:ascii="仿宋" w:hAnsi="仿宋" w:eastAsia="仿宋" w:cs="仿宋"/>
          <w:sz w:val="32"/>
          <w:szCs w:val="32"/>
        </w:rPr>
        <w:t>万元。支出较去年减少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657.22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主要原因为为有上级补助经费来源的专项资金2024年未纳入本级预算，导致专项资金减少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407B930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四、一般公共预算拨款支出预算    </w:t>
      </w:r>
    </w:p>
    <w:p w14:paraId="1C774585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年一般公共预算拨款收入为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450.32</w:t>
      </w:r>
      <w:r>
        <w:rPr>
          <w:rFonts w:hint="eastAsia" w:ascii="仿宋" w:hAnsi="仿宋" w:eastAsia="仿宋" w:cs="仿宋"/>
          <w:sz w:val="32"/>
          <w:szCs w:val="32"/>
        </w:rPr>
        <w:t>万元，具体安排情况如下：</w:t>
      </w:r>
    </w:p>
    <w:p w14:paraId="4E4212D0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（一）基本支出：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年年初预算数为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289.68</w:t>
      </w:r>
      <w:r>
        <w:rPr>
          <w:rFonts w:hint="eastAsia" w:ascii="仿宋" w:hAnsi="仿宋" w:eastAsia="仿宋" w:cs="仿宋"/>
          <w:sz w:val="32"/>
          <w:szCs w:val="32"/>
        </w:rPr>
        <w:t>万元，是指为保障单位机构正常运转、完成日常工作任务而发生的各项支出，包括用于基本工资、津贴补贴、办公费、印刷费、水电费、办公设备购置费等日常公用经费。</w:t>
      </w:r>
    </w:p>
    <w:p w14:paraId="0725D33F">
      <w:pPr>
        <w:pStyle w:val="7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bidi w:val="0"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（二）项目支出：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年年初预算数为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160.64</w:t>
      </w:r>
      <w:r>
        <w:rPr>
          <w:rFonts w:hint="eastAsia" w:ascii="仿宋" w:hAnsi="仿宋" w:eastAsia="仿宋" w:cs="仿宋"/>
          <w:sz w:val="32"/>
          <w:szCs w:val="32"/>
        </w:rPr>
        <w:t>万元，是指单位为完成特定行政工作任务或事业发展目标而发生的支出，包括有关事业发展专项、专项业务费、基本建设支出等。其中：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其中优抚对象八一、春节慰问专项资金80万元，光荣院优抚对象生活、护理保障经费本级补助50万元，退役士兵生活困难补助11.64万元，符合政府安排工作退役士兵安置期间生活费15万元，军转干三节慰问及医保等经费4万元。</w:t>
      </w:r>
    </w:p>
    <w:p w14:paraId="6158CA10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2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五、政府性基金预算支出    </w:t>
      </w:r>
    </w:p>
    <w:p w14:paraId="0ED0965E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年政府性基金支出为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万元，具体安排为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52F025DB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2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六、其他重要事项的情况说明    </w:t>
      </w:r>
    </w:p>
    <w:p w14:paraId="6EB3ECD3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2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（一）机关运行经费    </w:t>
      </w:r>
    </w:p>
    <w:p w14:paraId="6FDC2FFF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年机关运行经费一般公共预算拨款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33.5</w:t>
      </w:r>
      <w:r>
        <w:rPr>
          <w:rFonts w:hint="eastAsia" w:ascii="仿宋" w:hAnsi="仿宋" w:eastAsia="仿宋" w:cs="仿宋"/>
          <w:sz w:val="32"/>
          <w:szCs w:val="32"/>
        </w:rPr>
        <w:t>万元，比去年预算数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增加5.97</w:t>
      </w:r>
      <w:r>
        <w:rPr>
          <w:rFonts w:hint="eastAsia" w:ascii="仿宋" w:hAnsi="仿宋" w:eastAsia="仿宋" w:cs="仿宋"/>
          <w:sz w:val="32"/>
          <w:szCs w:val="32"/>
        </w:rPr>
        <w:t>%，主要因为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工作人员增加。</w:t>
      </w:r>
    </w:p>
    <w:p w14:paraId="08E519C4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2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（二）“三公”经费预算    </w:t>
      </w:r>
    </w:p>
    <w:p w14:paraId="55AD4A81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一般公共预算拨款安排“三公”经费预算数为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0.88</w:t>
      </w:r>
      <w:r>
        <w:rPr>
          <w:rFonts w:hint="eastAsia" w:ascii="仿宋" w:hAnsi="仿宋" w:eastAsia="仿宋" w:cs="仿宋"/>
          <w:sz w:val="32"/>
          <w:szCs w:val="32"/>
        </w:rPr>
        <w:t>万元，其中，公务接待费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0.88</w:t>
      </w:r>
      <w:r>
        <w:rPr>
          <w:rFonts w:hint="eastAsia" w:ascii="仿宋" w:hAnsi="仿宋" w:eastAsia="仿宋" w:cs="仿宋"/>
          <w:sz w:val="32"/>
          <w:szCs w:val="32"/>
        </w:rPr>
        <w:t>万元，公务用车购置费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万元，公务用车运行费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年“三公”经费预算较202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年预算数减少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0.02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2.27</w:t>
      </w:r>
      <w:r>
        <w:rPr>
          <w:rFonts w:hint="eastAsia" w:ascii="仿宋" w:hAnsi="仿宋" w:eastAsia="仿宋" w:cs="仿宋"/>
          <w:sz w:val="32"/>
          <w:szCs w:val="32"/>
        </w:rPr>
        <w:t>%，主要因为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厉行节约，缩减三公经费开支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4DD99A1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auto"/>
        <w:ind w:left="2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一般性支出预算</w:t>
      </w:r>
    </w:p>
    <w:p w14:paraId="01B0AB4C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一般性支出预算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17.68</w:t>
      </w:r>
      <w:r>
        <w:rPr>
          <w:rFonts w:hint="eastAsia" w:ascii="仿宋" w:hAnsi="仿宋" w:eastAsia="仿宋" w:cs="仿宋"/>
          <w:sz w:val="32"/>
          <w:szCs w:val="32"/>
        </w:rPr>
        <w:t xml:space="preserve">万元，主要用于一般公共预算拨款安排的商品和服务支出中的办公费、印刷费、咨询费、水费、电费、邮电费、取暖费、物业管理费、差旅费、维修(护)费、租赁费、会议费、培训费、公务接待费、被装购置费、劳务费、委托业务费、其他交通费用等。   </w:t>
      </w:r>
    </w:p>
    <w:p w14:paraId="4EB1CA0F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2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（四）政府采购情况    </w:t>
      </w:r>
    </w:p>
    <w:p w14:paraId="5523F8DD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部门政府采购预算总额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万元，其中，政府采购货物预算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万元、政府采购工程预算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万元、政府采购服务预算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2534F3B9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textAlignment w:val="auto"/>
        <w:rPr>
          <w:rFonts w:eastAsia="仿宋_GB2312" w:cs="Times New Roman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（五）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国有资产占用使用情况</w:t>
      </w:r>
      <w:r>
        <w:rPr>
          <w:rFonts w:hint="eastAsia" w:eastAsia="仿宋_GB2312" w:cs="Times New Roman"/>
          <w:bCs/>
          <w:sz w:val="32"/>
          <w:szCs w:val="32"/>
        </w:rPr>
        <w:t>说明:</w:t>
      </w:r>
    </w:p>
    <w:p w14:paraId="5F4C9053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截至20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年12月31日，本部门共有车辆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辆，其中，一般公务用车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辆、一般执法执勤用车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辆、特种专业技术用车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辆、其他用车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辆。单位价值50 万元以上通用设备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台（套），单价100 万元以上专用设备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 w14:paraId="7CF373F8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年，本部门拟新增资产具体为：公务用车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辆，价值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万元；单价50万元以上通用设备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台（套）；单价100万元以上的专用设备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 w14:paraId="27B96B9C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（六）预算绩效目标说明：按照我市预算绩效管理工作的总体要求，202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年我单位整体支出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450.32</w:t>
      </w:r>
      <w:r>
        <w:rPr>
          <w:rFonts w:hint="eastAsia" w:ascii="仿宋" w:hAnsi="仿宋" w:eastAsia="仿宋" w:cs="仿宋"/>
          <w:sz w:val="32"/>
          <w:szCs w:val="32"/>
        </w:rPr>
        <w:t>万元，全部实行整体支出绩效目标管理，编报绩效目标的项目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个，涉及项目支出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160.64</w:t>
      </w:r>
      <w:r>
        <w:rPr>
          <w:rFonts w:hint="eastAsia" w:ascii="仿宋" w:hAnsi="仿宋" w:eastAsia="仿宋" w:cs="仿宋"/>
          <w:sz w:val="32"/>
          <w:szCs w:val="32"/>
        </w:rPr>
        <w:t>万元，其中工作经费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社会保障类</w:t>
      </w:r>
      <w:r>
        <w:rPr>
          <w:rFonts w:hint="eastAsia" w:ascii="仿宋" w:hAnsi="仿宋" w:eastAsia="仿宋" w:cs="仿宋"/>
          <w:sz w:val="32"/>
          <w:szCs w:val="32"/>
        </w:rPr>
        <w:t>专项经费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160.64</w:t>
      </w:r>
      <w:r>
        <w:rPr>
          <w:rFonts w:hint="eastAsia" w:ascii="仿宋" w:hAnsi="仿宋" w:eastAsia="仿宋" w:cs="仿宋"/>
          <w:sz w:val="32"/>
          <w:szCs w:val="32"/>
        </w:rPr>
        <w:t>万元，全部实行项目支出绩效目标管理。</w:t>
      </w:r>
    </w:p>
    <w:p w14:paraId="5FFF9A28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960" w:firstLineChars="3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七、名词解释</w:t>
      </w:r>
    </w:p>
    <w:p w14:paraId="1A54186F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机关（事业）单位运行经费：是指机关（事业）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0A9DA5A3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51D21AC7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2A2B059">
      <w:pPr>
        <w:pStyle w:val="2"/>
        <w:ind w:firstLine="600"/>
      </w:pPr>
    </w:p>
    <w:p w14:paraId="4D83C866">
      <w:pPr>
        <w:autoSpaceDE/>
        <w:autoSpaceDN/>
        <w:adjustRightInd/>
        <w:spacing w:line="520" w:lineRule="exact"/>
        <w:ind w:firstLine="88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经典黑体简" w:cs="Times New Roman"/>
          <w:sz w:val="44"/>
          <w:szCs w:val="44"/>
        </w:rPr>
        <w:t>第二部分</w:t>
      </w:r>
      <w:r>
        <w:rPr>
          <w:rFonts w:hint="eastAsia" w:eastAsia="经典黑体简" w:cs="Times New Roman"/>
          <w:sz w:val="44"/>
          <w:szCs w:val="44"/>
        </w:rPr>
        <w:t>202</w:t>
      </w:r>
      <w:r>
        <w:rPr>
          <w:rFonts w:hint="eastAsia" w:eastAsia="经典黑体简" w:cs="Times New Roman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经典黑体简" w:cs="Times New Roman"/>
          <w:sz w:val="44"/>
          <w:szCs w:val="44"/>
        </w:rPr>
        <w:t>年部门预算公开表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SimSun-ExtB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37033"/>
    <w:multiLevelType w:val="singleLevel"/>
    <w:tmpl w:val="5C63703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GNiOWNjOTA2ZmQ2YjM1NDBkZTEyYThhOWRmMzRiNDEifQ=="/>
  </w:docVars>
  <w:rsids>
    <w:rsidRoot w:val="00AC121B"/>
    <w:rsid w:val="00024549"/>
    <w:rsid w:val="00071DC5"/>
    <w:rsid w:val="00090D75"/>
    <w:rsid w:val="000A3261"/>
    <w:rsid w:val="000A483E"/>
    <w:rsid w:val="000E1839"/>
    <w:rsid w:val="000F782D"/>
    <w:rsid w:val="001568E7"/>
    <w:rsid w:val="00216A8F"/>
    <w:rsid w:val="002423B2"/>
    <w:rsid w:val="00246159"/>
    <w:rsid w:val="002515D8"/>
    <w:rsid w:val="00256A72"/>
    <w:rsid w:val="00266E7A"/>
    <w:rsid w:val="00286253"/>
    <w:rsid w:val="002B7811"/>
    <w:rsid w:val="002E390B"/>
    <w:rsid w:val="003142D0"/>
    <w:rsid w:val="00323B43"/>
    <w:rsid w:val="003405EC"/>
    <w:rsid w:val="003D37D8"/>
    <w:rsid w:val="003E2EEB"/>
    <w:rsid w:val="003E7127"/>
    <w:rsid w:val="00404601"/>
    <w:rsid w:val="004358AB"/>
    <w:rsid w:val="00480ADC"/>
    <w:rsid w:val="005430E0"/>
    <w:rsid w:val="00546082"/>
    <w:rsid w:val="005943A1"/>
    <w:rsid w:val="005A3827"/>
    <w:rsid w:val="00614FAC"/>
    <w:rsid w:val="00633D6B"/>
    <w:rsid w:val="00655544"/>
    <w:rsid w:val="006F72F4"/>
    <w:rsid w:val="00796C85"/>
    <w:rsid w:val="00876CB0"/>
    <w:rsid w:val="008B7726"/>
    <w:rsid w:val="00900A2E"/>
    <w:rsid w:val="00902D5E"/>
    <w:rsid w:val="00904F1B"/>
    <w:rsid w:val="009170E6"/>
    <w:rsid w:val="00922D0D"/>
    <w:rsid w:val="00937828"/>
    <w:rsid w:val="0095354E"/>
    <w:rsid w:val="00A20FCB"/>
    <w:rsid w:val="00A635DE"/>
    <w:rsid w:val="00A933E7"/>
    <w:rsid w:val="00AC121B"/>
    <w:rsid w:val="00B647F8"/>
    <w:rsid w:val="00B96B59"/>
    <w:rsid w:val="00C114C3"/>
    <w:rsid w:val="00C251DE"/>
    <w:rsid w:val="00C45809"/>
    <w:rsid w:val="00C83146"/>
    <w:rsid w:val="00C838F9"/>
    <w:rsid w:val="00C93F9B"/>
    <w:rsid w:val="00CA7112"/>
    <w:rsid w:val="00CE1E53"/>
    <w:rsid w:val="00DE49A1"/>
    <w:rsid w:val="00E60BA9"/>
    <w:rsid w:val="00EB5BDF"/>
    <w:rsid w:val="00F329C1"/>
    <w:rsid w:val="00F90487"/>
    <w:rsid w:val="00F91992"/>
    <w:rsid w:val="00F91E9F"/>
    <w:rsid w:val="00FA5603"/>
    <w:rsid w:val="00FF24DC"/>
    <w:rsid w:val="044709D6"/>
    <w:rsid w:val="06D36822"/>
    <w:rsid w:val="085E1E06"/>
    <w:rsid w:val="09D63364"/>
    <w:rsid w:val="0DB7653F"/>
    <w:rsid w:val="13685B2E"/>
    <w:rsid w:val="14BF039C"/>
    <w:rsid w:val="152A4D1C"/>
    <w:rsid w:val="23BB3B1D"/>
    <w:rsid w:val="28D05617"/>
    <w:rsid w:val="2CDC5146"/>
    <w:rsid w:val="311B3FE9"/>
    <w:rsid w:val="396D59EA"/>
    <w:rsid w:val="3FA4132B"/>
    <w:rsid w:val="3FB73A09"/>
    <w:rsid w:val="4209201A"/>
    <w:rsid w:val="432B675E"/>
    <w:rsid w:val="43C02409"/>
    <w:rsid w:val="44EE5E68"/>
    <w:rsid w:val="47EF1BCE"/>
    <w:rsid w:val="4C433254"/>
    <w:rsid w:val="4D52663F"/>
    <w:rsid w:val="4F90464F"/>
    <w:rsid w:val="59124E98"/>
    <w:rsid w:val="60725FEE"/>
    <w:rsid w:val="635E3A4C"/>
    <w:rsid w:val="65FF3551"/>
    <w:rsid w:val="66FF28E5"/>
    <w:rsid w:val="69F77DBA"/>
    <w:rsid w:val="75451507"/>
    <w:rsid w:val="760358E6"/>
    <w:rsid w:val="7BF04A34"/>
    <w:rsid w:val="7F030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adjustRightInd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auto"/>
      <w:kern w:val="2"/>
      <w:sz w:val="30"/>
      <w:szCs w:val="30"/>
    </w:rPr>
  </w:style>
  <w:style w:type="paragraph" w:customStyle="1" w:styleId="3">
    <w:name w:val="p0"/>
    <w:next w:val="4"/>
    <w:qFormat/>
    <w:uiPriority w:val="0"/>
    <w:pPr>
      <w:spacing w:line="365" w:lineRule="atLeast"/>
      <w:ind w:left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/>
      <w:kern w:val="2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6">
    <w:name w:val="footnote text"/>
    <w:basedOn w:val="1"/>
    <w:link w:val="11"/>
    <w:unhideWhenUsed/>
    <w:qFormat/>
    <w:uiPriority w:val="99"/>
    <w:pPr>
      <w:autoSpaceDE/>
      <w:autoSpaceDN/>
      <w:adjustRightInd/>
      <w:snapToGrid w:val="0"/>
    </w:pPr>
    <w:rPr>
      <w:rFonts w:ascii="Calibri" w:hAnsi="Calibri" w:eastAsia="宋体" w:cs="Times New Roman"/>
      <w:color w:val="auto"/>
      <w:kern w:val="2"/>
      <w:sz w:val="18"/>
      <w:szCs w:val="18"/>
    </w:rPr>
  </w:style>
  <w:style w:type="paragraph" w:styleId="7">
    <w:name w:val="Normal (Web)"/>
    <w:basedOn w:val="1"/>
    <w:next w:val="5"/>
    <w:qFormat/>
    <w:uiPriority w:val="0"/>
    <w:pPr>
      <w:widowControl/>
      <w:spacing w:before="100" w:beforeAutospacing="1" w:after="100" w:afterAutospacing="1"/>
    </w:pPr>
    <w:rPr>
      <w:rFonts w:ascii="宋体" w:eastAsia="宋体" w:cs="宋体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脚注文本 Char"/>
    <w:basedOn w:val="9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2483</Words>
  <Characters>2690</Characters>
  <Lines>18</Lines>
  <Paragraphs>5</Paragraphs>
  <TotalTime>105</TotalTime>
  <ScaleCrop>false</ScaleCrop>
  <LinksUpToDate>false</LinksUpToDate>
  <CharactersWithSpaces>2740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2022-07-06T03:07:00Z</dcterms:created>
  <dc:creator>xtzj</dc:creator>
  <cp:lastModifiedBy>M＊</cp:lastModifiedBy>
  <dcterms:modified xsi:type="dcterms:W3CDTF">2024-11-19T03:07:50Z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E6604F61B8F240079C0DBA746E109A49</vt:lpwstr>
  </property>
</Properties>
</file>