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年度部门整体支出绩效评价报告</w:t>
      </w:r>
    </w:p>
    <w:p>
      <w:pPr>
        <w:widowControl/>
        <w:spacing w:line="480" w:lineRule="auto"/>
        <w:ind w:firstLine="48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一、部门（单位）概况</w:t>
      </w:r>
    </w:p>
    <w:p>
      <w:pPr>
        <w:widowControl/>
        <w:spacing w:line="480" w:lineRule="auto"/>
        <w:ind w:firstLine="48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（一）部门（单位）基本情况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1．主要职能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退役军人事务局系我市机构改革新组建的政府组成部门，履行拥军优抚、军休服务、移交安置、创业就业、褒扬纪念等行政职能。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机构情况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根据上述职责，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我局内设综合室，就业创业移交安置股、拥军优军休管理股3个股室，下设光荣院、军干所、退役军人服务中心3个事业单位。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3．人员情况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我局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2021年</w:t>
      </w:r>
      <w:r>
        <w:rPr>
          <w:rFonts w:hint="eastAsia" w:ascii="宋体" w:hAnsi="宋体" w:eastAsia="宋体" w:cs="宋体"/>
          <w:sz w:val="32"/>
          <w:szCs w:val="32"/>
        </w:rPr>
        <w:t>编制人数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sz w:val="32"/>
          <w:szCs w:val="32"/>
        </w:rPr>
        <w:t>人，行政编制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人，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事业编制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18人</w:t>
      </w:r>
      <w:r>
        <w:rPr>
          <w:rFonts w:hint="eastAsia" w:ascii="宋体" w:hAnsi="宋体" w:eastAsia="宋体" w:cs="宋体"/>
          <w:sz w:val="32"/>
          <w:szCs w:val="32"/>
        </w:rPr>
        <w:t>。实际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在职</w:t>
      </w:r>
      <w:r>
        <w:rPr>
          <w:rFonts w:hint="eastAsia" w:ascii="宋体" w:hAnsi="宋体" w:eastAsia="宋体" w:cs="宋体"/>
          <w:sz w:val="32"/>
          <w:szCs w:val="32"/>
        </w:rPr>
        <w:t>人数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18</w:t>
      </w:r>
      <w:r>
        <w:rPr>
          <w:rFonts w:hint="eastAsia" w:ascii="宋体" w:hAnsi="宋体" w:eastAsia="宋体" w:cs="宋体"/>
          <w:sz w:val="32"/>
          <w:szCs w:val="32"/>
        </w:rPr>
        <w:t>人，其中行政编制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，事业编制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人。</w:t>
      </w:r>
    </w:p>
    <w:p>
      <w:pPr>
        <w:pStyle w:val="2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numPr>
          <w:ilvl w:val="0"/>
          <w:numId w:val="2"/>
        </w:numPr>
        <w:spacing w:line="480" w:lineRule="auto"/>
        <w:ind w:firstLine="48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部门（单位）整体支出规模、使用方向和主要内容、涉及范围等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right="0" w:rightChars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本年支出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4328.77</w:t>
      </w:r>
      <w:r>
        <w:rPr>
          <w:rFonts w:hint="eastAsia" w:ascii="宋体" w:hAnsi="宋体" w:eastAsia="宋体" w:cs="宋体"/>
          <w:sz w:val="32"/>
          <w:szCs w:val="32"/>
        </w:rPr>
        <w:t>万元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功能分类，</w:t>
      </w:r>
      <w:r>
        <w:rPr>
          <w:rFonts w:hint="eastAsia" w:ascii="宋体" w:hAnsi="宋体" w:eastAsia="宋体" w:cs="宋体"/>
          <w:sz w:val="32"/>
          <w:szCs w:val="32"/>
        </w:rPr>
        <w:t>本年支出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4328.77</w:t>
      </w:r>
      <w:r>
        <w:rPr>
          <w:rFonts w:hint="eastAsia" w:ascii="宋体" w:hAnsi="宋体" w:eastAsia="宋体" w:cs="宋体"/>
          <w:sz w:val="32"/>
          <w:szCs w:val="32"/>
        </w:rPr>
        <w:t>万元，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其中社会和保障就业支出4232.18万元，占总支出97.77%；卫生健康支出83.7万元，占总支出1.93%；农林水支出2.41万元，占总支出0.06%；住房和保障支出10.48万元；占总支出0.24%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按支出性质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分类</w:t>
      </w:r>
      <w:r>
        <w:rPr>
          <w:rFonts w:hint="eastAsia" w:ascii="宋体" w:hAnsi="宋体" w:eastAsia="宋体" w:cs="宋体"/>
          <w:sz w:val="32"/>
          <w:szCs w:val="32"/>
        </w:rPr>
        <w:t>，本年基本支出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217.03</w:t>
      </w:r>
      <w:r>
        <w:rPr>
          <w:rFonts w:hint="eastAsia" w:ascii="宋体" w:hAnsi="宋体" w:eastAsia="宋体" w:cs="宋体"/>
          <w:sz w:val="32"/>
          <w:szCs w:val="32"/>
        </w:rPr>
        <w:t>万元，占本年支出的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5.01</w:t>
      </w:r>
      <w:r>
        <w:rPr>
          <w:rFonts w:hint="eastAsia" w:ascii="宋体" w:hAnsi="宋体" w:eastAsia="宋体" w:cs="宋体"/>
          <w:sz w:val="32"/>
          <w:szCs w:val="32"/>
        </w:rPr>
        <w:t>%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其中人员经费支出164.17万元，占基本支出75.64%，占总支出3.79%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公用经费支出52.86万元，占基本支出24.36%，占总支出1.22%。项目支出4111.74万元，占总支出94.99%。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按支出经济分类，</w:t>
      </w:r>
      <w:r>
        <w:rPr>
          <w:rFonts w:hint="eastAsia" w:ascii="宋体" w:hAnsi="宋体" w:eastAsia="宋体" w:cs="宋体"/>
          <w:sz w:val="32"/>
          <w:szCs w:val="32"/>
        </w:rPr>
        <w:t>本年工资福利支出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162.97</w:t>
      </w:r>
      <w:r>
        <w:rPr>
          <w:rFonts w:hint="eastAsia" w:ascii="宋体" w:hAnsi="宋体" w:eastAsia="宋体" w:cs="宋体"/>
          <w:sz w:val="32"/>
          <w:szCs w:val="32"/>
        </w:rPr>
        <w:t>万元，占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总</w:t>
      </w:r>
      <w:r>
        <w:rPr>
          <w:rFonts w:hint="eastAsia" w:ascii="宋体" w:hAnsi="宋体" w:eastAsia="宋体" w:cs="宋体"/>
          <w:sz w:val="32"/>
          <w:szCs w:val="32"/>
        </w:rPr>
        <w:t>支出的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3.76</w:t>
      </w:r>
      <w:r>
        <w:rPr>
          <w:rFonts w:hint="eastAsia" w:ascii="宋体" w:hAnsi="宋体" w:eastAsia="宋体" w:cs="宋体"/>
          <w:sz w:val="32"/>
          <w:szCs w:val="32"/>
        </w:rPr>
        <w:t>%，商品服务支出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lang w:val="en-US" w:eastAsia="zh-CN"/>
        </w:rPr>
        <w:t>75.26</w:t>
      </w:r>
      <w:r>
        <w:rPr>
          <w:rFonts w:hint="eastAsia" w:ascii="宋体" w:hAnsi="宋体" w:eastAsia="宋体" w:cs="宋体"/>
          <w:sz w:val="32"/>
          <w:szCs w:val="32"/>
        </w:rPr>
        <w:t>万元，占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总</w:t>
      </w:r>
      <w:r>
        <w:rPr>
          <w:rFonts w:hint="eastAsia" w:ascii="宋体" w:hAnsi="宋体" w:eastAsia="宋体" w:cs="宋体"/>
          <w:sz w:val="32"/>
          <w:szCs w:val="32"/>
        </w:rPr>
        <w:t>支出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1.74%，对个人和家庭补助支出3992.34万元，</w:t>
      </w:r>
      <w:r>
        <w:rPr>
          <w:rFonts w:hint="eastAsia" w:ascii="宋体" w:hAnsi="宋体" w:eastAsia="宋体" w:cs="宋体"/>
          <w:sz w:val="32"/>
          <w:szCs w:val="32"/>
        </w:rPr>
        <w:t>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总</w:t>
      </w:r>
      <w:r>
        <w:rPr>
          <w:rFonts w:hint="eastAsia" w:ascii="宋体" w:hAnsi="宋体" w:eastAsia="宋体" w:cs="宋体"/>
          <w:sz w:val="32"/>
          <w:szCs w:val="32"/>
        </w:rPr>
        <w:t>支出的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92.23</w:t>
      </w:r>
      <w:r>
        <w:rPr>
          <w:rFonts w:hint="eastAsia" w:ascii="宋体" w:hAnsi="宋体" w:eastAsia="宋体" w:cs="宋体"/>
          <w:sz w:val="32"/>
          <w:szCs w:val="32"/>
        </w:rPr>
        <w:t>%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资本性支出98.20万元，占总支出的2.27%。</w:t>
      </w:r>
    </w:p>
    <w:p>
      <w:pPr>
        <w:pStyle w:val="2"/>
        <w:numPr>
          <w:ilvl w:val="0"/>
          <w:numId w:val="0"/>
        </w:numPr>
        <w:ind w:leftChars="200" w:right="0" w:rightChars="0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ind w:left="0" w:leftChars="0" w:firstLine="0" w:firstLineChars="0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spacing w:line="480" w:lineRule="auto"/>
        <w:ind w:firstLine="48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二、部门（单位）整体支出管理及使用情况</w:t>
      </w:r>
    </w:p>
    <w:p>
      <w:pPr>
        <w:widowControl/>
        <w:spacing w:line="480" w:lineRule="auto"/>
        <w:ind w:firstLine="48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（一）基本支出</w:t>
      </w:r>
    </w:p>
    <w:p>
      <w:pPr>
        <w:pStyle w:val="2"/>
        <w:ind w:firstLine="960" w:firstLineChars="3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基本支出217.03</w:t>
      </w:r>
      <w:r>
        <w:rPr>
          <w:rFonts w:hint="eastAsia" w:ascii="宋体" w:hAnsi="宋体" w:eastAsia="宋体" w:cs="宋体"/>
          <w:sz w:val="32"/>
          <w:szCs w:val="32"/>
        </w:rPr>
        <w:t>万元，是指为保障单位机构正常运转、完成日常工作任务而发生的各项支出，包括用于基本工资、津贴补贴等人员经费以及办公费、印刷费、水电费、办公设备购置等日常公用经费。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其中人员经费支出164.17万元，公用经费支出52.86万元。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“三公”经费支出情况：年初预算数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0.95</w:t>
      </w:r>
      <w:r>
        <w:rPr>
          <w:rFonts w:hint="eastAsia" w:ascii="宋体" w:hAnsi="宋体" w:eastAsia="宋体" w:cs="宋体"/>
          <w:sz w:val="32"/>
          <w:szCs w:val="32"/>
        </w:rPr>
        <w:t>万元，决算数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0.94</w:t>
      </w:r>
      <w:r>
        <w:rPr>
          <w:rFonts w:hint="eastAsia" w:ascii="宋体" w:hAnsi="宋体" w:eastAsia="宋体" w:cs="宋体"/>
          <w:sz w:val="32"/>
          <w:szCs w:val="32"/>
        </w:rPr>
        <w:t>万元，其中：公务接待费为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0.94</w:t>
      </w:r>
      <w:r>
        <w:rPr>
          <w:rFonts w:hint="eastAsia" w:ascii="宋体" w:hAnsi="宋体" w:eastAsia="宋体" w:cs="宋体"/>
          <w:sz w:val="32"/>
          <w:szCs w:val="32"/>
        </w:rPr>
        <w:t>万元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公务接待做到了“四严格”，即严格预算管理，规定接待经费严格控制在预算额度内使用；严格审批程序，规定了公务接待的审批权限；严格接待标准，规定住宿、用餐原则上安排在政府采购指定的公务接待定点宾馆；严格报账，要求公务接待费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要有公函、有接待清单、有审批单；</w:t>
      </w:r>
      <w:r>
        <w:rPr>
          <w:rFonts w:hint="eastAsia" w:ascii="宋体" w:hAnsi="宋体" w:eastAsia="宋体" w:cs="宋体"/>
          <w:sz w:val="32"/>
          <w:szCs w:val="32"/>
        </w:rPr>
        <w:t>严格执行先审批，后接待的程序。</w:t>
      </w:r>
    </w:p>
    <w:p>
      <w:pPr>
        <w:widowControl/>
        <w:spacing w:line="48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（二）专项支出</w:t>
      </w:r>
    </w:p>
    <w:p>
      <w:pPr>
        <w:widowControl/>
        <w:spacing w:line="480" w:lineRule="auto"/>
        <w:ind w:firstLine="48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1、专项资金安排落实、总投入等情况分析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2021年安排项目支出4111.74万元，其中优抚对象抚恤资金2755.94万元、义务兵优待金558.3万元、县级以下烈士纪念设施整修工程补助资金67.6万元、退役军人和其他优抚对象特殊困难援助18.55万元、符合政府安置工作退役士兵待安置期间社会保险24.51万元、符合政府安排工作退役士兵待安置期间生活费40万元、自主就业退役士兵一次性经济补助140.55万元、军队移交政府的离退休人员安置151.5万元、退役士兵教育培训经费33.3万元、军队转业干部安置117.1万元、服务保障体系阵地建设资金39.5万元、优抚对象八一春节慰问81.2万元、优抚对象医疗补助经费83.7万元。</w:t>
      </w:r>
    </w:p>
    <w:p>
      <w:pPr>
        <w:widowControl/>
        <w:numPr>
          <w:ilvl w:val="0"/>
          <w:numId w:val="3"/>
        </w:numPr>
        <w:spacing w:line="480" w:lineRule="auto"/>
        <w:ind w:firstLine="48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专项资金实际使用情况分析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2021年专项资金实际使用4111.74万元，其中优抚对象抚恤资金2755.94万元、义务兵优待金558.3万元、县级以下烈士纪念设施整修工程补助资金67.6万元、退役军人和其他优抚对象特殊困难援助18.55万元、符合政府安置工作退役士兵待安置期间社会保险24.51万元、符合政府安排工作退役士兵待安置期间生活费40万元、自主就业退役士兵一次性经济补助140.55万元、军队移交政府的离退休人员安置151.5万元、退役士兵教育培训经费33.3万元、军队转业干部安置117.1万元、服务保障体系阵地建设资金39.5万元、优抚对象八一春节慰问81.2万元、优抚对象医疗补助经费83.7万元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numPr>
          <w:ilvl w:val="0"/>
          <w:numId w:val="3"/>
        </w:numPr>
        <w:spacing w:line="480" w:lineRule="auto"/>
        <w:ind w:left="0" w:leftChars="0" w:firstLine="480" w:firstLine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专项资金管理情况分析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专项资金管理严格按照湖南省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财政厅、</w:t>
      </w:r>
      <w:r>
        <w:rPr>
          <w:rFonts w:hint="eastAsia" w:ascii="宋体" w:hAnsi="宋体" w:eastAsia="宋体" w:cs="宋体"/>
          <w:sz w:val="32"/>
          <w:szCs w:val="32"/>
        </w:rPr>
        <w:t>民政厅《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优抚安置事业单位专项补助资金使用管理办法的通知</w:t>
      </w:r>
      <w:r>
        <w:rPr>
          <w:rFonts w:hint="eastAsia" w:ascii="宋体" w:hAnsi="宋体" w:eastAsia="宋体" w:cs="宋体"/>
          <w:sz w:val="32"/>
          <w:szCs w:val="32"/>
        </w:rPr>
        <w:t>》（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财社</w:t>
      </w:r>
      <w:r>
        <w:rPr>
          <w:rFonts w:hint="eastAsia" w:ascii="宋体" w:hAnsi="宋体" w:eastAsia="宋体" w:cs="宋体"/>
          <w:sz w:val="32"/>
          <w:szCs w:val="32"/>
        </w:rPr>
        <w:t>〔20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32"/>
          <w:szCs w:val="32"/>
        </w:rPr>
        <w:t>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132</w:t>
      </w:r>
      <w:r>
        <w:rPr>
          <w:rFonts w:hint="eastAsia" w:ascii="宋体" w:hAnsi="宋体" w:eastAsia="宋体" w:cs="宋体"/>
          <w:sz w:val="32"/>
          <w:szCs w:val="32"/>
        </w:rPr>
        <w:t>号）、洪江市人民政府关于印发《洪江市本级财政专项资金管理办法的通知》（洪政发〔2016〕3号）等文件执行。实际工作中严格按照文件规定，规范审核审批程序及资金拨付程序，建立健全台账、报表等各项数据资料，从各方面推动工作不断完善。岗位职责分工明确，监督制约措施有力，管理服务规范有效。</w:t>
      </w:r>
    </w:p>
    <w:p>
      <w:pPr>
        <w:pStyle w:val="2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spacing w:line="480" w:lineRule="auto"/>
        <w:ind w:firstLine="48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三、部门（单位）专项组织实施情况</w:t>
      </w:r>
    </w:p>
    <w:p>
      <w:pPr>
        <w:widowControl/>
        <w:spacing w:line="480" w:lineRule="auto"/>
        <w:ind w:firstLine="48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（一）专项组织情况分析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深化思想认识，拧紧“安全阀”。一是统一思想认识。要求各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工作人员</w:t>
      </w:r>
      <w:r>
        <w:rPr>
          <w:rFonts w:hint="eastAsia" w:ascii="宋体" w:hAnsi="宋体" w:eastAsia="宋体" w:cs="宋体"/>
          <w:sz w:val="32"/>
          <w:szCs w:val="32"/>
        </w:rPr>
        <w:t>充分认识加强专项资金管理的重要性和紧迫性。二是强化制度保障。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制定洪江市退役军人事务局内部控制制度</w:t>
      </w:r>
      <w:r>
        <w:rPr>
          <w:rFonts w:hint="eastAsia" w:ascii="宋体" w:hAnsi="宋体" w:eastAsia="宋体" w:cs="宋体"/>
          <w:sz w:val="32"/>
          <w:szCs w:val="32"/>
        </w:rPr>
        <w:t>，对专项资金的使用范围、资金拨付和发放、资金监管等方面作了进一步明确和规范，确保了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资金使用</w:t>
      </w:r>
      <w:r>
        <w:rPr>
          <w:rFonts w:hint="eastAsia" w:ascii="宋体" w:hAnsi="宋体" w:eastAsia="宋体" w:cs="宋体"/>
          <w:sz w:val="32"/>
          <w:szCs w:val="32"/>
        </w:rPr>
        <w:t>程序规范、款物发放及时、账款运行安全。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采取有力措施，推进项目建设。一是坚持把项目建设作为促进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优抚</w:t>
      </w:r>
      <w:r>
        <w:rPr>
          <w:rFonts w:hint="eastAsia" w:ascii="宋体" w:hAnsi="宋体" w:eastAsia="宋体" w:cs="宋体"/>
          <w:sz w:val="32"/>
          <w:szCs w:val="32"/>
        </w:rPr>
        <w:t>事业发展活力的突破口，抢抓政策机遇，完善工作机制，强化协调服务，狠抓责任落实，全力破解难题，有力地促进了项目顺利实施。二是按照“谁主管、谁负责”的原则，明确了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项目管理</w:t>
      </w:r>
      <w:r>
        <w:rPr>
          <w:rFonts w:hint="eastAsia" w:ascii="宋体" w:hAnsi="宋体" w:eastAsia="宋体" w:cs="宋体"/>
          <w:sz w:val="32"/>
          <w:szCs w:val="32"/>
        </w:rPr>
        <w:t>职责，确保项目进度和质量。在重大项目建设在上，按照项目法人责任制、招标投标制、工程监理制、合同管理制等建设管理法规进行严格管理。</w:t>
      </w:r>
    </w:p>
    <w:p>
      <w:pPr>
        <w:pStyle w:val="2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numPr>
          <w:ilvl w:val="0"/>
          <w:numId w:val="2"/>
        </w:numPr>
        <w:spacing w:line="480" w:lineRule="auto"/>
        <w:ind w:left="0" w:leftChars="0" w:firstLine="480" w:firstLine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专项管理情况分析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强化监管管理，筑牢“防火墙”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狠抓责任落实，严守“高压线”。一是实行精准化管理。严把对象确定关。通过进村入户看、面对面问、拍照取证、邻里访问等多种方式，严格按政策规定核定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优抚</w:t>
      </w:r>
      <w:r>
        <w:rPr>
          <w:rFonts w:hint="eastAsia" w:ascii="宋体" w:hAnsi="宋体" w:eastAsia="宋体" w:cs="宋体"/>
          <w:sz w:val="32"/>
          <w:szCs w:val="32"/>
        </w:rPr>
        <w:t>对象，确保资金发放公平公正。二是实行多角度公开。坚持阳光操作，通过电视台、手机报、民政网、悬挂横幅、张贴标语、宣传资料等多种形式，以及基层便民服务中心、村（社区）公示栏等场所，将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可以进行公开的优抚</w:t>
      </w:r>
      <w:r>
        <w:rPr>
          <w:rFonts w:hint="eastAsia" w:ascii="宋体" w:hAnsi="宋体" w:eastAsia="宋体" w:cs="宋体"/>
          <w:sz w:val="32"/>
          <w:szCs w:val="32"/>
        </w:rPr>
        <w:t>政策、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优抚</w:t>
      </w:r>
      <w:r>
        <w:rPr>
          <w:rFonts w:hint="eastAsia" w:ascii="宋体" w:hAnsi="宋体" w:eastAsia="宋体" w:cs="宋体"/>
          <w:sz w:val="32"/>
          <w:szCs w:val="32"/>
        </w:rPr>
        <w:t>对象和保障标准全部公开。三是实行全方位监管。纪检、监察、财政、审计等部门将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优抚</w:t>
      </w:r>
      <w:r>
        <w:rPr>
          <w:rFonts w:hint="eastAsia" w:ascii="宋体" w:hAnsi="宋体" w:eastAsia="宋体" w:cs="宋体"/>
          <w:sz w:val="32"/>
          <w:szCs w:val="32"/>
        </w:rPr>
        <w:t>资金管理使用纳入重点监管范围，开展有针对性的日常监督，不定期进行跟踪审计检查，发现问题，及时纠正。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sz w:val="32"/>
          <w:szCs w:val="32"/>
        </w:rPr>
        <w:t>是严格责任追究。对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优抚</w:t>
      </w:r>
      <w:r>
        <w:rPr>
          <w:rFonts w:hint="eastAsia" w:ascii="宋体" w:hAnsi="宋体" w:eastAsia="宋体" w:cs="宋体"/>
          <w:sz w:val="32"/>
          <w:szCs w:val="32"/>
        </w:rPr>
        <w:t>资金管理使用中发生的违规行为，按照“谁主管谁负责”、“谁签字谁负责”、“谁出问题追究谁”的原则，实行责任倒查，严格责任追究，增强了资金管理制度的约束力和震慑力。</w:t>
      </w:r>
    </w:p>
    <w:p>
      <w:pPr>
        <w:pStyle w:val="2"/>
        <w:numPr>
          <w:ilvl w:val="0"/>
          <w:numId w:val="0"/>
        </w:numPr>
        <w:ind w:left="480" w:leftChars="0" w:right="0" w:rightChars="0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numPr>
          <w:ilvl w:val="0"/>
          <w:numId w:val="4"/>
        </w:numPr>
        <w:spacing w:line="480" w:lineRule="auto"/>
        <w:ind w:firstLine="48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部门（单位）整体支出绩效情况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通过加强预算收支管理，不断建立健全内部管理制度，梳理内部管理流程，部门整体支出管理情况得到提升。根据《部门整体支出绩效评价指标》评分，得分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优良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支出严格依照相关财务管理规定执行，特别重视量财办事、量力而行，严格控制标准、注重节约，少花钱办好事。一来年，我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</w:rPr>
        <w:t>各项支出都在合理范围内，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2021年度</w:t>
      </w:r>
      <w:r>
        <w:rPr>
          <w:rFonts w:hint="eastAsia" w:ascii="宋体" w:hAnsi="宋体" w:eastAsia="宋体" w:cs="宋体"/>
          <w:sz w:val="32"/>
          <w:szCs w:val="32"/>
        </w:rPr>
        <w:t>“三公”经费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预算</w:t>
      </w:r>
      <w:r>
        <w:rPr>
          <w:rFonts w:hint="eastAsia" w:ascii="宋体" w:hAnsi="宋体" w:eastAsia="宋体" w:cs="宋体"/>
          <w:sz w:val="32"/>
          <w:szCs w:val="32"/>
        </w:rPr>
        <w:t>支出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0.95万元，实际支出0.94万元，其中公务接待费0.94万元，公务用车运行维护费支出0万元。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率</w:t>
      </w:r>
      <w:r>
        <w:rPr>
          <w:rFonts w:hint="eastAsia" w:ascii="宋体" w:hAnsi="宋体" w:eastAsia="宋体" w:cs="宋体"/>
          <w:sz w:val="32"/>
          <w:szCs w:val="32"/>
        </w:rPr>
        <w:t>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-334" w:rightChars="-159"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认真贯彻落实党的十九大和习近平总书记系列重要讲话精神，始终把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维护军人军属合法权益，让军人成为全社会尊崇的职业为出发点和落脚点。2021年优抚对象补助发放工作、春节、“八一”慰问工作、信访慰问工作、就业创业工作等得以高效率高质量的完成。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（三）有效性分析</w:t>
      </w:r>
    </w:p>
    <w:p>
      <w:pPr>
        <w:pStyle w:val="2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2021年整体支出基本实现了年初设定的绩效目标，</w:t>
      </w:r>
      <w:r>
        <w:rPr>
          <w:rFonts w:hint="eastAsia" w:ascii="宋体" w:hAnsi="宋体" w:eastAsia="宋体" w:cs="宋体"/>
          <w:sz w:val="32"/>
          <w:szCs w:val="32"/>
        </w:rPr>
        <w:t>完成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了</w:t>
      </w:r>
      <w:r>
        <w:rPr>
          <w:rFonts w:hint="eastAsia" w:ascii="宋体" w:hAnsi="宋体" w:eastAsia="宋体" w:cs="宋体"/>
          <w:sz w:val="32"/>
          <w:szCs w:val="32"/>
        </w:rPr>
        <w:t>约4300人优抚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对象</w:t>
      </w:r>
      <w:r>
        <w:rPr>
          <w:rFonts w:hint="eastAsia" w:ascii="宋体" w:hAnsi="宋体" w:eastAsia="宋体" w:cs="宋体"/>
          <w:sz w:val="32"/>
          <w:szCs w:val="32"/>
        </w:rPr>
        <w:t>待遇发放工作，优抚和退役军人待遇发放到位率100%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sz w:val="32"/>
          <w:szCs w:val="32"/>
        </w:rPr>
        <w:t>完成全市军属烈属光荣牌悬挂工作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悬挂光荣牌对象准确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sz w:val="32"/>
          <w:szCs w:val="32"/>
        </w:rPr>
        <w:t>开展英雄烈士宣传2次,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清明节举行烈士纪念活动</w:t>
      </w:r>
      <w:r>
        <w:rPr>
          <w:rFonts w:hint="eastAsia" w:ascii="宋体" w:hAnsi="宋体" w:eastAsia="宋体" w:cs="宋体"/>
          <w:sz w:val="32"/>
          <w:szCs w:val="32"/>
        </w:rPr>
        <w:t>，保护英雄烈士,禁止歪曲、丑化、亵渎、否定英雄烈士事迹和精神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资金使用合理、有效。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sz w:val="32"/>
          <w:szCs w:val="32"/>
        </w:rPr>
        <w:t>）可持续性分析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整体支出既严格遵循了上级相关文件要求，又结合了我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的</w:t>
      </w:r>
      <w:r>
        <w:rPr>
          <w:rFonts w:hint="eastAsia" w:ascii="宋体" w:hAnsi="宋体" w:eastAsia="宋体" w:cs="宋体"/>
          <w:sz w:val="32"/>
          <w:szCs w:val="32"/>
        </w:rPr>
        <w:t>工作实际，在资金安排使用上还是比较科学合理的，具有可持续性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4"/>
        </w:numPr>
        <w:spacing w:line="480" w:lineRule="auto"/>
        <w:ind w:left="0" w:leftChars="0" w:firstLine="480" w:firstLine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存在的主要问题</w:t>
      </w:r>
    </w:p>
    <w:p>
      <w:pPr>
        <w:pStyle w:val="2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工作经费、运转经费严重不足。2021年随着人员增加，信访维稳、就业创业、服务保障体系建设、社保接续、伤残及两参人员身份认定等工作异常繁重，经费不足、运转困难的问题日渐凸显。</w:t>
      </w:r>
    </w:p>
    <w:p>
      <w:pPr>
        <w:widowControl/>
        <w:numPr>
          <w:ilvl w:val="0"/>
          <w:numId w:val="4"/>
        </w:numPr>
        <w:spacing w:line="480" w:lineRule="auto"/>
        <w:ind w:left="0" w:leftChars="0" w:firstLine="480" w:firstLine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改进措施和有关建议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对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各项</w:t>
      </w:r>
      <w:r>
        <w:rPr>
          <w:rFonts w:hint="eastAsia" w:ascii="宋体" w:hAnsi="宋体" w:eastAsia="宋体" w:cs="宋体"/>
          <w:sz w:val="32"/>
          <w:szCs w:val="32"/>
        </w:rPr>
        <w:t>经费使用权严格控制在预算授权范围之内。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不断提升年初预算经费的预见性，减少在预算执行过程中的经费调整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3、对预算调整设定合理限度，超出限度不予增加，调动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各项</w:t>
      </w:r>
      <w:r>
        <w:rPr>
          <w:rFonts w:hint="eastAsia" w:ascii="宋体" w:hAnsi="宋体" w:eastAsia="宋体" w:cs="宋体"/>
          <w:sz w:val="32"/>
          <w:szCs w:val="32"/>
        </w:rPr>
        <w:t>年初预算的主观能动性。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9435C8"/>
    <w:multiLevelType w:val="singleLevel"/>
    <w:tmpl w:val="829435C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F2EA8A5"/>
    <w:multiLevelType w:val="singleLevel"/>
    <w:tmpl w:val="DF2EA8A5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F9F5311A"/>
    <w:multiLevelType w:val="singleLevel"/>
    <w:tmpl w:val="F9F5311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2F1A7CB"/>
    <w:multiLevelType w:val="singleLevel"/>
    <w:tmpl w:val="72F1A7CB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7FA4A654"/>
    <w:multiLevelType w:val="singleLevel"/>
    <w:tmpl w:val="7FA4A65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YjQxNjk4Y2QzMmY1NDY0MTdiNjM3MTFhYmFjMDAifQ=="/>
  </w:docVars>
  <w:rsids>
    <w:rsidRoot w:val="00000000"/>
    <w:rsid w:val="084E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 w:val="0"/>
      <w:autoSpaceDN w:val="0"/>
      <w:bidi w:val="0"/>
      <w:adjustRightInd/>
      <w:snapToGrid/>
      <w:spacing w:before="0" w:beforeAutospacing="0" w:after="0" w:afterAutospacing="0" w:line="360" w:lineRule="auto"/>
      <w:ind w:left="0" w:right="0" w:firstLine="200" w:firstLineChars="200"/>
      <w:jc w:val="both"/>
      <w:textAlignment w:val="auto"/>
      <w:outlineLvl w:val="9"/>
    </w:pPr>
    <w:rPr>
      <w:rFonts w:ascii="Times New Roman" w:hAnsi="Times New Roman" w:eastAsia="宋体" w:cs="Times New Roman"/>
      <w:snapToGrid/>
      <w:color w:val="auto"/>
      <w:spacing w:val="0"/>
      <w:w w:val="100"/>
      <w:kern w:val="2"/>
      <w:position w:val="0"/>
      <w:sz w:val="30"/>
      <w:szCs w:val="30"/>
      <w:u w:val="none" w:color="auto"/>
      <w:vertAlign w:val="baseline"/>
      <w:lang w:val="en-US" w:eastAsia="zh-CN" w:bidi="ar-SA"/>
    </w:rPr>
  </w:style>
  <w:style w:type="paragraph" w:customStyle="1" w:styleId="3">
    <w:name w:val="p0"/>
    <w:next w:val="4"/>
    <w:qFormat/>
    <w:uiPriority w:val="0"/>
    <w:pPr>
      <w:spacing w:line="365" w:lineRule="atLeast"/>
      <w:ind w:left="1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4">
    <w:name w:val="header"/>
    <w:basedOn w:val="1"/>
    <w:next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next w:val="5"/>
    <w:qFormat/>
    <w:uiPriority w:val="99"/>
    <w:pPr>
      <w:spacing w:before="100" w:beforeAutospacing="1" w:after="100" w:afterAutospacing="1"/>
    </w:pPr>
    <w:rPr>
      <w:rFonts w:ascii="宋体" w:hAnsi="Calibr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2022-09-22T00:33:34Z</dcterms:created>
  <dc:creator>zz</dc:creator>
  <cp:lastModifiedBy>RB</cp:lastModifiedBy>
  <dcterms:modified xsi:type="dcterms:W3CDTF">2022-09-22T00:34:20Z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A0E845E810D84C87BB4F40A7AC6EA64C</vt:lpwstr>
  </property>
</Properties>
</file>