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lang w:eastAsia="zh-CN"/>
        </w:rPr>
        <w:t>沅河镇人民政府</w:t>
      </w:r>
      <w:r>
        <w:rPr>
          <w:rFonts w:hint="eastAsia"/>
          <w:sz w:val="84"/>
          <w:szCs w:val="84"/>
        </w:rPr>
        <w:t>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第一部分XX单位概况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jc w:val="center"/>
        <w:rPr>
          <w:sz w:val="72"/>
          <w:szCs w:val="72"/>
        </w:rPr>
      </w:pPr>
      <w:r>
        <w:rPr>
          <w:rFonts w:hint="eastAsia"/>
          <w:sz w:val="84"/>
          <w:szCs w:val="84"/>
          <w:lang w:eastAsia="zh-CN"/>
        </w:rPr>
        <w:t>沅河镇人民政府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沅河镇人民政府位于洪江市沅河镇黔阳坪社区现有七个行政村,一个社区，包括富团村、沅河村、沅城村、堰桥村、鄢家溪村、清水青村、黔阳坪社区、十里村。内设镇机关，财政所，政务服务中心，综治执法大队，农业综合服务中心，社会事务综合服务中心等六个站所。 2020年共有干部职工45人。我镇人民政府负责制定和组织行政区域内实施经济、科技和社会发展计划、制定资源开发技术改造和产业机构调整方案；负责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抓好精神文明建设，丰富群众文化活动，树立社会主义新风尚。</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我镇设立一个独立核算机构——洪江市沅河镇人民政府，与上年一致。我镇本年人员为45人，其中行政编20人，事业编25人，与上年人数持平，变动原因：事业编调出人数多于调入人数，行政编调出人数少于调入人数。</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w:t>
      </w:r>
      <w:r>
        <w:rPr>
          <w:rFonts w:hint="eastAsia" w:asciiTheme="minorEastAsia" w:hAnsiTheme="minorEastAsia" w:eastAsiaTheme="minorEastAsia"/>
          <w:sz w:val="32"/>
          <w:szCs w:val="32"/>
          <w:lang w:val="en-US" w:eastAsia="zh-CN"/>
        </w:rPr>
        <w:t>决算单位构成。</w:t>
      </w:r>
      <w:r>
        <w:rPr>
          <w:rFonts w:hint="eastAsia" w:asciiTheme="minorEastAsia" w:hAnsiTheme="minorEastAsia"/>
          <w:sz w:val="32"/>
          <w:szCs w:val="32"/>
          <w:lang w:val="en-US" w:eastAsia="zh-CN"/>
        </w:rPr>
        <w:t>沅河镇</w:t>
      </w:r>
      <w:r>
        <w:rPr>
          <w:rFonts w:hint="eastAsia" w:asciiTheme="minorEastAsia" w:hAnsiTheme="minorEastAsia" w:eastAsiaTheme="minorEastAsia"/>
          <w:sz w:val="32"/>
          <w:szCs w:val="32"/>
          <w:lang w:val="en-US" w:eastAsia="zh-CN"/>
        </w:rPr>
        <w:t>人民政府202</w:t>
      </w:r>
      <w:r>
        <w:rPr>
          <w:rFonts w:hint="eastAsia" w:asciiTheme="minorEastAsia" w:hAnsiTheme="minorEastAsia"/>
          <w:sz w:val="32"/>
          <w:szCs w:val="32"/>
          <w:lang w:val="en-US" w:eastAsia="zh-CN"/>
        </w:rPr>
        <w:t>1</w:t>
      </w:r>
      <w:r>
        <w:rPr>
          <w:rFonts w:hint="eastAsia" w:asciiTheme="minorEastAsia" w:hAnsiTheme="minorEastAsia" w:eastAsiaTheme="minorEastAsia"/>
          <w:sz w:val="32"/>
          <w:szCs w:val="32"/>
          <w:lang w:val="en-US" w:eastAsia="zh-CN"/>
        </w:rPr>
        <w:t>年部门决算汇总公开单位构成包括：</w:t>
      </w:r>
      <w:r>
        <w:rPr>
          <w:rFonts w:hint="eastAsia" w:asciiTheme="minorEastAsia" w:hAnsiTheme="minorEastAsia"/>
          <w:sz w:val="32"/>
          <w:szCs w:val="32"/>
          <w:lang w:val="en-US" w:eastAsia="zh-CN"/>
        </w:rPr>
        <w:t>沅河镇</w:t>
      </w:r>
      <w:r>
        <w:rPr>
          <w:rFonts w:hint="eastAsia" w:asciiTheme="minorEastAsia" w:hAnsiTheme="minorEastAsia" w:eastAsiaTheme="minorEastAsia"/>
          <w:sz w:val="32"/>
          <w:szCs w:val="32"/>
          <w:lang w:val="en-US" w:eastAsia="zh-CN"/>
        </w:rPr>
        <w:t>人民政府本级。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rPr>
              <w:t>341.45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二、</w:t>
            </w:r>
            <w:r>
              <w:rPr>
                <w:rFonts w:hint="eastAsia" w:ascii="宋体" w:hAnsi="宋体" w:eastAsia="宋体" w:cs="宋体"/>
                <w:kern w:val="0"/>
                <w:sz w:val="22"/>
                <w:lang w:eastAsia="zh-CN"/>
              </w:rPr>
              <w:t>社会保障就业支出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三、</w:t>
            </w:r>
            <w:r>
              <w:rPr>
                <w:rFonts w:hint="eastAsia" w:ascii="宋体" w:hAnsi="宋体" w:eastAsia="宋体" w:cs="宋体"/>
                <w:kern w:val="0"/>
                <w:sz w:val="22"/>
                <w:lang w:eastAsia="zh-CN"/>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四、</w:t>
            </w:r>
            <w:r>
              <w:rPr>
                <w:rFonts w:hint="eastAsia" w:ascii="宋体" w:hAnsi="宋体" w:eastAsia="宋体" w:cs="宋体"/>
                <w:kern w:val="0"/>
                <w:sz w:val="22"/>
                <w:lang w:eastAsia="zh-CN"/>
              </w:rPr>
              <w:t>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五、</w:t>
            </w:r>
            <w:r>
              <w:rPr>
                <w:rFonts w:hint="eastAsia" w:ascii="宋体" w:hAnsi="宋体" w:eastAsia="宋体" w:cs="宋体"/>
                <w:kern w:val="0"/>
                <w:sz w:val="22"/>
                <w:lang w:eastAsia="zh-CN"/>
              </w:rPr>
              <w:t>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val="en-US" w:eastAsia="zh-CN"/>
              </w:rPr>
              <w:t>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95"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w:t>
            </w:r>
            <w:r>
              <w:rPr>
                <w:rFonts w:hint="eastAsia" w:ascii="宋体" w:hAnsi="宋体" w:eastAsia="宋体" w:cs="宋体"/>
                <w:kern w:val="0"/>
                <w:sz w:val="20"/>
                <w:szCs w:val="20"/>
                <w:lang w:eastAsia="zh-CN"/>
              </w:rPr>
              <w:t>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lang w:val="en-US" w:eastAsia="zh-CN"/>
              </w:rPr>
              <w:t>854.13</w:t>
            </w:r>
            <w:r>
              <w:rPr>
                <w:rFonts w:hint="eastAsia" w:ascii="宋体" w:hAnsi="宋体" w:eastAsia="宋体" w:cs="宋体"/>
                <w:b/>
                <w:bCs/>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854.13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4461" w:type="dxa"/>
        <w:tblInd w:w="0" w:type="dxa"/>
        <w:tblLayout w:type="autofit"/>
        <w:tblCellMar>
          <w:top w:w="0" w:type="dxa"/>
          <w:left w:w="0" w:type="dxa"/>
          <w:bottom w:w="0" w:type="dxa"/>
          <w:right w:w="0" w:type="dxa"/>
        </w:tblCellMar>
      </w:tblPr>
      <w:tblGrid>
        <w:gridCol w:w="315"/>
        <w:gridCol w:w="315"/>
        <w:gridCol w:w="3512"/>
        <w:gridCol w:w="2157"/>
        <w:gridCol w:w="2253"/>
        <w:gridCol w:w="1172"/>
        <w:gridCol w:w="1172"/>
        <w:gridCol w:w="1172"/>
        <w:gridCol w:w="1172"/>
        <w:gridCol w:w="1757"/>
      </w:tblGrid>
      <w:tr>
        <w:tblPrEx>
          <w:tblCellMar>
            <w:top w:w="0" w:type="dxa"/>
            <w:left w:w="0" w:type="dxa"/>
            <w:bottom w:w="0" w:type="dxa"/>
            <w:right w:w="0" w:type="dxa"/>
          </w:tblCellMar>
        </w:tblPrEx>
        <w:trPr>
          <w:trHeight w:val="435" w:hRule="atLeast"/>
        </w:trPr>
        <w:tc>
          <w:tcPr>
            <w:tcW w:w="1446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1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kern w:val="0"/>
                <w:sz w:val="22"/>
                <w:lang w:val="en-US" w:eastAsia="zh-CN"/>
              </w:rPr>
              <w:t>854.13</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kern w:val="0"/>
                <w:sz w:val="22"/>
                <w:lang w:val="en-US" w:eastAsia="zh-CN"/>
              </w:rPr>
              <w:t>854.13</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673.59</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341.45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w:t>
            </w:r>
          </w:p>
        </w:tc>
        <w:tc>
          <w:tcPr>
            <w:tcW w:w="2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社会保障和就业支出</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华文中宋" w:hAnsi="华文中宋" w:eastAsia="华文中宋" w:cs="宋体"/>
                <w:sz w:val="24"/>
                <w:szCs w:val="24"/>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82"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2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卫生健康支出</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kern w:val="0"/>
                <w:sz w:val="22"/>
                <w:lang w:eastAsia="zh-CN"/>
              </w:rPr>
              <w:t>城乡社区支出</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农林水支出</w:t>
            </w:r>
            <w:r>
              <w:rPr>
                <w:rFonts w:hint="eastAsia"/>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221</w:t>
            </w:r>
          </w:p>
        </w:tc>
        <w:tc>
          <w:tcPr>
            <w:tcW w:w="2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kern w:val="0"/>
                <w:sz w:val="22"/>
                <w:lang w:val="en-US" w:eastAsia="zh-CN"/>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sz w:val="24"/>
                <w:szCs w:val="24"/>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224</w:t>
            </w:r>
          </w:p>
        </w:tc>
        <w:tc>
          <w:tcPr>
            <w:tcW w:w="2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ascii="宋体" w:hAnsi="宋体" w:eastAsia="宋体" w:cs="宋体"/>
                <w:kern w:val="0"/>
                <w:sz w:val="20"/>
                <w:szCs w:val="20"/>
                <w:lang w:eastAsia="zh-CN"/>
              </w:rPr>
              <w:t>灾害防治及应急管理支出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17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446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4422" w:type="dxa"/>
        <w:tblInd w:w="93" w:type="dxa"/>
        <w:tblLayout w:type="fixed"/>
        <w:tblCellMar>
          <w:top w:w="0" w:type="dxa"/>
          <w:left w:w="108" w:type="dxa"/>
          <w:bottom w:w="0" w:type="dxa"/>
          <w:right w:w="108" w:type="dxa"/>
        </w:tblCellMar>
      </w:tblPr>
      <w:tblGrid>
        <w:gridCol w:w="1042"/>
        <w:gridCol w:w="222"/>
        <w:gridCol w:w="2225"/>
        <w:gridCol w:w="1583"/>
        <w:gridCol w:w="1583"/>
        <w:gridCol w:w="1700"/>
        <w:gridCol w:w="1700"/>
        <w:gridCol w:w="1984"/>
        <w:gridCol w:w="2383"/>
      </w:tblGrid>
      <w:tr>
        <w:tblPrEx>
          <w:tblCellMar>
            <w:top w:w="0" w:type="dxa"/>
            <w:left w:w="108" w:type="dxa"/>
            <w:bottom w:w="0" w:type="dxa"/>
            <w:right w:w="108" w:type="dxa"/>
          </w:tblCellMar>
        </w:tblPrEx>
        <w:trPr>
          <w:trHeight w:val="435" w:hRule="atLeast"/>
        </w:trPr>
        <w:tc>
          <w:tcPr>
            <w:tcW w:w="1442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8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8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8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2"/>
                <w:lang w:val="en-US" w:eastAsia="zh-CN"/>
              </w:rPr>
              <w:t>854.13</w:t>
            </w:r>
            <w:r>
              <w:rPr>
                <w:rFonts w:hint="eastAsia" w:ascii="宋体" w:hAnsi="宋体" w:eastAsia="宋体" w:cs="宋体"/>
                <w:kern w:val="0"/>
                <w:sz w:val="24"/>
                <w:szCs w:val="24"/>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2"/>
                <w:lang w:val="en-US" w:eastAsia="zh-CN"/>
              </w:rPr>
              <w:t>789.43</w:t>
            </w: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64.7</w:t>
            </w: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222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eastAsia="zh-CN"/>
              </w:rPr>
              <w:t>一般公共服务支出</w:t>
            </w:r>
          </w:p>
        </w:tc>
        <w:tc>
          <w:tcPr>
            <w:tcW w:w="15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rPr>
              <w:t>341.45　</w:t>
            </w:r>
          </w:p>
        </w:tc>
        <w:tc>
          <w:tcPr>
            <w:tcW w:w="15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rPr>
              <w:t>341.45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w:t>
            </w:r>
          </w:p>
        </w:tc>
        <w:tc>
          <w:tcPr>
            <w:tcW w:w="222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lang w:eastAsia="zh-CN"/>
              </w:rPr>
              <w:t>社会保障和就业支出</w:t>
            </w:r>
            <w:r>
              <w:rPr>
                <w:rFonts w:hint="eastAsia"/>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w:t>
            </w:r>
          </w:p>
        </w:tc>
        <w:tc>
          <w:tcPr>
            <w:tcW w:w="222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eastAsia="zh-CN"/>
              </w:rPr>
              <w:t>卫生健康支出</w:t>
            </w:r>
            <w:r>
              <w:rPr>
                <w:rFonts w:hint="eastAsia"/>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212</w:t>
            </w:r>
          </w:p>
        </w:tc>
        <w:tc>
          <w:tcPr>
            <w:tcW w:w="222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kern w:val="0"/>
                <w:sz w:val="22"/>
                <w:lang w:eastAsia="zh-CN"/>
              </w:rPr>
              <w:t>城乡社区支出</w:t>
            </w:r>
            <w:r>
              <w:rPr>
                <w:rFonts w:hint="eastAsia"/>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213</w:t>
            </w:r>
          </w:p>
        </w:tc>
        <w:tc>
          <w:tcPr>
            <w:tcW w:w="222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eastAsia="zh-CN"/>
              </w:rPr>
              <w:t>农林水支出</w:t>
            </w:r>
            <w:r>
              <w:rPr>
                <w:rFonts w:hint="eastAsia"/>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2"/>
                <w:lang w:val="en-US" w:eastAsia="zh-CN"/>
              </w:rPr>
              <w:t>209.91</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64.7</w:t>
            </w: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lang w:val="en-US" w:eastAsia="zh-CN"/>
              </w:rPr>
              <w:t>221</w:t>
            </w:r>
          </w:p>
        </w:tc>
        <w:tc>
          <w:tcPr>
            <w:tcW w:w="222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住房保障支出</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224</w:t>
            </w:r>
          </w:p>
        </w:tc>
        <w:tc>
          <w:tcPr>
            <w:tcW w:w="222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0"/>
                <w:szCs w:val="20"/>
                <w:lang w:eastAsia="zh-CN"/>
              </w:rPr>
              <w:t>灾害防治及应急管理支出</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222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2225"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5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HAnsi" w:hAnsiTheme="minorHAnsi" w:eastAsiaTheme="minorEastAsia" w:cstheme="minorBidi"/>
                <w:kern w:val="2"/>
                <w:sz w:val="21"/>
                <w:szCs w:val="22"/>
                <w:lang w:val="en-US" w:eastAsia="zh-CN" w:bidi="ar-SA"/>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42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lang w:val="en-US" w:eastAsia="zh-CN" w:bidi="ar-SA"/>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rPr>
              <w:t>341.45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rPr>
              <w:t>341.45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二、</w:t>
            </w:r>
            <w:r>
              <w:rPr>
                <w:rFonts w:hint="eastAsia" w:ascii="宋体" w:hAnsi="宋体" w:eastAsia="宋体" w:cs="宋体"/>
                <w:kern w:val="0"/>
                <w:sz w:val="22"/>
                <w:lang w:eastAsia="zh-CN"/>
              </w:rPr>
              <w:t>社会保障就业支出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三、</w:t>
            </w: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四、</w:t>
            </w:r>
            <w:r>
              <w:rPr>
                <w:rFonts w:hint="eastAsia" w:ascii="宋体" w:hAnsi="宋体" w:eastAsia="宋体" w:cs="宋体"/>
                <w:kern w:val="0"/>
                <w:sz w:val="22"/>
                <w:lang w:eastAsia="zh-CN"/>
              </w:rPr>
              <w:t>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五、</w:t>
            </w:r>
            <w:r>
              <w:rPr>
                <w:rFonts w:hint="eastAsia" w:ascii="宋体" w:hAnsi="宋体" w:eastAsia="宋体" w:cs="宋体"/>
                <w:kern w:val="0"/>
                <w:sz w:val="22"/>
                <w:lang w:eastAsia="zh-CN"/>
              </w:rPr>
              <w:t>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六、</w:t>
            </w:r>
            <w:r>
              <w:rPr>
                <w:rFonts w:hint="eastAsia" w:ascii="宋体" w:hAnsi="宋体" w:eastAsia="宋体" w:cs="宋体"/>
                <w:kern w:val="0"/>
                <w:sz w:val="22"/>
                <w:lang w:val="en-US" w:eastAsia="zh-CN"/>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七、</w:t>
            </w:r>
            <w:r>
              <w:rPr>
                <w:rFonts w:hint="eastAsia" w:ascii="宋体" w:hAnsi="宋体" w:eastAsia="宋体" w:cs="宋体"/>
                <w:kern w:val="0"/>
                <w:sz w:val="20"/>
                <w:szCs w:val="20"/>
                <w:lang w:eastAsia="zh-CN"/>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854.13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854.13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854.13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854.13</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789.43</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64.7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4"/>
                <w:szCs w:val="24"/>
                <w:lang w:val="en-US" w:eastAsia="zh-CN" w:bidi="ar-SA"/>
              </w:rPr>
            </w:pPr>
            <w:r>
              <w:rPr>
                <w:rFonts w:hint="eastAsia"/>
              </w:rPr>
              <w:t>341.45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rPr>
              <w:t>341.45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kern w:val="2"/>
                <w:sz w:val="24"/>
                <w:szCs w:val="24"/>
                <w:lang w:val="en-US" w:eastAsia="zh-CN" w:bidi="ar-SA"/>
              </w:rPr>
            </w:pPr>
            <w:r>
              <w:rPr>
                <w:rFonts w:hint="eastAsia"/>
                <w:lang w:eastAsia="zh-CN"/>
              </w:rPr>
              <w:t>社会保障和就业支出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134.61</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卫生健康支出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26.79</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kern w:val="0"/>
                <w:sz w:val="22"/>
                <w:lang w:eastAsia="zh-CN"/>
              </w:rPr>
              <w:t>城乡社区支出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25</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eastAsia="zh-CN"/>
              </w:rPr>
              <w:t>农林水支出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274.61</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209.91</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64.7</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2"/>
                <w:sz w:val="24"/>
                <w:szCs w:val="24"/>
                <w:lang w:val="en-US" w:eastAsia="zh-CN" w:bidi="ar-SA"/>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15.23</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224</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0"/>
                <w:szCs w:val="20"/>
                <w:lang w:eastAsia="zh-CN"/>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2"/>
                <w:lang w:val="en-US" w:eastAsia="zh-CN"/>
              </w:rPr>
              <w:t>36.45</w:t>
            </w:r>
            <w:r>
              <w:rPr>
                <w:rFonts w:hint="eastAsia" w:ascii="宋体" w:hAnsi="宋体" w:eastAsia="宋体" w:cs="宋体"/>
                <w:kern w:val="0"/>
                <w:sz w:val="22"/>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804" w:type="dxa"/>
        <w:tblInd w:w="0" w:type="dxa"/>
        <w:tblLayout w:type="fixed"/>
        <w:tblCellMar>
          <w:top w:w="0" w:type="dxa"/>
          <w:left w:w="108" w:type="dxa"/>
          <w:bottom w:w="0" w:type="dxa"/>
          <w:right w:w="108" w:type="dxa"/>
        </w:tblCellMar>
      </w:tblPr>
      <w:tblGrid>
        <w:gridCol w:w="1338"/>
        <w:gridCol w:w="3366"/>
        <w:gridCol w:w="1182"/>
        <w:gridCol w:w="688"/>
        <w:gridCol w:w="2316"/>
        <w:gridCol w:w="1046"/>
        <w:gridCol w:w="811"/>
        <w:gridCol w:w="3989"/>
        <w:gridCol w:w="1068"/>
      </w:tblGrid>
      <w:tr>
        <w:tblPrEx>
          <w:tblCellMar>
            <w:top w:w="0" w:type="dxa"/>
            <w:left w:w="108" w:type="dxa"/>
            <w:bottom w:w="0" w:type="dxa"/>
            <w:right w:w="108" w:type="dxa"/>
          </w:tblCellMar>
        </w:tblPrEx>
        <w:trPr>
          <w:trHeight w:val="113" w:hRule="atLeast"/>
        </w:trPr>
        <w:tc>
          <w:tcPr>
            <w:tcW w:w="1580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630.67</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158.76</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276.26</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18.77</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8"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124.28</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7.77</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13.84</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0.01</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103.76</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42.61</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11.43</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21.81</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6.49</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26.79</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6.08</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13.40</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15.23</w:t>
            </w: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3.74</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0.37</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0.16</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公务接待费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19.63</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14.66</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2.74</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3.07</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6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46.76</w:t>
            </w:r>
          </w:p>
        </w:tc>
        <w:tc>
          <w:tcPr>
            <w:tcW w:w="8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630.67</w:t>
            </w:r>
          </w:p>
        </w:tc>
        <w:tc>
          <w:tcPr>
            <w:tcW w:w="88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158.76</w:t>
            </w:r>
          </w:p>
        </w:tc>
      </w:tr>
      <w:tr>
        <w:tblPrEx>
          <w:tblCellMar>
            <w:top w:w="0" w:type="dxa"/>
            <w:left w:w="108" w:type="dxa"/>
            <w:bottom w:w="0" w:type="dxa"/>
            <w:right w:w="108" w:type="dxa"/>
          </w:tblCellMar>
        </w:tblPrEx>
        <w:trPr>
          <w:trHeight w:val="284" w:hRule="exact"/>
        </w:trPr>
        <w:tc>
          <w:tcPr>
            <w:tcW w:w="1580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16.00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12.50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5.82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2.74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无</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无</w:t>
            </w: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72.7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降低</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厉行节俭、减少开支。</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789.43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92.43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7.57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降低</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厉行节俭、减少开支。</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降低</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厉行节俭、减少开支。</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ind w:firstLine="640" w:firstLineChars="200"/>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万元，主要用于以下方面：一般公共服务（类）支出341.45万元，占39.9</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社会保障和就业（类）支出134.61万元，占15.7</w:t>
      </w:r>
      <w:r>
        <w:rPr>
          <w:rFonts w:hint="eastAsia" w:asciiTheme="minorEastAsia" w:hAnsiTheme="minorEastAsia"/>
          <w:sz w:val="32"/>
          <w:szCs w:val="32"/>
          <w:lang w:val="en-US" w:eastAsia="zh-CN"/>
        </w:rPr>
        <w:t>6</w:t>
      </w:r>
      <w:r>
        <w:rPr>
          <w:rFonts w:hint="eastAsia" w:asciiTheme="minorEastAsia" w:hAnsiTheme="minorEastAsia" w:eastAsiaTheme="minorEastAsia"/>
          <w:sz w:val="32"/>
          <w:szCs w:val="32"/>
          <w:lang w:val="en-US" w:eastAsia="zh-CN"/>
        </w:rPr>
        <w:t>%；卫生健康（类）支出26.79万元，占3.1</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lang w:val="en-US" w:eastAsia="zh-CN"/>
        </w:rPr>
        <w:t>%；城镇社区（类）支出25万元，占2.9</w:t>
      </w:r>
      <w:r>
        <w:rPr>
          <w:rFonts w:hint="eastAsia" w:asciiTheme="minorEastAsia" w:hAnsiTheme="minorEastAsia"/>
          <w:sz w:val="32"/>
          <w:szCs w:val="32"/>
          <w:lang w:val="en-US" w:eastAsia="zh-CN"/>
        </w:rPr>
        <w:t>3</w:t>
      </w:r>
      <w:r>
        <w:rPr>
          <w:rFonts w:hint="eastAsia" w:asciiTheme="minorEastAsia" w:hAnsiTheme="minorEastAsia" w:eastAsiaTheme="minorEastAsia"/>
          <w:sz w:val="32"/>
          <w:szCs w:val="32"/>
          <w:lang w:val="en-US" w:eastAsia="zh-CN"/>
        </w:rPr>
        <w:t>%；农林水（类）支出282.0205万元</w:t>
      </w:r>
      <w:r>
        <w:rPr>
          <w:rFonts w:hint="eastAsia" w:asciiTheme="minorEastAsia" w:hAnsiTheme="minorEastAsia"/>
          <w:sz w:val="32"/>
          <w:szCs w:val="32"/>
          <w:lang w:val="en-US" w:eastAsia="zh-CN"/>
        </w:rPr>
        <w:t>（项目支出64.7万元）</w:t>
      </w:r>
      <w:r>
        <w:rPr>
          <w:rFonts w:hint="eastAsia" w:asciiTheme="minorEastAsia" w:hAnsiTheme="minorEastAsia" w:eastAsiaTheme="minorEastAsia"/>
          <w:sz w:val="32"/>
          <w:szCs w:val="32"/>
          <w:lang w:val="en-US" w:eastAsia="zh-CN"/>
        </w:rPr>
        <w:t>，占21.23%；住房保障（类）支出（类）支出15.23万元，占1.78%；灾害防治及应急管理（类）支出36.45万元，占4.2</w:t>
      </w:r>
      <w:r>
        <w:rPr>
          <w:rFonts w:hint="eastAsia" w:asciiTheme="minorEastAsia" w:hAnsiTheme="minorEastAsia"/>
          <w:sz w:val="32"/>
          <w:szCs w:val="32"/>
          <w:lang w:val="en-US" w:eastAsia="zh-CN"/>
        </w:rPr>
        <w:t>7</w:t>
      </w:r>
      <w:r>
        <w:rPr>
          <w:rFonts w:hint="eastAsia" w:asciiTheme="minorEastAsia" w:hAnsiTheme="minorEastAsia" w:eastAsiaTheme="minorEastAsia"/>
          <w:sz w:val="32"/>
          <w:szCs w:val="32"/>
          <w:lang w:val="en-US" w:eastAsia="zh-CN"/>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854.13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1、一般公共服务（类）政府办公厅（室）及相关机构事务（款）行政运行（项）。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224.33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323.17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144.06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人员核算调整，人员经费上调，乡镇工作补贴上调，办公开支增多。</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2、一般公共服务（类）财政事务（款）行政运行（项）。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85.34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年初预算数的主要原因是：年</w:t>
      </w:r>
      <w:r>
        <w:rPr>
          <w:rFonts w:hint="eastAsia" w:asciiTheme="minorEastAsia" w:hAnsiTheme="minorEastAsia" w:eastAsiaTheme="minorEastAsia"/>
          <w:sz w:val="32"/>
          <w:szCs w:val="32"/>
          <w:lang w:eastAsia="zh-CN"/>
        </w:rPr>
        <w:t>末核算时尚未进行绩效全额发放。</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社会保障和就业（类）人力资源和社会保障管理事务（款）行政运行（项）。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73.84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95.04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人员核算调整。</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社会保障和就业（类）行政事业单位养老（款）机关事业单位基本养老保险缴费（项）。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113.48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人员核算调整，人员经费上调。</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社会保障和就业（类）行政事业单位养老（款）机关事业单位职业年金缴费（项）。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116.13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人员核算调整，人员经费上调。</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卫生健康（类）计划生育事务（款）计划生育机构（项）。</w:t>
      </w:r>
    </w:p>
    <w:p>
      <w:pPr>
        <w:pStyle w:val="13"/>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59.71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机构变更，计生人员纳入其他沅河镇其他站所核算，但 财政对职工基本医疗保险基金的补助项保留。</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城乡社区（类）城乡社区管理事务（款）行政运行（项）。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农林水（类）农业农村（款）行政运行（项）。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74.23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年初预算数的主要原因是：年</w:t>
      </w:r>
      <w:r>
        <w:rPr>
          <w:rFonts w:hint="eastAsia" w:asciiTheme="minorEastAsia" w:hAnsiTheme="minorEastAsia" w:eastAsiaTheme="minorEastAsia"/>
          <w:sz w:val="32"/>
          <w:szCs w:val="32"/>
          <w:lang w:eastAsia="zh-CN"/>
        </w:rPr>
        <w:t>末核算时尚未进行绩效全额发放。</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农林水（类）扶贫（款）生产发展（项）。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年初预算数的主要原因是：年初预算</w:t>
      </w:r>
      <w:r>
        <w:rPr>
          <w:rFonts w:hint="eastAsia" w:asciiTheme="minorEastAsia" w:hAnsiTheme="minorEastAsia" w:eastAsiaTheme="minorEastAsia"/>
          <w:sz w:val="32"/>
          <w:szCs w:val="32"/>
          <w:lang w:eastAsia="zh-CN"/>
        </w:rPr>
        <w:t>时未对其进行单独核算。</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农林水（类）扶贫（款）其他扶贫支出（项）。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年初预算数的主要原因是：年初预算</w:t>
      </w:r>
      <w:r>
        <w:rPr>
          <w:rFonts w:hint="eastAsia" w:asciiTheme="minorEastAsia" w:hAnsiTheme="minorEastAsia" w:eastAsiaTheme="minorEastAsia"/>
          <w:sz w:val="32"/>
          <w:szCs w:val="32"/>
          <w:lang w:eastAsia="zh-CN"/>
        </w:rPr>
        <w:t>时未对其进行单独核算。</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农林水（类）农村综合改革（款）对村民委员会和村党支部的补助（项）。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年初预算170.54万元，支出决算为</w:t>
      </w:r>
      <w:r>
        <w:rPr>
          <w:rFonts w:hint="eastAsia" w:asciiTheme="minorEastAsia" w:hAnsiTheme="minorEastAsia" w:eastAsiaTheme="minorEastAsia"/>
          <w:sz w:val="32"/>
          <w:szCs w:val="32"/>
          <w:lang w:val="en-US" w:eastAsia="zh-CN"/>
        </w:rPr>
        <w:t>170.54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持平。</w:t>
      </w:r>
    </w:p>
    <w:p>
      <w:pPr>
        <w:pStyle w:val="13"/>
        <w:ind w:firstLine="800" w:firstLineChars="250"/>
        <w:rPr>
          <w:rFonts w:hint="eastAsia" w:asciiTheme="minorEastAsia" w:hAnsiTheme="minorEastAsia" w:eastAsiaTheme="minorEastAsia"/>
          <w:sz w:val="32"/>
          <w:szCs w:val="32"/>
          <w:lang w:eastAsia="zh-CN"/>
        </w:rPr>
      </w:pP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住房保障（类）住房改革（款）住房公积金（项）。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54.08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年初预算数的主要原因是：年</w:t>
      </w:r>
      <w:r>
        <w:rPr>
          <w:rFonts w:hint="eastAsia" w:asciiTheme="minorEastAsia" w:hAnsiTheme="minorEastAsia" w:eastAsiaTheme="minorEastAsia"/>
          <w:sz w:val="32"/>
          <w:szCs w:val="32"/>
          <w:lang w:eastAsia="zh-CN"/>
        </w:rPr>
        <w:t>末核算时公积金尚未补缴齐。</w:t>
      </w:r>
    </w:p>
    <w:p>
      <w:pPr>
        <w:pStyle w:val="13"/>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灾害防治及应急管理（类）应急管理事物（款）安全监管（项）。</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79.05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年初预算数的主要原因是：年</w:t>
      </w:r>
      <w:r>
        <w:rPr>
          <w:rFonts w:hint="eastAsia" w:asciiTheme="minorEastAsia" w:hAnsiTheme="minorEastAsia" w:eastAsiaTheme="minorEastAsia"/>
          <w:sz w:val="32"/>
          <w:szCs w:val="32"/>
          <w:lang w:eastAsia="zh-CN"/>
        </w:rPr>
        <w:t>末核算时尚未进行绩效全额发放。</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789.43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630.67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79.89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158.76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20.11</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eastAsia="zh-CN"/>
        </w:rPr>
        <w:t>水电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、差旅费、三公开支等；</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仿宋" w:hAnsi="仿宋" w:eastAsia="仿宋" w:cs="仿宋"/>
          <w:kern w:val="2"/>
          <w:sz w:val="32"/>
          <w:szCs w:val="32"/>
          <w:lang w:val="en-US" w:eastAsia="zh-CN" w:bidi="ar"/>
        </w:rPr>
        <w:t>16</w:t>
      </w:r>
      <w:r>
        <w:rPr>
          <w:rFonts w:hint="eastAsia" w:asciiTheme="minorEastAsia" w:hAnsiTheme="minorEastAsia" w:eastAsiaTheme="minorEastAsia"/>
          <w:sz w:val="32"/>
          <w:szCs w:val="32"/>
        </w:rPr>
        <w:t>万元，支出决算为</w:t>
      </w:r>
      <w:r>
        <w:rPr>
          <w:rFonts w:hint="eastAsia" w:ascii="仿宋" w:hAnsi="仿宋" w:eastAsia="仿宋" w:cs="仿宋"/>
          <w:kern w:val="2"/>
          <w:sz w:val="32"/>
          <w:szCs w:val="32"/>
          <w:lang w:val="en-US" w:eastAsia="zh-CN" w:bidi="ar"/>
        </w:rPr>
        <w:t>5.82</w:t>
      </w:r>
      <w:r>
        <w:rPr>
          <w:rFonts w:hint="eastAsia" w:asciiTheme="minorEastAsia" w:hAnsiTheme="minorEastAsia" w:eastAsiaTheme="minorEastAsia"/>
          <w:sz w:val="32"/>
          <w:szCs w:val="32"/>
        </w:rPr>
        <w:t>万元，</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公务用车购置费及运行维护费支出预算为完成预算的</w:t>
      </w:r>
      <w:r>
        <w:rPr>
          <w:rFonts w:hint="eastAsia" w:asciiTheme="minorEastAsia" w:hAnsiTheme="minorEastAsia" w:eastAsiaTheme="minorEastAsia"/>
          <w:sz w:val="32"/>
          <w:szCs w:val="32"/>
          <w:lang w:val="en-US" w:eastAsia="zh-CN"/>
        </w:rPr>
        <w:t>36.38</w:t>
      </w:r>
      <w:r>
        <w:rPr>
          <w:rFonts w:hint="eastAsia" w:asciiTheme="minorEastAsia" w:hAnsiTheme="minorEastAsia" w:eastAsiaTheme="minorEastAsia"/>
          <w:sz w:val="32"/>
          <w:szCs w:val="32"/>
        </w:rPr>
        <w:t>%，其中：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24.64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接待人数减少且按照上级要求减逐年减少三公经费开支</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1.72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126.47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有报以前年度</w:t>
      </w:r>
      <w:r>
        <w:rPr>
          <w:rFonts w:hint="eastAsia" w:asciiTheme="minorEastAsia" w:hAnsiTheme="minorEastAsia" w:eastAsiaTheme="minorEastAsia"/>
          <w:sz w:val="32"/>
          <w:szCs w:val="32"/>
          <w:lang w:val="en-US" w:eastAsia="zh-CN"/>
        </w:rPr>
        <w:t>接待费用。</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公务用车购置费及运行维护费支出预算为3.5万元，支出决算为2.74万元，完成预算的78.29%，决算数小于预算数的主要原因是减少公车出行且按照上级要求减逐年减少三公经费开支</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万元，占</w:t>
      </w:r>
      <w:r>
        <w:rPr>
          <w:rFonts w:hint="eastAsia" w:ascii="仿宋" w:hAnsi="仿宋" w:eastAsia="仿宋" w:cs="仿宋"/>
          <w:kern w:val="2"/>
          <w:sz w:val="32"/>
          <w:szCs w:val="32"/>
          <w:lang w:val="en-US" w:eastAsia="zh-CN" w:bidi="ar"/>
        </w:rPr>
        <w:t>52.92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仿宋" w:hAnsi="仿宋" w:eastAsia="仿宋" w:cs="仿宋"/>
          <w:kern w:val="2"/>
          <w:sz w:val="32"/>
          <w:szCs w:val="32"/>
          <w:lang w:val="en-US" w:eastAsia="zh-CN" w:bidi="ar"/>
        </w:rPr>
        <w:t>2.74</w:t>
      </w:r>
      <w:r>
        <w:rPr>
          <w:rFonts w:hint="eastAsia" w:asciiTheme="minorEastAsia" w:hAnsiTheme="minorEastAsia" w:eastAsiaTheme="minorEastAsia"/>
          <w:sz w:val="32"/>
          <w:szCs w:val="32"/>
        </w:rPr>
        <w:t>万元，占</w:t>
      </w:r>
      <w:r>
        <w:rPr>
          <w:rFonts w:hint="eastAsia" w:ascii="仿宋" w:hAnsi="仿宋" w:eastAsia="仿宋" w:cs="仿宋"/>
          <w:kern w:val="2"/>
          <w:sz w:val="32"/>
          <w:szCs w:val="32"/>
          <w:lang w:val="en-US" w:eastAsia="zh-CN" w:bidi="ar"/>
        </w:rPr>
        <w:t>47.08</w:t>
      </w:r>
      <w:r>
        <w:rPr>
          <w:rFonts w:hint="eastAsia" w:asciiTheme="minorEastAsia" w:hAnsiTheme="minorEastAsia" w:eastAsiaTheme="minorEastAsia"/>
          <w:sz w:val="32"/>
          <w:szCs w:val="32"/>
        </w:rPr>
        <w:t>%。其中：</w:t>
      </w:r>
    </w:p>
    <w:p>
      <w:pPr>
        <w:pStyle w:val="13"/>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3.08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461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上级检查，项目勘察，定期检查等接待等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仿宋" w:hAnsi="仿宋" w:eastAsia="仿宋" w:cs="仿宋"/>
          <w:kern w:val="2"/>
          <w:sz w:val="32"/>
          <w:szCs w:val="32"/>
          <w:lang w:val="en-US" w:eastAsia="zh-CN" w:bidi="ar"/>
        </w:rPr>
        <w:t>2.74</w:t>
      </w:r>
      <w:r>
        <w:rPr>
          <w:rFonts w:hint="eastAsia" w:asciiTheme="minorEastAsia" w:hAnsiTheme="minorEastAsia"/>
          <w:sz w:val="32"/>
          <w:szCs w:val="32"/>
        </w:rPr>
        <w:t>万元，其中：公务用车购置费</w:t>
      </w:r>
      <w:r>
        <w:rPr>
          <w:rFonts w:hint="eastAsia" w:ascii="仿宋" w:hAnsi="仿宋" w:eastAsia="仿宋" w:cs="仿宋"/>
          <w:kern w:val="2"/>
          <w:sz w:val="32"/>
          <w:szCs w:val="32"/>
          <w:lang w:val="en-US" w:eastAsia="zh-CN" w:bidi="ar"/>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，接受上级捐赠消防车辆</w:t>
      </w:r>
      <w:r>
        <w:rPr>
          <w:rFonts w:hint="eastAsia" w:asciiTheme="minorEastAsia" w:hAnsiTheme="minorEastAsia"/>
          <w:sz w:val="32"/>
          <w:szCs w:val="32"/>
          <w:lang w:val="en-US" w:eastAsia="zh-CN"/>
        </w:rPr>
        <w:t>1辆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仿宋" w:hAnsi="仿宋" w:eastAsia="仿宋" w:cs="仿宋"/>
          <w:kern w:val="2"/>
          <w:sz w:val="32"/>
          <w:szCs w:val="32"/>
          <w:lang w:val="en-US" w:eastAsia="zh-CN" w:bidi="ar"/>
        </w:rPr>
        <w:t>2.74</w:t>
      </w:r>
      <w:r>
        <w:rPr>
          <w:rFonts w:hint="eastAsia" w:asciiTheme="minorEastAsia" w:hAnsiTheme="minorEastAsia"/>
          <w:sz w:val="32"/>
          <w:szCs w:val="32"/>
        </w:rPr>
        <w:t>万元，主要是</w:t>
      </w:r>
      <w:r>
        <w:rPr>
          <w:rFonts w:hint="eastAsia" w:asciiTheme="minorEastAsia" w:hAnsiTheme="minorEastAsia"/>
          <w:sz w:val="32"/>
          <w:szCs w:val="32"/>
          <w:lang w:val="en-US" w:eastAsia="zh-CN"/>
        </w:rPr>
        <w:t>公车维修及公车过路费</w:t>
      </w:r>
      <w:r>
        <w:rPr>
          <w:rFonts w:hint="eastAsia" w:asciiTheme="minorEastAsia" w:hAnsiTheme="minorEastAsia"/>
          <w:sz w:val="32"/>
          <w:szCs w:val="32"/>
        </w:rPr>
        <w:t>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w:t>
      </w:r>
      <w:r>
        <w:rPr>
          <w:rFonts w:hint="eastAsia" w:asciiTheme="minorEastAsia" w:hAnsiTheme="minorEastAsia" w:eastAsiaTheme="minorEastAsia" w:cstheme="minorBidi"/>
          <w:color w:val="auto"/>
          <w:kern w:val="2"/>
          <w:sz w:val="32"/>
          <w:szCs w:val="32"/>
          <w:lang w:val="en-US" w:eastAsia="zh-CN" w:bidi="ar-SA"/>
        </w:rPr>
        <w:t>年度政府性基金预算财政拨款收入0万元；年初结转和结余0万元；支出0万元，其中基本支出0万元，项目支出0万元；年末结转和结余0万元。本单位无政府性基金收支。</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仿宋" w:hAnsi="仿宋" w:eastAsia="仿宋" w:cs="仿宋"/>
          <w:color w:val="000000"/>
          <w:sz w:val="32"/>
          <w:szCs w:val="32"/>
          <w:lang w:val="en-US" w:eastAsia="zh-CN" w:bidi="ar"/>
        </w:rPr>
        <w:t>158.76</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115.17</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43.59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37.85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会议增多，会议费和租车费增多</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十、一般性支出情况说明</w:t>
      </w:r>
    </w:p>
    <w:p>
      <w:pPr>
        <w:keepNext w:val="0"/>
        <w:keepLines w:val="0"/>
        <w:widowControl w:val="0"/>
        <w:suppressLineNumbers w:val="0"/>
        <w:spacing w:before="0" w:beforeAutospacing="0" w:after="0" w:afterAutospacing="0"/>
        <w:ind w:left="0" w:right="0"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2021</w:t>
      </w:r>
      <w:r>
        <w:rPr>
          <w:rFonts w:hint="eastAsia" w:cs="黑体" w:asciiTheme="minorEastAsia" w:hAnsiTheme="minorEastAsia" w:eastAsiaTheme="minorEastAsia"/>
          <w:color w:val="000000"/>
          <w:kern w:val="0"/>
          <w:sz w:val="32"/>
          <w:szCs w:val="32"/>
          <w:lang w:val="en-US" w:eastAsia="zh-CN" w:bidi="ar-SA"/>
        </w:rPr>
        <w:t>年本部门开支会议费0.37万元，用于召开乡村两级干部会议，3</w:t>
      </w:r>
      <w:r>
        <w:rPr>
          <w:rFonts w:hint="eastAsia" w:cs="黑体" w:asciiTheme="minorEastAsia" w:hAnsiTheme="minorEastAsia"/>
          <w:color w:val="000000"/>
          <w:kern w:val="0"/>
          <w:sz w:val="32"/>
          <w:szCs w:val="32"/>
          <w:lang w:val="en-US" w:eastAsia="zh-CN" w:bidi="ar-SA"/>
        </w:rPr>
        <w:t>7</w:t>
      </w:r>
      <w:r>
        <w:rPr>
          <w:rFonts w:hint="eastAsia" w:cs="黑体" w:asciiTheme="minorEastAsia" w:hAnsiTheme="minorEastAsia" w:eastAsiaTheme="minorEastAsia"/>
          <w:color w:val="000000"/>
          <w:kern w:val="0"/>
          <w:sz w:val="32"/>
          <w:szCs w:val="32"/>
          <w:lang w:val="en-US" w:eastAsia="zh-CN" w:bidi="ar-SA"/>
        </w:rPr>
        <w:t>5人次，内容为防汛，</w:t>
      </w:r>
      <w:r>
        <w:rPr>
          <w:rFonts w:hint="eastAsia" w:cs="黑体" w:asciiTheme="minorEastAsia" w:hAnsiTheme="minorEastAsia"/>
          <w:color w:val="000000"/>
          <w:kern w:val="0"/>
          <w:sz w:val="32"/>
          <w:szCs w:val="32"/>
          <w:lang w:val="en-US" w:eastAsia="zh-CN" w:bidi="ar-SA"/>
        </w:rPr>
        <w:t>防疫</w:t>
      </w:r>
      <w:r>
        <w:rPr>
          <w:rFonts w:hint="eastAsia" w:cs="黑体" w:asciiTheme="minorEastAsia" w:hAnsiTheme="minorEastAsia" w:eastAsiaTheme="minorEastAsia"/>
          <w:color w:val="000000"/>
          <w:kern w:val="0"/>
          <w:sz w:val="32"/>
          <w:szCs w:val="32"/>
          <w:lang w:val="en-US" w:eastAsia="zh-CN" w:bidi="ar-SA"/>
        </w:rPr>
        <w:t>，</w:t>
      </w:r>
      <w:r>
        <w:rPr>
          <w:rFonts w:hint="eastAsia" w:cs="黑体" w:asciiTheme="minorEastAsia" w:hAnsiTheme="minorEastAsia"/>
          <w:color w:val="000000"/>
          <w:kern w:val="0"/>
          <w:sz w:val="32"/>
          <w:szCs w:val="32"/>
          <w:lang w:val="en-US" w:eastAsia="zh-CN" w:bidi="ar-SA"/>
        </w:rPr>
        <w:t>乡村振兴</w:t>
      </w:r>
      <w:r>
        <w:rPr>
          <w:rFonts w:hint="eastAsia" w:cs="黑体" w:asciiTheme="minorEastAsia" w:hAnsiTheme="minorEastAsia" w:eastAsiaTheme="minorEastAsia"/>
          <w:color w:val="000000"/>
          <w:kern w:val="0"/>
          <w:sz w:val="32"/>
          <w:szCs w:val="32"/>
          <w:lang w:val="en-US" w:eastAsia="zh-CN" w:bidi="ar-SA"/>
        </w:rPr>
        <w:t>等工作会议；开支培训费0.16万元，用于干部在外参加培训的费用报销，5人次，内容为业务培训，系统使用培训等；未举办节庆、晚会、论坛、赛事活动，开支0万元。</w:t>
      </w:r>
    </w:p>
    <w:p>
      <w:pPr>
        <w:pStyle w:val="13"/>
        <w:rPr>
          <w:rFonts w:hAnsi="黑体"/>
          <w:b/>
          <w:sz w:val="32"/>
          <w:szCs w:val="32"/>
        </w:rPr>
      </w:pPr>
      <w:r>
        <w:rPr>
          <w:rFonts w:hint="eastAsia" w:hAnsi="黑体"/>
          <w:b/>
          <w:sz w:val="32"/>
          <w:szCs w:val="32"/>
        </w:rPr>
        <w:t>十一、政府采购支出说明</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本部门2021</w:t>
      </w:r>
      <w:r>
        <w:rPr>
          <w:rFonts w:hint="eastAsia" w:cs="黑体" w:asciiTheme="minorEastAsia" w:hAnsiTheme="minorEastAsia" w:eastAsiaTheme="minorEastAsia"/>
          <w:color w:val="000000"/>
          <w:kern w:val="0"/>
          <w:sz w:val="32"/>
          <w:szCs w:val="32"/>
          <w:lang w:val="en-US" w:eastAsia="zh-CN" w:bidi="ar-SA"/>
        </w:rPr>
        <w:t>年度政府采购支出总额25万元，其中：政府采购货物支出10万元、政府采购工程支出0万元、政府采购服务支出15万元。授予中小企业合同金额0万元，占政府采购支出总额的0%，其中：授予小微企业合同金额0万元，占政府采购支出总额的0%</w:t>
      </w:r>
    </w:p>
    <w:p>
      <w:pPr>
        <w:pStyle w:val="13"/>
        <w:rPr>
          <w:rFonts w:hAnsi="黑体"/>
          <w:b/>
          <w:sz w:val="32"/>
          <w:szCs w:val="32"/>
        </w:rPr>
      </w:pPr>
      <w:r>
        <w:rPr>
          <w:rFonts w:hint="eastAsia" w:hAnsi="黑体"/>
          <w:b/>
          <w:sz w:val="32"/>
          <w:szCs w:val="32"/>
        </w:rPr>
        <w:t>十二、国有资产占用情况说明</w:t>
      </w:r>
    </w:p>
    <w:p>
      <w:pPr>
        <w:keepNext w:val="0"/>
        <w:keepLines w:val="0"/>
        <w:widowControl w:val="0"/>
        <w:suppressLineNumbers w:val="0"/>
        <w:spacing w:before="0" w:beforeAutospacing="0" w:after="0" w:afterAutospacing="0"/>
        <w:ind w:left="0" w:right="0"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cs="黑体" w:asciiTheme="minorEastAsia" w:hAnsiTheme="minorEastAsia" w:eastAsiaTheme="minorEastAsia"/>
          <w:color w:val="000000"/>
          <w:kern w:val="0"/>
          <w:sz w:val="32"/>
          <w:szCs w:val="32"/>
          <w:lang w:val="en-US" w:eastAsia="zh-CN" w:bidi="ar-SA"/>
        </w:rPr>
        <w:t>本单位共有车辆</w:t>
      </w:r>
      <w:r>
        <w:rPr>
          <w:rFonts w:hint="eastAsia" w:cs="黑体" w:asciiTheme="minorEastAsia" w:hAnsiTheme="minorEastAsia"/>
          <w:color w:val="000000"/>
          <w:kern w:val="0"/>
          <w:sz w:val="32"/>
          <w:szCs w:val="32"/>
          <w:lang w:val="en-US" w:eastAsia="zh-CN" w:bidi="ar-SA"/>
        </w:rPr>
        <w:t>2</w:t>
      </w:r>
      <w:r>
        <w:rPr>
          <w:rFonts w:hint="eastAsia" w:cs="黑体" w:asciiTheme="minorEastAsia" w:hAnsiTheme="minorEastAsia" w:eastAsiaTheme="minorEastAsia"/>
          <w:color w:val="000000"/>
          <w:kern w:val="0"/>
          <w:sz w:val="32"/>
          <w:szCs w:val="32"/>
          <w:lang w:val="en-US" w:eastAsia="zh-CN" w:bidi="ar-SA"/>
        </w:rPr>
        <w:t>辆，其中，领导干部用车0辆、机要通信用车0辆、应急保障用车</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辆</w:t>
      </w:r>
      <w:r>
        <w:rPr>
          <w:rFonts w:hint="eastAsia" w:cs="黑体" w:asciiTheme="minorEastAsia" w:hAnsiTheme="minorEastAsia"/>
          <w:color w:val="000000"/>
          <w:kern w:val="0"/>
          <w:sz w:val="32"/>
          <w:szCs w:val="32"/>
          <w:lang w:val="en-US" w:eastAsia="zh-CN" w:bidi="ar-SA"/>
        </w:rPr>
        <w:t>（上级捐赠的消防用车）</w:t>
      </w:r>
      <w:r>
        <w:rPr>
          <w:rFonts w:hint="eastAsia" w:cs="黑体" w:asciiTheme="minorEastAsia" w:hAnsiTheme="minorEastAsia" w:eastAsiaTheme="minorEastAsia"/>
          <w:color w:val="000000"/>
          <w:kern w:val="0"/>
          <w:sz w:val="32"/>
          <w:szCs w:val="32"/>
          <w:lang w:val="en-US" w:eastAsia="zh-CN" w:bidi="ar-SA"/>
        </w:rPr>
        <w:t>、执法执勤用车0辆、特种专业技术用车0辆、其他用车</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辆，其他用车主要是普通公务用车；单位价值50万元以上通用设备0台（套）；单位价值100万元以上专用设备0台（套）。</w:t>
      </w:r>
    </w:p>
    <w:p>
      <w:pPr>
        <w:pStyle w:val="13"/>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w:t>
      </w:r>
      <w:r>
        <w:rPr>
          <w:rFonts w:hint="eastAsia" w:cs="黑体" w:asciiTheme="minorEastAsia" w:hAnsiTheme="minorEastAsia"/>
          <w:color w:val="000000"/>
          <w:kern w:val="0"/>
          <w:sz w:val="32"/>
          <w:szCs w:val="32"/>
          <w:lang w:val="en-US" w:eastAsia="zh-CN"/>
        </w:rPr>
        <w:t>。</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目标</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：做好党建工作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完成情况：定期组织班子成员召开专题会议研究党建工作，</w:t>
      </w:r>
      <w:r>
        <w:rPr>
          <w:rFonts w:hint="eastAsia" w:cs="黑体" w:asciiTheme="minorEastAsia" w:hAnsiTheme="minorEastAsia"/>
          <w:color w:val="000000"/>
          <w:kern w:val="0"/>
          <w:sz w:val="32"/>
          <w:szCs w:val="32"/>
          <w:lang w:val="en-US" w:eastAsia="zh-CN"/>
        </w:rPr>
        <w:t>全年</w:t>
      </w:r>
      <w:r>
        <w:rPr>
          <w:rFonts w:hint="default" w:cs="黑体" w:asciiTheme="minorEastAsia" w:hAnsiTheme="minorEastAsia"/>
          <w:color w:val="000000"/>
          <w:kern w:val="0"/>
          <w:sz w:val="32"/>
          <w:szCs w:val="32"/>
          <w:lang w:val="en-US" w:eastAsia="zh-CN"/>
        </w:rPr>
        <w:t>召开</w:t>
      </w:r>
      <w:r>
        <w:rPr>
          <w:rFonts w:hint="eastAsia" w:cs="黑体" w:asciiTheme="minorEastAsia" w:hAnsiTheme="minorEastAsia"/>
          <w:color w:val="000000"/>
          <w:kern w:val="0"/>
          <w:sz w:val="32"/>
          <w:szCs w:val="32"/>
          <w:lang w:val="en-US" w:eastAsia="zh-CN"/>
        </w:rPr>
        <w:t>党建工作部署</w:t>
      </w:r>
      <w:r>
        <w:rPr>
          <w:rFonts w:hint="default" w:cs="黑体" w:asciiTheme="minorEastAsia" w:hAnsiTheme="minorEastAsia"/>
          <w:color w:val="000000"/>
          <w:kern w:val="0"/>
          <w:sz w:val="32"/>
          <w:szCs w:val="32"/>
          <w:lang w:val="en-US" w:eastAsia="zh-CN"/>
        </w:rPr>
        <w:t>会</w:t>
      </w:r>
      <w:r>
        <w:rPr>
          <w:rFonts w:hint="eastAsia" w:cs="黑体" w:asciiTheme="minorEastAsia" w:hAnsiTheme="minorEastAsia"/>
          <w:color w:val="000000"/>
          <w:kern w:val="0"/>
          <w:sz w:val="32"/>
          <w:szCs w:val="32"/>
          <w:lang w:val="en-US" w:eastAsia="zh-CN"/>
        </w:rPr>
        <w:t>20余</w:t>
      </w:r>
      <w:r>
        <w:rPr>
          <w:rFonts w:hint="default" w:cs="黑体" w:asciiTheme="minorEastAsia" w:hAnsiTheme="minorEastAsia"/>
          <w:color w:val="000000"/>
          <w:kern w:val="0"/>
          <w:sz w:val="32"/>
          <w:szCs w:val="32"/>
          <w:lang w:val="en-US" w:eastAsia="zh-CN"/>
        </w:rPr>
        <w:t>次</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lang w:eastAsia="zh-CN"/>
        </w:rPr>
        <w:t>着力开展党史学习教育活动</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扎实开展</w:t>
      </w:r>
      <w:r>
        <w:rPr>
          <w:rFonts w:hint="eastAsia" w:cs="黑体" w:asciiTheme="minorEastAsia" w:hAnsiTheme="minorEastAsia"/>
          <w:color w:val="000000"/>
          <w:kern w:val="0"/>
          <w:sz w:val="32"/>
          <w:szCs w:val="32"/>
        </w:rPr>
        <w:t>“我为群众办实事”实践活动</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召开了“五个到户”工作动员及培训大会，全面了解村情民意，按照“一看、二问、三讲、四记、五解”工作法，完成了全镇3353户村民编制姓氏索引分类，掌握了农户“一户一档”的第一手资料。定期组织召开民情例会，发挥好“四方会诊、三级化解”的作用，截止目前已累计收到群众反馈问题27条，镇村两级研究解决问题27条，已全部销号。成功创建沅城村为怀化市党建示范村。</w:t>
      </w:r>
      <w:r>
        <w:rPr>
          <w:rFonts w:hint="eastAsia" w:cs="黑体" w:asciiTheme="minorEastAsia" w:hAnsiTheme="minorEastAsia"/>
          <w:color w:val="000000"/>
          <w:kern w:val="0"/>
          <w:sz w:val="32"/>
          <w:szCs w:val="32"/>
          <w:lang w:eastAsia="zh-CN"/>
        </w:rPr>
        <w:t>镇党委组织各支部、党员</w:t>
      </w:r>
      <w:r>
        <w:rPr>
          <w:rFonts w:hint="eastAsia" w:cs="黑体" w:asciiTheme="minorEastAsia" w:hAnsiTheme="minorEastAsia"/>
          <w:color w:val="000000"/>
          <w:kern w:val="0"/>
          <w:sz w:val="32"/>
          <w:szCs w:val="32"/>
          <w:lang w:val="en-US" w:eastAsia="zh-CN"/>
        </w:rPr>
        <w:t>依托入户走访、屋场会等多种形式</w:t>
      </w:r>
      <w:r>
        <w:rPr>
          <w:rFonts w:hint="eastAsia" w:cs="黑体" w:asciiTheme="minorEastAsia" w:hAnsiTheme="minorEastAsia"/>
          <w:color w:val="000000"/>
          <w:kern w:val="0"/>
          <w:sz w:val="32"/>
          <w:szCs w:val="32"/>
          <w:lang w:eastAsia="zh-CN"/>
        </w:rPr>
        <w:t>开展了卫生清扫、助农耕地等系列活动，全镇共计为民</w:t>
      </w:r>
      <w:r>
        <w:rPr>
          <w:rFonts w:hint="eastAsia" w:cs="黑体" w:asciiTheme="minorEastAsia" w:hAnsiTheme="minorEastAsia"/>
          <w:color w:val="000000"/>
          <w:kern w:val="0"/>
          <w:sz w:val="32"/>
          <w:szCs w:val="32"/>
        </w:rPr>
        <w:t>办实事解难题</w:t>
      </w:r>
      <w:r>
        <w:rPr>
          <w:rFonts w:hint="eastAsia" w:cs="黑体" w:asciiTheme="minorEastAsia" w:hAnsiTheme="minorEastAsia"/>
          <w:color w:val="000000"/>
          <w:kern w:val="0"/>
          <w:sz w:val="32"/>
          <w:szCs w:val="32"/>
          <w:lang w:val="en-US" w:eastAsia="zh-CN"/>
        </w:rPr>
        <w:t>200余件;</w:t>
      </w:r>
      <w:r>
        <w:rPr>
          <w:rFonts w:hint="eastAsia" w:cs="黑体" w:asciiTheme="minorEastAsia" w:hAnsiTheme="minorEastAsia"/>
          <w:color w:val="000000"/>
          <w:kern w:val="0"/>
          <w:sz w:val="32"/>
          <w:szCs w:val="32"/>
        </w:rPr>
        <w:t>认真落实党组织和党员公开承诺制度，对党组织和党员公开承诺予以及时公示，接受广大群众的监督</w:t>
      </w:r>
      <w:r>
        <w:rPr>
          <w:rFonts w:hint="eastAsia" w:cs="黑体" w:asciiTheme="minorEastAsia" w:hAnsiTheme="minorEastAsia"/>
          <w:color w:val="000000"/>
          <w:kern w:val="0"/>
          <w:sz w:val="32"/>
          <w:szCs w:val="32"/>
          <w:lang w:eastAsia="zh-CN"/>
        </w:rPr>
        <w:t>。</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目标</w:t>
      </w:r>
      <w:r>
        <w:rPr>
          <w:rFonts w:hint="eastAsia" w:cs="黑体" w:asciiTheme="minorEastAsia" w:hAnsiTheme="minorEastAsia"/>
          <w:color w:val="000000"/>
          <w:kern w:val="0"/>
          <w:sz w:val="32"/>
          <w:szCs w:val="32"/>
          <w:lang w:val="en-US" w:eastAsia="zh-CN"/>
        </w:rPr>
        <w:t>2：扎实开展乡村振兴工作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完成情况：</w:t>
      </w:r>
      <w:r>
        <w:rPr>
          <w:rFonts w:hint="eastAsia" w:cs="黑体" w:asciiTheme="minorEastAsia" w:hAnsiTheme="minorEastAsia"/>
          <w:color w:val="000000"/>
          <w:kern w:val="0"/>
          <w:sz w:val="32"/>
          <w:szCs w:val="32"/>
          <w:lang w:eastAsia="zh-CN"/>
        </w:rPr>
        <w:t>一是</w:t>
      </w:r>
      <w:r>
        <w:rPr>
          <w:rFonts w:hint="eastAsia" w:cs="黑体" w:asciiTheme="minorEastAsia" w:hAnsiTheme="minorEastAsia"/>
          <w:color w:val="000000"/>
          <w:kern w:val="0"/>
          <w:sz w:val="32"/>
          <w:szCs w:val="32"/>
          <w:lang w:val="en-US" w:eastAsia="zh-CN"/>
        </w:rPr>
        <w:t>做好防返贫监测与帮扶管理工作。我镇相继开展了关于省市级重点村、示范村、薄弱村等相关帮扶村的申报工作，其中沅城村被明确为湖南省乡村振兴重点帮扶村。按程序共识别纳入监测对象4户，并逐户制定并落实帮扶措施，明确由驻村领导为帮扶责任人。安排专人操作管理省返贫监测与帮扶管理平台，规范处置核实流程，规范上传资料，累计处置核实消除疑似风险点323条，核实处置政策未落实问题382条。二是做好乡村振兴产业发展工作。对扶贫项目资产进行全面确权登记，并移交村级管理，各个项目都明确了管护责任人，资产管护到位。</w:t>
      </w:r>
      <w:r>
        <w:rPr>
          <w:rFonts w:hint="eastAsia" w:cs="黑体" w:asciiTheme="minorEastAsia" w:hAnsiTheme="minorEastAsia"/>
          <w:color w:val="000000"/>
          <w:kern w:val="0"/>
          <w:sz w:val="32"/>
          <w:szCs w:val="32"/>
          <w:lang w:eastAsia="zh-CN"/>
        </w:rPr>
        <w:t>完成</w:t>
      </w:r>
      <w:r>
        <w:rPr>
          <w:rFonts w:hint="eastAsia" w:cs="黑体" w:asciiTheme="minorEastAsia" w:hAnsiTheme="minorEastAsia"/>
          <w:color w:val="000000"/>
          <w:kern w:val="0"/>
          <w:sz w:val="32"/>
          <w:szCs w:val="32"/>
          <w:lang w:val="en-US" w:eastAsia="zh-CN"/>
        </w:rPr>
        <w:t>2021年项目入库申报7个，2022年-2024年项目入库申报98个。2021年实施的5个项目已全部完工。三是落实各项保障政策。全年补助困难学生408人次，发放义务教育补助11.6万元；补助职业教育105人次，发放雨露计划职业教育补助17.9万元；申报禁捕退捕产业奖补13户，申报金额2.5元；共有75户享受小额信贷贴息，贴息金额10万余元。针对有劳动能力和意愿在本地就业的脱贫户人员，共提供61个公益岗位、10个生态护林员岗位，助力脱贫户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 xml:space="preserve">  目标</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抓好安全生产工作</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完成情况：</w:t>
      </w:r>
      <w:r>
        <w:rPr>
          <w:rFonts w:hint="eastAsia" w:cs="黑体" w:asciiTheme="minorEastAsia" w:hAnsiTheme="minorEastAsia"/>
          <w:color w:val="000000"/>
          <w:kern w:val="0"/>
          <w:sz w:val="32"/>
          <w:szCs w:val="32"/>
          <w:lang w:val="en-US" w:eastAsia="zh-CN"/>
        </w:rPr>
        <w:t>一是基础性工作不断加强。印发了《沅河镇突发公共事件总体应急预案》和部分专项应急预案,各村（社区）成立了应急站，建立了应急队伍，设立了专门的工作场地和应急救援装备存放室,配置了专业的应急救援装备。二是“顽瘴痼疾”“戴帽工程”持续深入。对照5大方面10类突出问题迅速开展交通问题顽瘴痼疾安全隐患排查，共排查各类交通安全隐患15处，目前12处整改到位，剩余3处正在积极整改中。三是应急演练圆满成功。先后组织镇民兵队伍、应急分队、卫生院医务人员等开展了消防、小（二）型水库、山洪地质灾害防御的演练，各组织指挥成员和各应急队员明确职责，演练过程井然有序。四是执法检查力度不断加强。全年共完成烟花爆竹现场检查记录36次，配合市应急管理局烟花股执法检查5次。对三轮慢慢游载客、面包车公交车超载等行为进行严厉打击。五是安全生产宣传氛围浓厚。开展了“消除事故隐患，筑牢安全防线”为主题的安全生产月活动。在沿河重点地段安放防溺水告示牌，并通过一封信的形式，向在校学生家长宣传防溺水工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960" w:firstLineChars="3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一、财政拨款收入：</w:t>
      </w:r>
      <w:r>
        <w:rPr>
          <w:rFonts w:hint="eastAsia" w:cs="黑体" w:asciiTheme="minorEastAsia" w:hAnsiTheme="minorEastAsia" w:eastAsiaTheme="minorEastAsia"/>
          <w:color w:val="000000"/>
          <w:kern w:val="0"/>
          <w:sz w:val="32"/>
          <w:szCs w:val="32"/>
          <w:lang w:val="en-US" w:eastAsia="zh-CN" w:bidi="ar-SA"/>
        </w:rPr>
        <w:t>指单位本年度从市级财政部门取得的财政拨款。</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二、上级补助收入：</w:t>
      </w:r>
      <w:r>
        <w:rPr>
          <w:rFonts w:hint="eastAsia" w:cs="黑体" w:asciiTheme="minorEastAsia" w:hAnsiTheme="minorEastAsia" w:eastAsiaTheme="minorEastAsia"/>
          <w:color w:val="000000"/>
          <w:kern w:val="0"/>
          <w:sz w:val="32"/>
          <w:szCs w:val="32"/>
          <w:lang w:val="en-US" w:eastAsia="zh-CN" w:bidi="ar-SA"/>
        </w:rPr>
        <w:t>指事业单位从主管部门和上级单位取得的非财政补助收入。</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三、事业收入：</w:t>
      </w:r>
      <w:r>
        <w:rPr>
          <w:rFonts w:hint="eastAsia" w:cs="黑体" w:asciiTheme="minorEastAsia" w:hAnsiTheme="minorEastAsia" w:eastAsiaTheme="minorEastAsia"/>
          <w:color w:val="000000"/>
          <w:kern w:val="0"/>
          <w:sz w:val="32"/>
          <w:szCs w:val="32"/>
          <w:lang w:val="en-US" w:eastAsia="zh-CN" w:bidi="ar-SA"/>
        </w:rPr>
        <w:t>指事业单位开展专业业务活动及其辅助活动取得的收入，事业单位收到的财政专户实际核拨的教育收费等资金在此反映。</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四、经营收入：</w:t>
      </w:r>
      <w:r>
        <w:rPr>
          <w:rFonts w:hint="eastAsia" w:cs="黑体" w:asciiTheme="minorEastAsia" w:hAnsiTheme="minorEastAsia" w:eastAsiaTheme="minorEastAsia"/>
          <w:color w:val="000000"/>
          <w:kern w:val="0"/>
          <w:sz w:val="32"/>
          <w:szCs w:val="32"/>
          <w:lang w:val="en-US" w:eastAsia="zh-CN" w:bidi="ar-SA"/>
        </w:rPr>
        <w:t>指事业单位在专业业务活动及其辅助活动之外开展非独立核算经营活动取得的收入。</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五、附属单位缴款：</w:t>
      </w:r>
      <w:r>
        <w:rPr>
          <w:rFonts w:hint="eastAsia" w:cs="黑体" w:asciiTheme="minorEastAsia" w:hAnsiTheme="minorEastAsia" w:eastAsiaTheme="minorEastAsia"/>
          <w:color w:val="000000"/>
          <w:kern w:val="0"/>
          <w:sz w:val="32"/>
          <w:szCs w:val="32"/>
          <w:lang w:val="en-US" w:eastAsia="zh-CN" w:bidi="ar-SA"/>
        </w:rPr>
        <w:t>指事业单位附属独立核算单位按照有关规定上缴的收入。</w:t>
      </w:r>
    </w:p>
    <w:p>
      <w:pPr>
        <w:pStyle w:val="8"/>
        <w:widowControl/>
        <w:spacing w:before="105" w:beforeAutospacing="0" w:after="105" w:afterAutospacing="0" w:line="30" w:lineRule="atLeast"/>
        <w:ind w:left="0" w:right="0" w:firstLine="420"/>
        <w:textAlignment w:val="baseline"/>
        <w:rPr>
          <w:rFonts w:hint="eastAsia" w:ascii="仿宋" w:hAnsi="仿宋" w:eastAsia="仿宋" w:cs="仿宋"/>
          <w:color w:val="000000"/>
          <w:sz w:val="32"/>
          <w:szCs w:val="32"/>
          <w:vertAlign w:val="baseline"/>
          <w:lang w:val="en-US"/>
        </w:rPr>
      </w:pPr>
      <w:r>
        <w:rPr>
          <w:rFonts w:hint="eastAsia" w:ascii="仿宋" w:hAnsi="仿宋" w:eastAsia="仿宋" w:cs="仿宋"/>
          <w:b/>
          <w:bCs w:val="0"/>
          <w:color w:val="000000"/>
          <w:sz w:val="32"/>
          <w:szCs w:val="32"/>
          <w:vertAlign w:val="baseline"/>
          <w:lang w:eastAsia="zh-CN"/>
        </w:rPr>
        <w:t>六、其他收入：</w:t>
      </w:r>
      <w:r>
        <w:rPr>
          <w:rFonts w:hint="eastAsia" w:cs="黑体" w:asciiTheme="minorEastAsia" w:hAnsiTheme="minorEastAsia" w:eastAsiaTheme="minorEastAsia"/>
          <w:color w:val="000000"/>
          <w:kern w:val="0"/>
          <w:sz w:val="32"/>
          <w:szCs w:val="32"/>
          <w:lang w:val="en-US" w:eastAsia="zh-CN" w:bidi="ar-SA"/>
        </w:rPr>
        <w:t>指单位取得的除上述“财政拨款收入”、“事业收入”、“经营收入”等以外的各项收入。</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七、用事业基金弥补收支差额：</w:t>
      </w:r>
      <w:r>
        <w:rPr>
          <w:rFonts w:hint="eastAsia" w:cs="黑体" w:asciiTheme="minorEastAsia" w:hAnsiTheme="minorEastAsia" w:eastAsiaTheme="minorEastAsia"/>
          <w:color w:val="000000"/>
          <w:kern w:val="0"/>
          <w:sz w:val="32"/>
          <w:szCs w:val="32"/>
          <w:lang w:val="en-US" w:eastAsia="zh-CN" w:bidi="ar-SA"/>
        </w:rPr>
        <w:t>指事业单位用事业基金弥补当年收支差额的数额。</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八、年初结转和结余：</w:t>
      </w:r>
      <w:r>
        <w:rPr>
          <w:rFonts w:hint="eastAsia" w:cs="黑体" w:asciiTheme="minorEastAsia" w:hAnsiTheme="minorEastAsia" w:eastAsiaTheme="minorEastAsia"/>
          <w:color w:val="000000"/>
          <w:kern w:val="0"/>
          <w:sz w:val="32"/>
          <w:szCs w:val="32"/>
          <w:lang w:val="en-US" w:eastAsia="zh-CN" w:bidi="ar-SA"/>
        </w:rPr>
        <w:t>指单位上年结转本年使用的基本支出结转、项目支出结转和结余和经营结余。</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九、一般公共服务（类）人大事务（款）行政运行（项）：</w:t>
      </w:r>
      <w:r>
        <w:rPr>
          <w:rFonts w:hint="eastAsia" w:cs="黑体" w:asciiTheme="minorEastAsia" w:hAnsiTheme="minorEastAsia" w:eastAsiaTheme="minorEastAsia"/>
          <w:color w:val="000000"/>
          <w:kern w:val="0"/>
          <w:sz w:val="32"/>
          <w:szCs w:val="32"/>
          <w:lang w:val="en-US" w:eastAsia="zh-CN" w:bidi="ar-SA"/>
        </w:rPr>
        <w:t>指人大常委会办公厅用于保障机构正常运行、开展日常工作的基本支出。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十、结余分配：</w:t>
      </w:r>
      <w:r>
        <w:rPr>
          <w:rFonts w:hint="eastAsia" w:cs="黑体" w:asciiTheme="minorEastAsia" w:hAnsiTheme="minorEastAsia" w:eastAsiaTheme="minorEastAsia"/>
          <w:color w:val="000000"/>
          <w:kern w:val="0"/>
          <w:sz w:val="32"/>
          <w:szCs w:val="32"/>
          <w:lang w:val="en-US" w:eastAsia="zh-CN" w:bidi="ar-SA"/>
        </w:rPr>
        <w:t>指事业单位按规定对非财政补助结余资金提取的职工福利基金、事业基金和缴纳的所得税，以及减少单位按规定应缴回的基本建设竣工项目结余资金。</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十一、年末结转和结余资金：</w:t>
      </w:r>
      <w:r>
        <w:rPr>
          <w:rFonts w:hint="eastAsia" w:cs="黑体" w:asciiTheme="minorEastAsia" w:hAnsiTheme="minorEastAsia" w:eastAsiaTheme="minorEastAsia"/>
          <w:color w:val="000000"/>
          <w:kern w:val="0"/>
          <w:sz w:val="32"/>
          <w:szCs w:val="32"/>
          <w:lang w:val="en-US" w:eastAsia="zh-CN" w:bidi="ar-SA"/>
        </w:rPr>
        <w:t>指本年度或以前年度预算安排、因客观条件发生变化无法按原计划实施，需要延迟到以后年度按有关规定继续使用的资金。</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十二、基本支出：</w:t>
      </w:r>
      <w:r>
        <w:rPr>
          <w:rFonts w:hint="eastAsia" w:cs="黑体" w:asciiTheme="minorEastAsia" w:hAnsiTheme="minorEastAsia" w:eastAsiaTheme="minorEastAsia"/>
          <w:color w:val="000000"/>
          <w:kern w:val="0"/>
          <w:sz w:val="32"/>
          <w:szCs w:val="32"/>
          <w:lang w:val="en-US" w:eastAsia="zh-CN" w:bidi="ar-SA"/>
        </w:rPr>
        <w:t>指为保障机构正常运转、完成日常工作任务而发生的人员支出和公用支出。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十三、项目支出：</w:t>
      </w:r>
      <w:r>
        <w:rPr>
          <w:rFonts w:hint="eastAsia" w:cs="黑体" w:asciiTheme="minorEastAsia" w:hAnsiTheme="minorEastAsia" w:eastAsiaTheme="minorEastAsia"/>
          <w:color w:val="000000"/>
          <w:kern w:val="0"/>
          <w:sz w:val="32"/>
          <w:szCs w:val="32"/>
          <w:lang w:val="en-US" w:eastAsia="zh-CN" w:bidi="ar-SA"/>
        </w:rPr>
        <w:t>指在基本支出之外为完成特定的行政任务或事业发展目标所发生的支出。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十四、上缴上级支出：</w:t>
      </w:r>
      <w:r>
        <w:rPr>
          <w:rFonts w:hint="eastAsia" w:cs="黑体" w:asciiTheme="minorEastAsia" w:hAnsiTheme="minorEastAsia" w:eastAsiaTheme="minorEastAsia"/>
          <w:color w:val="000000"/>
          <w:kern w:val="0"/>
          <w:sz w:val="32"/>
          <w:szCs w:val="32"/>
          <w:lang w:val="en-US" w:eastAsia="zh-CN" w:bidi="ar-SA"/>
        </w:rPr>
        <w:t>指事业单位按照财政部门和主管部门的规定上缴上级单位的支出。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十五、经营支出：</w:t>
      </w:r>
      <w:r>
        <w:rPr>
          <w:rFonts w:hint="eastAsia" w:cs="黑体" w:asciiTheme="minorEastAsia" w:hAnsiTheme="minorEastAsia" w:eastAsiaTheme="minorEastAsia"/>
          <w:color w:val="000000"/>
          <w:kern w:val="0"/>
          <w:sz w:val="32"/>
          <w:szCs w:val="32"/>
          <w:lang w:val="en-US" w:eastAsia="zh-CN" w:bidi="ar-SA"/>
        </w:rPr>
        <w:t>指事业单位在专业业务活动及其辅助活动之外开展非独立核算经营活动发生的支出。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十六、对附属单位补助支出：</w:t>
      </w:r>
      <w:r>
        <w:rPr>
          <w:rFonts w:hint="eastAsia" w:cs="黑体" w:asciiTheme="minorEastAsia" w:hAnsiTheme="minorEastAsia" w:eastAsiaTheme="minorEastAsia"/>
          <w:color w:val="000000"/>
          <w:kern w:val="0"/>
          <w:sz w:val="32"/>
          <w:szCs w:val="32"/>
          <w:lang w:val="en-US" w:eastAsia="zh-CN" w:bidi="ar-SA"/>
        </w:rPr>
        <w:t>指事业单位用财政补助收入之外的收入对附属单位补助发生的支出。</w:t>
      </w:r>
    </w:p>
    <w:p>
      <w:pPr>
        <w:pStyle w:val="8"/>
        <w:widowControl/>
        <w:spacing w:before="105" w:beforeAutospacing="0" w:after="105" w:afterAutospacing="0" w:line="30" w:lineRule="atLeast"/>
        <w:ind w:left="0" w:right="0" w:firstLine="420"/>
        <w:textAlignment w:val="baseline"/>
        <w:rPr>
          <w:rFonts w:hint="eastAsia" w:cs="黑体" w:asciiTheme="minorEastAsia" w:hAnsiTheme="minorEastAsia" w:eastAsiaTheme="minorEastAsia"/>
          <w:color w:val="000000"/>
          <w:kern w:val="0"/>
          <w:sz w:val="32"/>
          <w:szCs w:val="32"/>
          <w:lang w:val="en-US" w:eastAsia="zh-CN" w:bidi="ar-SA"/>
        </w:rPr>
      </w:pPr>
      <w:r>
        <w:rPr>
          <w:rFonts w:hint="eastAsia" w:ascii="仿宋" w:hAnsi="仿宋" w:eastAsia="仿宋" w:cs="仿宋"/>
          <w:b/>
          <w:bCs w:val="0"/>
          <w:color w:val="000000"/>
          <w:sz w:val="32"/>
          <w:szCs w:val="32"/>
          <w:vertAlign w:val="baseline"/>
          <w:lang w:eastAsia="zh-CN"/>
        </w:rPr>
        <w:t>十七、“三公”经费：</w:t>
      </w:r>
      <w:r>
        <w:rPr>
          <w:rFonts w:hint="eastAsia" w:cs="黑体" w:asciiTheme="minorEastAsia" w:hAnsiTheme="minorEastAsia" w:eastAsiaTheme="minorEastAsia"/>
          <w:color w:val="000000"/>
          <w:kern w:val="0"/>
          <w:sz w:val="32"/>
          <w:szCs w:val="32"/>
          <w:lang w:val="en-US" w:eastAsia="zh-CN" w:bidi="ar-SA"/>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13"/>
        <w:jc w:val="left"/>
        <w:rPr>
          <w:rFonts w:asciiTheme="minorEastAsia" w:hAnsiTheme="minorEastAsia"/>
          <w:sz w:val="32"/>
          <w:szCs w:val="32"/>
        </w:rPr>
      </w:pPr>
      <w:r>
        <w:rPr>
          <w:rFonts w:hint="eastAsia" w:ascii="仿宋" w:hAnsi="仿宋" w:eastAsia="仿宋" w:cs="仿宋"/>
          <w:b/>
          <w:bCs w:val="0"/>
          <w:color w:val="000000"/>
          <w:sz w:val="32"/>
          <w:szCs w:val="32"/>
          <w:vertAlign w:val="baseline"/>
          <w:lang w:eastAsia="zh-CN"/>
        </w:rPr>
        <w:t>十八、机关运行经费：</w:t>
      </w:r>
      <w:r>
        <w:rPr>
          <w:rFonts w:hint="eastAsia" w:cs="黑体" w:asciiTheme="minorEastAsia" w:hAnsiTheme="minorEastAsia" w:eastAsiaTheme="minorEastAsia"/>
          <w:color w:val="000000"/>
          <w:kern w:val="0"/>
          <w:sz w:val="32"/>
          <w:szCs w:val="32"/>
          <w:lang w:val="en-US" w:eastAsia="zh-CN" w:bidi="ar-SA"/>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08E57"/>
    <w:multiLevelType w:val="singleLevel"/>
    <w:tmpl w:val="DBF08E57"/>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EyMGNjZGNkYmIyZGY2MjcyNTg4MzZjMjA4Mjk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D4E79E9"/>
    <w:rsid w:val="362E6A1C"/>
    <w:rsid w:val="3E516EDD"/>
    <w:rsid w:val="502A6145"/>
    <w:rsid w:val="54DE648A"/>
    <w:rsid w:val="7E55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02"/>
      <w:ind w:left="112"/>
    </w:pPr>
    <w:rPr>
      <w:sz w:val="28"/>
      <w:szCs w:val="28"/>
    </w:rPr>
  </w:style>
  <w:style w:type="paragraph" w:styleId="3">
    <w:name w:val="Body Text Indent 2"/>
    <w:basedOn w:val="1"/>
    <w:next w:val="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4">
    <w:name w:val="p0"/>
    <w:next w:val="5"/>
    <w:qFormat/>
    <w:uiPriority w:val="0"/>
    <w:pPr>
      <w:spacing w:line="365" w:lineRule="atLeast"/>
      <w:ind w:left="1"/>
    </w:pPr>
    <w:rPr>
      <w:rFonts w:ascii="Times New Roman" w:hAnsi="Times New Roman" w:eastAsia="宋体" w:cs="Times New Roman"/>
      <w:sz w:val="24"/>
      <w:lang w:val="en-US" w:eastAsia="zh-CN" w:bidi="ar-SA"/>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Char"/>
    <w:basedOn w:val="10"/>
    <w:link w:val="5"/>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9057</Words>
  <Characters>10530</Characters>
  <Lines>69</Lines>
  <Paragraphs>19</Paragraphs>
  <TotalTime>4</TotalTime>
  <ScaleCrop>false</ScaleCrop>
  <LinksUpToDate>false</LinksUpToDate>
  <CharactersWithSpaces>11882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乔</cp:lastModifiedBy>
  <cp:lastPrinted>2022-07-27T12:55:00Z</cp:lastPrinted>
  <dcterms:modified xsi:type="dcterms:W3CDTF">2022-08-24T09:20:09Z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1DBFCC59EB9346EAB6AFB692C79F2B5B</vt:lpwstr>
  </property>
</Properties>
</file>