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70" w:lineRule="exact"/>
        <w:jc w:val="both"/>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2021年度基础设施类财政衔接衔接推进乡村振兴补助资金项目绩效评价指标评分表</w:t>
      </w:r>
    </w:p>
    <w:p>
      <w:pPr>
        <w:spacing w:line="500" w:lineRule="exact"/>
        <w:rPr>
          <w:rFonts w:hint="eastAsia" w:ascii="宋体" w:hAnsi="宋体" w:eastAsia="宋体"/>
          <w:sz w:val="21"/>
          <w:szCs w:val="21"/>
        </w:rPr>
      </w:pPr>
      <w:r>
        <w:rPr>
          <w:rFonts w:hint="eastAsia" w:ascii="宋体" w:hAnsi="宋体" w:eastAsia="宋体"/>
          <w:sz w:val="21"/>
          <w:szCs w:val="21"/>
        </w:rPr>
        <w:t>项目单位（盖章）：洪江</w:t>
      </w:r>
      <w:r>
        <w:rPr>
          <w:rFonts w:hint="eastAsia" w:ascii="宋体" w:hAnsi="宋体" w:eastAsia="宋体"/>
          <w:sz w:val="21"/>
          <w:szCs w:val="21"/>
          <w:lang w:eastAsia="zh-CN"/>
        </w:rPr>
        <w:t>市托口镇人民政府</w:t>
      </w:r>
    </w:p>
    <w:p>
      <w:pPr>
        <w:spacing w:line="50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项目名称：新塘村组级公路硬化</w:t>
      </w:r>
    </w:p>
    <w:tbl>
      <w:tblPr>
        <w:tblW w:w="14679" w:type="dxa"/>
        <w:tblInd w:w="-17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0"/>
        <w:gridCol w:w="940"/>
        <w:gridCol w:w="780"/>
        <w:gridCol w:w="980"/>
        <w:gridCol w:w="1060"/>
        <w:gridCol w:w="6399"/>
        <w:gridCol w:w="860"/>
        <w:gridCol w:w="820"/>
        <w:gridCol w:w="1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blHeader/>
        </w:trPr>
        <w:tc>
          <w:tcPr>
            <w:tcW w:w="88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一级</w:t>
            </w:r>
          </w:p>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指标</w:t>
            </w:r>
          </w:p>
        </w:tc>
        <w:tc>
          <w:tcPr>
            <w:tcW w:w="94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二级指标</w:t>
            </w: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三级指标</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指标分值</w:t>
            </w:r>
          </w:p>
        </w:tc>
        <w:tc>
          <w:tcPr>
            <w:tcW w:w="6399"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评  分  标  准</w:t>
            </w:r>
          </w:p>
        </w:tc>
        <w:tc>
          <w:tcPr>
            <w:tcW w:w="86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自评分</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复评分</w:t>
            </w:r>
          </w:p>
        </w:tc>
        <w:tc>
          <w:tcPr>
            <w:tcW w:w="196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880" w:type="dxa"/>
            <w:vMerge w:val="restart"/>
            <w:tcBorders>
              <w:tl2br w:val="nil"/>
              <w:tr2bl w:val="nil"/>
            </w:tcBorders>
            <w:textDirection w:val="tbRlV"/>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投入（15分）</w:t>
            </w:r>
          </w:p>
        </w:tc>
        <w:tc>
          <w:tcPr>
            <w:tcW w:w="94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项目决策（13分）</w:t>
            </w: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项目立项规范性</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1、项目按照规定的程序申请设立，得2分，否则0分；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6</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2、所提交的文件、材料符合相关要求，并存档得2分，否则0分；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3、项目按要求录入“财政扶贫项目资金管理系统”，得2分，否则0分；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项目重复申报、虚报冒领情况</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项目重复申报或虚报冒领资金的，扣3分。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绩效目标设定情况</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w:t>
            </w:r>
          </w:p>
        </w:tc>
        <w:tc>
          <w:tcPr>
            <w:tcW w:w="6399"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1、专项（项目）设定了具体、明确、可行的绩效目标的得3分；设定了绩效目标，但绩效目标不明确、不具体或不可行的得1分；未设定绩效目标的不得分。</w:t>
            </w:r>
          </w:p>
        </w:tc>
        <w:tc>
          <w:tcPr>
            <w:tcW w:w="860" w:type="dxa"/>
            <w:vMerge w:val="restart"/>
            <w:tcBorders>
              <w:tl2br w:val="nil"/>
              <w:tr2bl w:val="nil"/>
            </w:tcBorders>
            <w:vAlign w:val="center"/>
          </w:tcPr>
          <w:p>
            <w:pPr>
              <w:widowControl/>
              <w:spacing w:line="260" w:lineRule="exact"/>
              <w:jc w:val="center"/>
              <w:rPr>
                <w:rFonts w:hint="eastAsia"/>
                <w:sz w:val="18"/>
                <w:szCs w:val="18"/>
                <w:lang w:val="en-US" w:eastAsia="zh-CN"/>
              </w:rPr>
            </w:pPr>
            <w:r>
              <w:rPr>
                <w:rFonts w:hint="eastAsia"/>
                <w:sz w:val="18"/>
                <w:szCs w:val="18"/>
                <w:lang w:val="en-US" w:eastAsia="zh-CN"/>
              </w:rPr>
              <w:t>3</w:t>
            </w:r>
          </w:p>
          <w:p>
            <w:pPr>
              <w:pStyle w:val="2"/>
              <w:rPr>
                <w:rFonts w:hint="eastAsia"/>
                <w:lang w:val="en-US" w:eastAsia="zh-CN"/>
              </w:rPr>
            </w:pP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2、绩效目标按要求录入“财政扶贫项目资金管理系统”，得1分，否则0分；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资金落实（2分）</w:t>
            </w: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自筹资金到位率</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1、自筹资金到位率100%，得2分； 2、75％≤A≤100％，得1分；3、50％＜A≤75％，得0分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880" w:type="dxa"/>
            <w:vMerge w:val="restart"/>
            <w:tcBorders>
              <w:tl2br w:val="nil"/>
              <w:tr2bl w:val="nil"/>
            </w:tcBorders>
            <w:textDirection w:val="tbRlV"/>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过程（30分）</w:t>
            </w:r>
          </w:p>
        </w:tc>
        <w:tc>
          <w:tcPr>
            <w:tcW w:w="94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项目建设管理（16分）</w:t>
            </w:r>
          </w:p>
        </w:tc>
        <w:tc>
          <w:tcPr>
            <w:tcW w:w="7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项目建设“四制”执行情况</w:t>
            </w: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项目法人责任制</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1、法人组建及报批是否规范（采取以奖代补方式的，奖补方案是否报批），规范（报批）得1分，未报批得0分。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2、内设机构、专职业务人员数是否满足规定和建设要求，满足或基本满足得1分，不满足得0分。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招投标制</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1、严格执行招标投标各项制度及相关规定的（批复的以奖代补方案），得2分。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2、基本满足招标投标规定（批复的以奖代补方案），但仍存在少量（招投标）不规范行为的，得1分。</w:t>
            </w:r>
          </w:p>
        </w:tc>
        <w:tc>
          <w:tcPr>
            <w:tcW w:w="86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3、招投标（以奖代补程序）不规范，有（评标违纪）、违规和有化整为零、（规避招标）等现象被查实的，得0分。</w:t>
            </w:r>
          </w:p>
        </w:tc>
        <w:tc>
          <w:tcPr>
            <w:tcW w:w="860" w:type="dxa"/>
            <w:vMerge w:val="continue"/>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880" w:type="dxa"/>
            <w:vMerge w:val="restart"/>
            <w:tcBorders>
              <w:tl2br w:val="nil"/>
              <w:tr2bl w:val="nil"/>
            </w:tcBorders>
            <w:textDirection w:val="tbRlV"/>
            <w:vAlign w:val="center"/>
          </w:tcPr>
          <w:p>
            <w:pPr>
              <w:widowControl/>
              <w:spacing w:line="260" w:lineRule="exact"/>
              <w:ind w:left="113" w:right="113"/>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过程（30分）</w:t>
            </w:r>
          </w:p>
        </w:tc>
        <w:tc>
          <w:tcPr>
            <w:tcW w:w="94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项目建设管理（16分）</w:t>
            </w:r>
          </w:p>
        </w:tc>
        <w:tc>
          <w:tcPr>
            <w:tcW w:w="7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项目建设“四制”执行情况</w:t>
            </w:r>
          </w:p>
        </w:tc>
        <w:tc>
          <w:tcPr>
            <w:tcW w:w="98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工程监理制</w:t>
            </w:r>
          </w:p>
        </w:tc>
        <w:tc>
          <w:tcPr>
            <w:tcW w:w="106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1、按规定程序选择有资质的单位承担工程监理（采取以奖代补方式的，严格实行项目公开公示制度）。</w:t>
            </w:r>
          </w:p>
        </w:tc>
        <w:tc>
          <w:tcPr>
            <w:tcW w:w="860" w:type="dxa"/>
            <w:vMerge w:val="restart"/>
            <w:tcBorders>
              <w:tl2br w:val="nil"/>
              <w:tr2bl w:val="nil"/>
            </w:tcBorders>
            <w:vAlign w:val="center"/>
          </w:tcPr>
          <w:p>
            <w:pPr>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880" w:type="dxa"/>
            <w:vMerge w:val="continue"/>
            <w:tcBorders>
              <w:tl2br w:val="nil"/>
              <w:tr2bl w:val="nil"/>
            </w:tcBorders>
            <w:vAlign w:val="center"/>
          </w:tcPr>
          <w:p>
            <w:pPr>
              <w:widowControl/>
              <w:spacing w:line="260" w:lineRule="exact"/>
              <w:ind w:left="113"/>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2、监理人员均持证上岗，数量满足项目和合同要求（采取以奖代补方式的，设立群众监督员）。</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880" w:type="dxa"/>
            <w:vMerge w:val="continue"/>
            <w:tcBorders>
              <w:tl2br w:val="nil"/>
              <w:tr2bl w:val="nil"/>
            </w:tcBorders>
            <w:vAlign w:val="center"/>
          </w:tcPr>
          <w:p>
            <w:pPr>
              <w:widowControl/>
              <w:spacing w:line="260" w:lineRule="exact"/>
              <w:ind w:left="113"/>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3、监理规划和细则编制及监理资料（公开公示资料及群众监督日志）满足规程和建设要求，成效显著。   满足3项得2分,满足其中2项得1分，1项以下得0分。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合同管理制</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1、选择具备相应资质的工程设计、监理、施工等单位，并按照规范签订合同。</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2、工程施工、监理、设计无转包、违法分包等情形。</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3、各参建单位认真执行投标承诺，投入人员、设备和力量，满足施工需要。</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xml:space="preserve">   第1、第2项有一项不满足，或均不满足的，得0分；第1、第2项均满足，但不满足第3项的，得1分；三项均满足的得2分。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质量管理</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1、项目单位质量管理制度和保证体系健全（采取以奖代补方式的，相关制度健全），得1分。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4</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2、经检查、抽检和检测：工程工程实体质量好的，得3分；实体质量较好，但仍少量存在缺陷、且及时整改处理的，得2分。实体质量一般，存在质量缺陷未能及时处理的，得1分。实体质量较差，得0分。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xml:space="preserve"> 3、项目若出现重大质量事故，不论满足几项，均得0分。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工程进度</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1、资金下达到项目后，建设任务能按要求及时完成的，得2分。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2、在同批次项目中总体进度一般，开工滞后影响工程总进度的，或因非不可抗拒因素未按进度计划完成阶段目标的，得1分。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3、进度严重滞后，得0分。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方案管理</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1、合理编制项目实施方案，得2分；2、项目实施方案通过主管部门批复，得1分。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10" w:hRule="atLeast"/>
        </w:trPr>
        <w:tc>
          <w:tcPr>
            <w:tcW w:w="880" w:type="dxa"/>
            <w:vMerge w:val="restart"/>
            <w:tcBorders>
              <w:tl2br w:val="nil"/>
              <w:tr2bl w:val="nil"/>
            </w:tcBorders>
            <w:textDirection w:val="tbRlV"/>
            <w:vAlign w:val="center"/>
          </w:tcPr>
          <w:p>
            <w:pPr>
              <w:widowControl/>
              <w:spacing w:line="260" w:lineRule="exact"/>
              <w:ind w:left="113" w:right="113"/>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过程（30分）</w:t>
            </w:r>
          </w:p>
        </w:tc>
        <w:tc>
          <w:tcPr>
            <w:tcW w:w="94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项目资金管理（14分）</w:t>
            </w: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资金进度</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评价项目单位实际使用财政乡村振兴资金情况与资金指标下达数进行对比。计分原则如下：当年末项目单位使用专项资金未达到90%的扣2分。未达到80%的扣3分，未达到70%的扣4分，未达到60%的扣5分，未达到50%的扣6分；次年4月30日未达70%的扣6分，未达80%的扣5分，未达90%的扣4分。两项合计最多扣6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6</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7"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绩效自评</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1、按要求及时开展绩效目标监控并录入“洪江市财政乡村振兴项目资金管理系统”，得1分；2、项目单位按要求及时完成绩效自评工作并录入“洪江市财政扶贫项目资金管理系统”，得1分；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工程款支付及时性</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1、项目单位按照合同约定支付工程款，无拖欠工程款现象，得2分。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1</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2、未按合同规定的程序、计量支付、时间等支付工程款，出现1次扣0.5分，扣完为止。</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资金挤占挪用情况</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挤占挪用专项资金的扣5分。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restart"/>
            <w:tcBorders>
              <w:tl2br w:val="nil"/>
              <w:tr2bl w:val="nil"/>
            </w:tcBorders>
            <w:textDirection w:val="tbRlV"/>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产出（25分）</w:t>
            </w:r>
          </w:p>
        </w:tc>
        <w:tc>
          <w:tcPr>
            <w:tcW w:w="94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项目产出（25分）</w:t>
            </w:r>
          </w:p>
        </w:tc>
        <w:tc>
          <w:tcPr>
            <w:tcW w:w="7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项目完成情况</w:t>
            </w: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项目完成率指标</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1、项目未完成率达到30%以上的扣5分。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2、未完成率达到20%—30%（含）的扣3分。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3、未完成率达到10%—20%（含）的扣2分。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4、未完成率10%（含）以下的扣1分。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项目投资完成情况</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5</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A=（项目完成总投资-批准概算总投资）/批准概算总投资×100％</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5</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1、-5％≤A≤5％                    得5分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2、5％＜A≤10％或-10％≤A＜-5％    得4分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3、10％＜A≤20％或-20％≤A＜-10％  得3分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4、A＞20％   A＜-20％            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restart"/>
            <w:tcBorders>
              <w:tl2br w:val="nil"/>
              <w:tr2bl w:val="nil"/>
            </w:tcBorders>
            <w:textDirection w:val="tbRlV"/>
            <w:vAlign w:val="center"/>
          </w:tcPr>
          <w:p>
            <w:pPr>
              <w:widowControl/>
              <w:spacing w:line="260" w:lineRule="exact"/>
              <w:ind w:left="113" w:right="113"/>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产出（25分）</w:t>
            </w:r>
          </w:p>
        </w:tc>
        <w:tc>
          <w:tcPr>
            <w:tcW w:w="940" w:type="dxa"/>
            <w:vMerge w:val="restart"/>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项目产出（25分）</w:t>
            </w:r>
          </w:p>
        </w:tc>
        <w:tc>
          <w:tcPr>
            <w:tcW w:w="1760" w:type="dxa"/>
            <w:gridSpan w:val="2"/>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质量达标率</w:t>
            </w:r>
          </w:p>
        </w:tc>
        <w:tc>
          <w:tcPr>
            <w:tcW w:w="106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8</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质量达标率＝（质量达标产出数/实际产出数）/100%。</w:t>
            </w:r>
          </w:p>
        </w:tc>
        <w:tc>
          <w:tcPr>
            <w:tcW w:w="860" w:type="dxa"/>
            <w:vMerge w:val="restart"/>
            <w:tcBorders>
              <w:tl2br w:val="nil"/>
              <w:tr2bl w:val="nil"/>
            </w:tcBorders>
            <w:vAlign w:val="center"/>
          </w:tcPr>
          <w:p>
            <w:pPr>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8</w:t>
            </w:r>
          </w:p>
        </w:tc>
        <w:tc>
          <w:tcPr>
            <w:tcW w:w="82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ind w:left="113"/>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质量为优：8分，良：5分，合格：3分，不合格：0分</w:t>
            </w:r>
          </w:p>
        </w:tc>
        <w:tc>
          <w:tcPr>
            <w:tcW w:w="86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成本节约率</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7</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成本节约率＝(计划成本-实际成本) /计划成本×100%。 1、-5％≤A≤5％    得8分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7</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2、5％＜A≤10％或-10％≤A＜-5％    得5分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3、10％＜A≤20％或-20％≤A＜-10％  得3分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4、A＞20％   A＜-20％            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880" w:type="dxa"/>
            <w:vMerge w:val="restart"/>
            <w:tcBorders>
              <w:tl2br w:val="nil"/>
              <w:tr2bl w:val="nil"/>
            </w:tcBorders>
            <w:textDirection w:val="tbRlV"/>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效果（30分）</w:t>
            </w:r>
          </w:p>
        </w:tc>
        <w:tc>
          <w:tcPr>
            <w:tcW w:w="94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项目效益（30分）</w:t>
            </w: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经济效益</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6</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工程项目实施产生的直接或间接经济效益是否达到预期：</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6</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1、工程项目实施产生的直接或间接经济效益显著，实现预期目标，得6分。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2、有明显的工程直接或间接经济效益，基本实现预期目标，得4分。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3、直接或间接经济效益不明显，得2分。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4、无直接或间接经济效益，得0分。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社会效益</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8</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xml:space="preserve">   项目实施后，社会效益是否达到预期：</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6</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1、社会效益显著，群众满意度高，实现规划目标，得4分；有明显的社会效益，基本实现规划目标，得2分；有明显的社会效益，基本实现规划目标，得1分；无社会效益，得0分。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2、受益贫困户人口比重A=项目受益建档立卡贫困户人数/项目受益总人数×100％：1、A&gt;40％，得4分；30％＜A≤40％，得3分；20％＜A≤30％，得2分；10％≤A≤20％，得1分；A&lt;20％，得0分。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restart"/>
            <w:tcBorders>
              <w:tl2br w:val="nil"/>
              <w:tr2bl w:val="nil"/>
            </w:tcBorders>
            <w:textDirection w:val="tbRlV"/>
            <w:vAlign w:val="center"/>
          </w:tcPr>
          <w:p>
            <w:pPr>
              <w:widowControl/>
              <w:spacing w:line="260" w:lineRule="exact"/>
              <w:ind w:left="113" w:right="113"/>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效果（30分）</w:t>
            </w:r>
          </w:p>
        </w:tc>
        <w:tc>
          <w:tcPr>
            <w:tcW w:w="940" w:type="dxa"/>
            <w:vMerge w:val="restart"/>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项目效益（30分）</w:t>
            </w:r>
          </w:p>
        </w:tc>
        <w:tc>
          <w:tcPr>
            <w:tcW w:w="1760" w:type="dxa"/>
            <w:gridSpan w:val="2"/>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生态效益</w:t>
            </w:r>
          </w:p>
        </w:tc>
        <w:tc>
          <w:tcPr>
            <w:tcW w:w="1060" w:type="dxa"/>
            <w:vMerge w:val="restart"/>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xml:space="preserve">   工程生态效益是否达到预期：</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20" w:type="dxa"/>
            <w:vMerge w:val="restart"/>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spacing w:line="260" w:lineRule="exact"/>
              <w:jc w:val="center"/>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1、工程生态效益显著，实现规划目标，得4分。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2、有明显的生态效益，基本实现规划目标，得3分。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3、生态效益不明显，得2分。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4、无生态效益，得0分。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可持续影响</w:t>
            </w: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档案资料管理</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1、工程建设档案资料完整，得2分；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2、基本完整得1分；否则，得0分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竣工验收</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1、单位工程、主体工程完工后及时验收。</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2</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2、建设项目竣工后，办理了竣工验收手续。   满足1项得1分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建后管护</w:t>
            </w:r>
          </w:p>
        </w:tc>
        <w:tc>
          <w:tcPr>
            <w:tcW w:w="106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1、办理交接手续，明确管理主体，建立长效管护机制，做好建后管护准备工作，视情得1~4分。</w:t>
            </w:r>
          </w:p>
        </w:tc>
        <w:tc>
          <w:tcPr>
            <w:tcW w:w="860" w:type="dxa"/>
            <w:vMerge w:val="restart"/>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3</w:t>
            </w:r>
          </w:p>
        </w:tc>
        <w:tc>
          <w:tcPr>
            <w:tcW w:w="820" w:type="dxa"/>
            <w:vMerge w:val="restart"/>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vMerge w:val="restart"/>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7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0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6399"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2、未办理交接手续、明确管理主体、建立长效管护机制、建后管护准备工作，得0分。</w:t>
            </w:r>
          </w:p>
        </w:tc>
        <w:tc>
          <w:tcPr>
            <w:tcW w:w="8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82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96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88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940" w:type="dxa"/>
            <w:vMerge w:val="continue"/>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p>
        </w:tc>
        <w:tc>
          <w:tcPr>
            <w:tcW w:w="1760" w:type="dxa"/>
            <w:gridSpan w:val="2"/>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服务对象满意度</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4</w:t>
            </w:r>
          </w:p>
        </w:tc>
        <w:tc>
          <w:tcPr>
            <w:tcW w:w="6399"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根据实地访谈结果评分，满意：4分；一般：2分；不满意：0分。</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color w:val="000000"/>
                <w:kern w:val="0"/>
                <w:sz w:val="18"/>
                <w:szCs w:val="18"/>
                <w:lang w:val="en-US" w:eastAsia="zh-CN"/>
              </w:rPr>
            </w:pPr>
            <w:r>
              <w:rPr>
                <w:rFonts w:hint="eastAsia" w:ascii="方正书宋_GBK" w:hAnsi="方正书宋_GBK" w:eastAsia="方正书宋_GBK" w:cs="方正书宋_GBK"/>
                <w:color w:val="000000"/>
                <w:kern w:val="0"/>
                <w:sz w:val="18"/>
                <w:szCs w:val="18"/>
                <w:lang w:val="en-US" w:eastAsia="zh-CN"/>
              </w:rPr>
              <w:t>4</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p>
        </w:tc>
        <w:tc>
          <w:tcPr>
            <w:tcW w:w="1960" w:type="dxa"/>
            <w:tcBorders>
              <w:tl2br w:val="nil"/>
              <w:tr2bl w:val="nil"/>
            </w:tcBorders>
            <w:vAlign w:val="center"/>
          </w:tcPr>
          <w:p>
            <w:pPr>
              <w:widowControl/>
              <w:spacing w:line="260" w:lineRule="exac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3580" w:type="dxa"/>
            <w:gridSpan w:val="4"/>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总分</w:t>
            </w:r>
          </w:p>
        </w:tc>
        <w:tc>
          <w:tcPr>
            <w:tcW w:w="106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100</w:t>
            </w:r>
          </w:p>
        </w:tc>
        <w:tc>
          <w:tcPr>
            <w:tcW w:w="6399" w:type="dxa"/>
            <w:tcBorders>
              <w:tl2br w:val="nil"/>
              <w:tr2bl w:val="nil"/>
            </w:tcBorders>
            <w:vAlign w:val="center"/>
          </w:tcPr>
          <w:p>
            <w:pPr>
              <w:widowControl/>
              <w:spacing w:line="260" w:lineRule="exact"/>
              <w:rPr>
                <w:rFonts w:ascii="方正书宋_GBK" w:hAnsi="方正书宋_GBK" w:eastAsia="方正书宋_GBK" w:cs="方正书宋_GBK"/>
                <w:b/>
                <w:bCs/>
                <w:color w:val="000000"/>
                <w:kern w:val="0"/>
                <w:sz w:val="18"/>
                <w:szCs w:val="18"/>
              </w:rPr>
            </w:pPr>
            <w:r>
              <w:rPr>
                <w:rFonts w:hint="eastAsia" w:ascii="方正书宋_GBK" w:hAnsi="方正书宋_GBK" w:eastAsia="方正书宋_GBK" w:cs="方正书宋_GBK"/>
                <w:b/>
                <w:bCs/>
                <w:color w:val="000000"/>
                <w:kern w:val="0"/>
                <w:sz w:val="18"/>
                <w:szCs w:val="18"/>
              </w:rPr>
              <w:t>　</w:t>
            </w:r>
          </w:p>
        </w:tc>
        <w:tc>
          <w:tcPr>
            <w:tcW w:w="860" w:type="dxa"/>
            <w:tcBorders>
              <w:tl2br w:val="nil"/>
              <w:tr2bl w:val="nil"/>
            </w:tcBorders>
            <w:vAlign w:val="center"/>
          </w:tcPr>
          <w:p>
            <w:pPr>
              <w:widowControl/>
              <w:spacing w:line="260" w:lineRule="exact"/>
              <w:jc w:val="center"/>
              <w:rPr>
                <w:rFonts w:hint="eastAsia" w:ascii="方正书宋_GBK" w:hAnsi="方正书宋_GBK" w:eastAsia="方正书宋_GBK" w:cs="方正书宋_GBK"/>
                <w:b/>
                <w:bCs/>
                <w:color w:val="000000"/>
                <w:kern w:val="0"/>
                <w:sz w:val="18"/>
                <w:szCs w:val="18"/>
                <w:lang w:val="en-US" w:eastAsia="zh-CN"/>
              </w:rPr>
            </w:pPr>
            <w:r>
              <w:rPr>
                <w:rFonts w:hint="eastAsia" w:ascii="方正书宋_GBK" w:hAnsi="方正书宋_GBK" w:eastAsia="方正书宋_GBK" w:cs="方正书宋_GBK"/>
                <w:b/>
                <w:bCs/>
                <w:color w:val="000000"/>
                <w:kern w:val="0"/>
                <w:sz w:val="18"/>
                <w:szCs w:val="18"/>
                <w:lang w:val="en-US" w:eastAsia="zh-CN"/>
              </w:rPr>
              <w:t>95</w:t>
            </w:r>
          </w:p>
        </w:tc>
        <w:tc>
          <w:tcPr>
            <w:tcW w:w="820" w:type="dxa"/>
            <w:tcBorders>
              <w:tl2br w:val="nil"/>
              <w:tr2bl w:val="nil"/>
            </w:tcBorders>
            <w:vAlign w:val="center"/>
          </w:tcPr>
          <w:p>
            <w:pPr>
              <w:widowControl/>
              <w:spacing w:line="260" w:lineRule="exact"/>
              <w:jc w:val="center"/>
              <w:rPr>
                <w:rFonts w:ascii="方正书宋_GBK" w:hAnsi="方正书宋_GBK" w:eastAsia="方正书宋_GBK" w:cs="方正书宋_GBK"/>
                <w:b/>
                <w:bCs/>
                <w:color w:val="000000"/>
                <w:kern w:val="0"/>
                <w:sz w:val="18"/>
                <w:szCs w:val="18"/>
              </w:rPr>
            </w:pPr>
          </w:p>
        </w:tc>
        <w:tc>
          <w:tcPr>
            <w:tcW w:w="1960" w:type="dxa"/>
            <w:tcBorders>
              <w:tl2br w:val="nil"/>
              <w:tr2bl w:val="nil"/>
            </w:tcBorders>
            <w:vAlign w:val="center"/>
          </w:tcPr>
          <w:p>
            <w:pPr>
              <w:widowControl/>
              <w:spacing w:line="260" w:lineRule="exact"/>
              <w:jc w:val="left"/>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2600" w:type="dxa"/>
            <w:gridSpan w:val="3"/>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等级评价</w:t>
            </w:r>
          </w:p>
        </w:tc>
        <w:tc>
          <w:tcPr>
            <w:tcW w:w="12079" w:type="dxa"/>
            <w:gridSpan w:val="6"/>
            <w:tcBorders>
              <w:tl2br w:val="nil"/>
              <w:tr2bl w:val="nil"/>
            </w:tcBorders>
            <w:vAlign w:val="center"/>
          </w:tcPr>
          <w:p>
            <w:pPr>
              <w:widowControl/>
              <w:spacing w:line="260" w:lineRule="exact"/>
              <w:jc w:val="center"/>
              <w:rPr>
                <w:rFonts w:ascii="方正书宋_GBK" w:hAnsi="方正书宋_GBK" w:eastAsia="方正书宋_GBK" w:cs="方正书宋_GBK"/>
                <w:color w:val="000000"/>
                <w:kern w:val="0"/>
                <w:sz w:val="18"/>
                <w:szCs w:val="18"/>
              </w:rPr>
            </w:pPr>
            <w:r>
              <w:rPr>
                <w:rFonts w:hint="eastAsia" w:ascii="方正书宋_GBK" w:hAnsi="方正书宋_GBK" w:eastAsia="方正书宋_GBK" w:cs="方正书宋_GBK"/>
                <w:color w:val="000000"/>
                <w:kern w:val="0"/>
                <w:sz w:val="18"/>
                <w:szCs w:val="18"/>
              </w:rPr>
              <w:t>　优</w:t>
            </w:r>
          </w:p>
        </w:tc>
      </w:tr>
    </w:tbl>
    <w:p>
      <w:pPr>
        <w:spacing w:line="400" w:lineRule="exact"/>
        <w:rPr>
          <w:rFonts w:ascii="宋体" w:hAnsi="宋体" w:eastAsia="宋体"/>
          <w:sz w:val="21"/>
          <w:szCs w:val="21"/>
        </w:rPr>
      </w:pPr>
    </w:p>
    <w:p>
      <w:pPr>
        <w:pStyle w:val="2"/>
      </w:pPr>
    </w:p>
    <w:sectPr>
      <w:pgSz w:w="16838" w:h="11906" w:orient="landscape"/>
      <w:pgMar w:top="1800" w:right="1440" w:bottom="1800" w:left="1440" w:header="708" w:footer="708"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方正仿宋_GBK">
    <w:altName w:val="Arial Unicode MS"/>
    <w:panose1 w:val="02000000000000000000"/>
    <w:charset w:val="86"/>
    <w:family w:val="auto"/>
    <w:pitch w:val="default"/>
    <w:sig w:usb0="00000001" w:usb1="08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auto"/>
    <w:pitch w:val="default"/>
    <w:sig w:usb0="00000000" w:usb1="00000000" w:usb2="00000000" w:usb3="00000000" w:csb0="00040000" w:csb1="00000000"/>
  </w:font>
  <w:font w:name="方正书宋_GBK">
    <w:altName w:val="宋体"/>
    <w:panose1 w:val="02000000000000000000"/>
    <w:charset w:val="86"/>
    <w:family w:val="auto"/>
    <w:pitch w:val="default"/>
    <w:sig w:usb0="00000001" w:usb1="08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0"/>
  <w:bordersDoNotSurroundFooter w:val="0"/>
  <w:documentProtection w:enforcement="0"/>
  <w:defaultTabStop w:val="720"/>
  <w:drawingGridHorizontalSpacing w:val="0"/>
  <w:displayHorizontalDrawingGridEvery w:val="1"/>
  <w:displayVerticalDrawingGridEvery w:val="1"/>
  <w:noPunctuationKerning w:val="1"/>
  <w:characterSpacingControl w:val="doNotCompress"/>
  <w:compat>
    <w:spaceForUL/>
    <w:doNotLeaveBackslashAlone/>
    <w:ulTrailSpac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zhiNzVmODU1ZGZhMzdiOTNhYmI5MmVmZTBiYTQ1MD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next w:val="2"/>
    <w:qFormat/>
    <w:uiPriority w:val="0"/>
    <w:pPr>
      <w:widowControl w:val="0"/>
      <w:spacing w:after="0" w:line="240" w:lineRule="auto"/>
      <w:jc w:val="both"/>
    </w:pPr>
    <w:rPr>
      <w:rFonts w:ascii="Times New Roman" w:hAnsi="Times New Roman" w:eastAsia="方正仿宋_GBK" w:cs="Times New Roman"/>
      <w:kern w:val="2"/>
      <w:sz w:val="32"/>
      <w:szCs w:val="32"/>
      <w:lang w:val="en-US" w:eastAsia="zh-CN" w:bidi="ar-SA"/>
    </w:rPr>
  </w:style>
  <w:style w:type="character" w:default="1" w:styleId="5">
    <w:name w:val="Default Paragraph Font"/>
    <w:semiHidden/>
    <w:unhideWhenUsed/>
    <w:qFormat/>
    <w:uiPriority w:val="1"/>
  </w:style>
  <w:style w:type="paragraph" w:styleId="2">
    <w:name w:val="toc 1"/>
    <w:basedOn w:val="1"/>
    <w:next w:val="1"/>
    <w:semiHidden/>
    <w:unhideWhenUsed/>
    <w:qFormat/>
    <w:uiPriority w:val="39"/>
  </w:style>
  <w:style w:type="paragraph" w:styleId="3">
    <w:name w:val="footer"/>
    <w:basedOn w:val="1"/>
    <w:link w:val="7"/>
    <w:semiHidden/>
    <w:unhideWhenUsed/>
    <w:qFormat/>
    <w:uiPriority w:val="99"/>
    <w:pPr>
      <w:widowControl/>
      <w:tabs>
        <w:tab w:val="center" w:pos="4153"/>
        <w:tab w:val="right" w:pos="8306"/>
      </w:tabs>
      <w:adjustRightInd w:val="0"/>
      <w:snapToGrid w:val="0"/>
      <w:spacing w:after="200"/>
      <w:jc w:val="left"/>
    </w:pPr>
    <w:rPr>
      <w:rFonts w:ascii="Tahoma" w:hAnsi="Tahoma" w:eastAsia="微软雅黑" w:cs="黑体"/>
      <w:kern w:val="0"/>
      <w:sz w:val="18"/>
      <w:szCs w:val="18"/>
    </w:rPr>
  </w:style>
  <w:style w:type="paragraph" w:styleId="4">
    <w:name w:val="header"/>
    <w:basedOn w:val="1"/>
    <w:link w:val="6"/>
    <w:semiHidden/>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黑体"/>
      <w:kern w:val="0"/>
      <w:sz w:val="18"/>
      <w:szCs w:val="18"/>
    </w:rPr>
  </w:style>
  <w:style w:type="character" w:customStyle="1" w:styleId="6">
    <w:name w:val="页眉 Char"/>
    <w:basedOn w:val="5"/>
    <w:link w:val="4"/>
    <w:semiHidden/>
    <w:qFormat/>
    <w:uiPriority w:val="99"/>
    <w:rPr>
      <w:rFonts w:ascii="Tahoma" w:hAnsi="Tahoma"/>
      <w:sz w:val="18"/>
      <w:szCs w:val="18"/>
    </w:rPr>
  </w:style>
  <w:style w:type="character" w:customStyle="1" w:styleId="7">
    <w:name w:val="页脚 Char"/>
    <w:basedOn w:val="5"/>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2861</Words>
  <Characters>2977</Characters>
  <Lines>45</Lines>
  <Paragraphs>12</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2022-06-14T04:13:12Z</cp:lastPrinted>
  <dcterms:modified xsi:type="dcterms:W3CDTF">2022-06-14T04:18:33Z</dcterms:modified>
  <dc:title>2021年度基础设施类财政衔接衔接推进乡村振兴补助资金项目绩效评价指标评分表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13EAA0A71FC748A982347C5356C179D7</vt:lpwstr>
  </property>
</Properties>
</file>