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9DC6">
      <w:pPr>
        <w:pStyle w:val="2"/>
        <w:spacing w:line="600" w:lineRule="exact"/>
        <w:ind w:firstLine="0" w:firstLineChars="0"/>
        <w:rPr>
          <w:rFonts w:ascii="Calibri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44A4F05">
      <w:pPr>
        <w:autoSpaceDE/>
        <w:autoSpaceDN/>
        <w:adjustRightInd/>
        <w:spacing w:line="520" w:lineRule="exact"/>
        <w:jc w:val="center"/>
        <w:rPr>
          <w:rFonts w:ascii="Calibri" w:hAnsi="黑体" w:eastAsia="黑体" w:cs="黑体"/>
          <w:sz w:val="36"/>
          <w:szCs w:val="36"/>
        </w:rPr>
      </w:pPr>
    </w:p>
    <w:p w14:paraId="2A71762A">
      <w:pPr>
        <w:autoSpaceDE/>
        <w:autoSpaceDN/>
        <w:adjustRightInd/>
        <w:spacing w:line="52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Calibri" w:hAnsi="黑体" w:eastAsia="黑体" w:cs="黑体"/>
          <w:sz w:val="36"/>
          <w:szCs w:val="36"/>
        </w:rPr>
        <w:t>洪江市</w:t>
      </w:r>
      <w:r>
        <w:rPr>
          <w:rFonts w:hint="eastAsia" w:ascii="Calibri" w:hAnsi="黑体" w:eastAsia="黑体" w:cs="黑体"/>
          <w:sz w:val="36"/>
          <w:szCs w:val="36"/>
          <w:lang w:eastAsia="zh-CN"/>
        </w:rPr>
        <w:t>江市镇人民政府</w:t>
      </w:r>
      <w:r>
        <w:rPr>
          <w:rFonts w:hint="eastAsia" w:ascii="Calibri" w:hAnsi="黑体" w:eastAsia="黑体" w:cs="黑体"/>
          <w:sz w:val="36"/>
          <w:szCs w:val="36"/>
        </w:rPr>
        <w:t>202</w:t>
      </w:r>
      <w:r>
        <w:rPr>
          <w:rFonts w:hint="eastAsia" w:ascii="Calibri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Calibri" w:hAnsi="黑体" w:eastAsia="黑体" w:cs="黑体"/>
          <w:sz w:val="36"/>
          <w:szCs w:val="36"/>
        </w:rPr>
        <w:t>年部门预算编制说明</w:t>
      </w:r>
    </w:p>
    <w:p w14:paraId="38A83377">
      <w:pPr>
        <w:autoSpaceDE/>
        <w:autoSpaceDN/>
        <w:adjustRightInd/>
        <w:spacing w:line="520" w:lineRule="exact"/>
        <w:jc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目录</w:t>
      </w:r>
    </w:p>
    <w:p w14:paraId="468C0CB6">
      <w:pPr>
        <w:autoSpaceDE/>
        <w:autoSpaceDN/>
        <w:adjustRightInd/>
        <w:spacing w:line="520" w:lineRule="exact"/>
        <w:ind w:firstLine="627" w:firstLineChars="196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第一部分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年部门预算</w:t>
      </w:r>
      <w:r>
        <w:rPr>
          <w:rFonts w:hint="eastAsia" w:eastAsia="仿宋_GB2312" w:cs="Times New Roman"/>
          <w:bCs/>
          <w:sz w:val="32"/>
          <w:szCs w:val="32"/>
        </w:rPr>
        <w:t>编制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说明</w:t>
      </w:r>
    </w:p>
    <w:p w14:paraId="7166A5E6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一、部门基本</w:t>
      </w:r>
      <w:r>
        <w:rPr>
          <w:rFonts w:hint="eastAsia" w:eastAsia="仿宋_GB2312" w:cs="Times New Roman"/>
          <w:bCs/>
          <w:sz w:val="32"/>
          <w:szCs w:val="32"/>
        </w:rPr>
        <w:t>情况</w:t>
      </w:r>
    </w:p>
    <w:p w14:paraId="0709840C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</w:t>
      </w:r>
      <w:r>
        <w:rPr>
          <w:rFonts w:hint="eastAsia" w:eastAsia="仿宋_GB2312" w:cs="Times New Roman"/>
          <w:bCs/>
          <w:sz w:val="32"/>
          <w:szCs w:val="32"/>
        </w:rPr>
        <w:t>单位职能职责</w:t>
      </w:r>
    </w:p>
    <w:p w14:paraId="69B7AEDD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（二）机构设置</w:t>
      </w:r>
    </w:p>
    <w:p w14:paraId="68A83B80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二、部门预算单位构成</w:t>
      </w:r>
    </w:p>
    <w:p w14:paraId="24F8BFC8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三、部门收支总体情况</w:t>
      </w:r>
    </w:p>
    <w:p w14:paraId="15E61C3B">
      <w:pPr>
        <w:pStyle w:val="7"/>
        <w:widowControl w:val="0"/>
        <w:shd w:val="clear" w:color="auto" w:fill="FFFFFF"/>
        <w:autoSpaceDE/>
        <w:autoSpaceDN/>
        <w:adjustRightInd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（一）收入预算</w:t>
      </w:r>
    </w:p>
    <w:p w14:paraId="107466A5">
      <w:pPr>
        <w:pStyle w:val="7"/>
        <w:widowControl w:val="0"/>
        <w:shd w:val="clear" w:color="auto" w:fill="FFFFFF"/>
        <w:autoSpaceDE/>
        <w:autoSpaceDN/>
        <w:adjustRightInd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（二）支出预算</w:t>
      </w:r>
    </w:p>
    <w:p w14:paraId="47A2012B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四、一般公共预算拨款支出</w:t>
      </w:r>
      <w:r>
        <w:rPr>
          <w:rFonts w:hint="eastAsia" w:eastAsia="仿宋_GB2312" w:cs="Times New Roman"/>
          <w:bCs/>
          <w:sz w:val="32"/>
          <w:szCs w:val="32"/>
        </w:rPr>
        <w:t>预算</w:t>
      </w:r>
    </w:p>
    <w:p w14:paraId="0A673B7B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（一）基本支出</w:t>
      </w:r>
    </w:p>
    <w:p w14:paraId="290111ED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（二）项目支出</w:t>
      </w:r>
    </w:p>
    <w:p w14:paraId="73112B01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五、政府性基金支出</w:t>
      </w:r>
    </w:p>
    <w:p w14:paraId="5E39A3F4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六、其他重要事项的情况说明</w:t>
      </w:r>
    </w:p>
    <w:p w14:paraId="29C4FBBF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（一）机关运行经费</w:t>
      </w:r>
    </w:p>
    <w:p w14:paraId="6CF81960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（二）“三公”经费</w:t>
      </w:r>
      <w:r>
        <w:rPr>
          <w:rFonts w:hint="eastAsia" w:eastAsia="仿宋_GB2312" w:cs="Times New Roman"/>
          <w:bCs/>
          <w:sz w:val="32"/>
          <w:szCs w:val="32"/>
        </w:rPr>
        <w:t>预算</w:t>
      </w:r>
    </w:p>
    <w:p w14:paraId="2C8C1715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eastAsia="仿宋_GB2312" w:cs="Times New Roman"/>
          <w:bCs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一般性支出情况</w:t>
      </w:r>
    </w:p>
    <w:p w14:paraId="38D7A2BB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eastAsia="仿宋_GB2312" w:cs="Times New Roman"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）政府采购情况</w:t>
      </w:r>
    </w:p>
    <w:p w14:paraId="073F9EF8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（五）国有资产占用使用情况</w:t>
      </w:r>
      <w:r>
        <w:rPr>
          <w:rFonts w:hint="eastAsia" w:eastAsia="仿宋_GB2312" w:cs="Times New Roman"/>
          <w:bCs/>
          <w:sz w:val="32"/>
          <w:szCs w:val="32"/>
        </w:rPr>
        <w:t>说明</w:t>
      </w:r>
    </w:p>
    <w:p w14:paraId="746BF0CE">
      <w:pPr>
        <w:autoSpaceDE/>
        <w:autoSpaceDN/>
        <w:adjustRightInd/>
        <w:spacing w:line="520" w:lineRule="exact"/>
        <w:ind w:firstLine="640" w:firstLineChars="200"/>
        <w:rPr>
          <w:rFonts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（六）预算绩效</w:t>
      </w:r>
      <w:r>
        <w:rPr>
          <w:rFonts w:hint="eastAsia" w:eastAsia="仿宋_GB2312" w:cs="Times New Roman"/>
          <w:bCs/>
          <w:sz w:val="32"/>
          <w:szCs w:val="32"/>
        </w:rPr>
        <w:t>目标说明</w:t>
      </w:r>
    </w:p>
    <w:p w14:paraId="04033173">
      <w:pPr>
        <w:autoSpaceDE/>
        <w:autoSpaceDN/>
        <w:adjustRightInd/>
        <w:spacing w:line="52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七、名词解释</w:t>
      </w:r>
    </w:p>
    <w:p w14:paraId="02188769">
      <w:pPr>
        <w:autoSpaceDE/>
        <w:autoSpaceDN/>
        <w:adjustRightInd/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第二部分    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年部门预算公开表</w:t>
      </w:r>
    </w:p>
    <w:p w14:paraId="6B095B84">
      <w:pPr>
        <w:autoSpaceDE/>
        <w:autoSpaceDN/>
        <w:adjustRightInd/>
        <w:spacing w:line="520" w:lineRule="exact"/>
        <w:jc w:val="center"/>
        <w:rPr>
          <w:rFonts w:ascii="Times New Roman" w:hAnsi="Times New Roman" w:eastAsia="经典黑体简" w:cs="Times New Roman"/>
          <w:bCs/>
          <w:sz w:val="44"/>
          <w:szCs w:val="44"/>
        </w:rPr>
      </w:pPr>
    </w:p>
    <w:p w14:paraId="497FA0B8">
      <w:pPr>
        <w:autoSpaceDE/>
        <w:autoSpaceDN/>
        <w:adjustRightInd/>
        <w:spacing w:line="520" w:lineRule="exact"/>
        <w:ind w:firstLine="880" w:firstLineChars="200"/>
        <w:jc w:val="both"/>
        <w:rPr>
          <w:rFonts w:ascii="Times New Roman" w:hAnsi="Times New Roman" w:eastAsia="经典黑体简" w:cs="Times New Roman"/>
          <w:bCs/>
          <w:sz w:val="44"/>
          <w:szCs w:val="44"/>
        </w:rPr>
      </w:pPr>
      <w:r>
        <w:rPr>
          <w:rFonts w:ascii="Times New Roman" w:hAnsi="Times New Roman" w:eastAsia="经典黑体简" w:cs="Times New Roman"/>
          <w:bCs/>
          <w:sz w:val="44"/>
          <w:szCs w:val="44"/>
        </w:rPr>
        <w:t>第一部分</w:t>
      </w:r>
      <w:r>
        <w:rPr>
          <w:rFonts w:hint="eastAsia" w:eastAsia="经典黑体简" w:cs="Times New Roman"/>
          <w:bCs/>
          <w:sz w:val="44"/>
          <w:szCs w:val="44"/>
        </w:rPr>
        <w:t>202</w:t>
      </w:r>
      <w:r>
        <w:rPr>
          <w:rFonts w:hint="eastAsia" w:eastAsia="经典黑体简" w:cs="Times New Roman"/>
          <w:bCs/>
          <w:sz w:val="44"/>
          <w:szCs w:val="44"/>
          <w:lang w:val="en-US" w:eastAsia="zh-CN"/>
        </w:rPr>
        <w:t>4</w:t>
      </w:r>
      <w:r>
        <w:rPr>
          <w:rFonts w:ascii="Times New Roman" w:hAnsi="Times New Roman" w:eastAsia="经典黑体简" w:cs="Times New Roman"/>
          <w:bCs/>
          <w:sz w:val="44"/>
          <w:szCs w:val="44"/>
        </w:rPr>
        <w:t>年部门预算</w:t>
      </w:r>
      <w:r>
        <w:rPr>
          <w:rFonts w:hint="eastAsia" w:eastAsia="经典黑体简" w:cs="Times New Roman"/>
          <w:bCs/>
          <w:sz w:val="44"/>
          <w:szCs w:val="44"/>
        </w:rPr>
        <w:t>编制</w:t>
      </w:r>
      <w:r>
        <w:rPr>
          <w:rFonts w:ascii="Times New Roman" w:hAnsi="Times New Roman" w:eastAsia="经典黑体简" w:cs="Times New Roman"/>
          <w:bCs/>
          <w:sz w:val="44"/>
          <w:szCs w:val="44"/>
        </w:rPr>
        <w:t>说明</w:t>
      </w:r>
    </w:p>
    <w:p w14:paraId="750B2EE3">
      <w:pPr>
        <w:pStyle w:val="2"/>
      </w:pPr>
    </w:p>
    <w:p w14:paraId="43178518">
      <w:pPr>
        <w:spacing w:line="520" w:lineRule="exact"/>
        <w:ind w:firstLine="627" w:firstLineChars="196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一、部门基本情况</w:t>
      </w:r>
    </w:p>
    <w:p w14:paraId="4B1B782A">
      <w:pPr>
        <w:spacing w:line="52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（一）单位职能职责</w:t>
      </w:r>
    </w:p>
    <w:p w14:paraId="25542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市镇人民政府负责制定和组织实施经济、科技和社会发展计划；制定并组织实施村乡建设规划，部署重点工程建设，地方道路建设及公共设施，水利设施的管理，负责土地、林木、水等自然资源和生态环境的保护，做好护林防火工作；负责行政区域内的民政、计划生育、文化教育、卫生、体育等社会公益事业的综合性工作，维护一切经济单位和个人的正当经济权益，取缔非法经济活动，调解和处理民事纠纷，打击刑事犯罪维护社会稳定；抓好精神文明建设，丰富群众文化活动，树立社会主义新风尚。</w:t>
      </w:r>
    </w:p>
    <w:p w14:paraId="426513A9">
      <w:pPr>
        <w:spacing w:line="52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 w14:paraId="1C9F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江市镇人民政府作为部门预算单位，内设机构有：办公室、人口与计划生育服务站、综治维稳站、财政所，农业服务站，社会事业服务站、规划建设国土环保服务站。</w:t>
      </w:r>
    </w:p>
    <w:p w14:paraId="7DEA9F11">
      <w:p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二、部门预算单位构成    </w:t>
      </w:r>
    </w:p>
    <w:p w14:paraId="2556EB0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江市镇人民政府</w:t>
      </w:r>
      <w:r>
        <w:rPr>
          <w:rFonts w:hint="eastAsia" w:ascii="仿宋" w:hAnsi="仿宋" w:eastAsia="仿宋" w:cs="仿宋"/>
          <w:sz w:val="32"/>
          <w:szCs w:val="32"/>
        </w:rPr>
        <w:t>只有本级，没有其他二级预算单位，因此，纳入202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年部门预算编制范围的只有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江市镇人民政府</w:t>
      </w:r>
      <w:r>
        <w:rPr>
          <w:rFonts w:hint="eastAsia" w:ascii="仿宋" w:hAnsi="仿宋" w:eastAsia="仿宋" w:cs="仿宋"/>
          <w:sz w:val="32"/>
          <w:szCs w:val="32"/>
        </w:rPr>
        <w:t>部门本级。</w:t>
      </w:r>
    </w:p>
    <w:p w14:paraId="2A0EEB8A">
      <w:pPr>
        <w:ind w:left="720" w:left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三、部门收支总体情况    </w:t>
      </w:r>
    </w:p>
    <w:p w14:paraId="1F5D2A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部门预算包括一般公共预算拨款收入、支出及专项经费安排情况。收入既包括公共预算财政拨款和政府性基金拨款，又包括上级补助收入等；支出既包括保障机关基本运行的经费，也包括社会保障和就业支出，卫生健康支出，农林水支出，自然资源海洋气象支出，住房保障支出，灾害防治及应急管理支出。</w:t>
      </w:r>
    </w:p>
    <w:p w14:paraId="726A4BE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收入预算：2024年年初预算数933.88万元，其中，一般公共预算拨款933.88万元，政府性基金预算拨款0万元，纳入财政专户管理的非税收入拨款0万元，国有资本经营预算拨款0万元。收入较去年减少287.99万元，主要原因是人员和办公支出经费减少。</w:t>
      </w:r>
    </w:p>
    <w:p w14:paraId="1FBF270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支出预算：2024年年初预算数933.88万元，其中：一般公共服务支出476.43万元，社会保障和就业支出139.14万元，卫生健康支出61.48万元，农林水支出155.14万元，自然资源海洋气象等支出24.98万元，住房保障支出55.51万元，灾害防治及应急管理支出23.18万元。支出较去年预算减少287.99万元，其中基本支出减少56.82万元，项目支出减少131.18万元。支出较去年减少287.99万元，主要原因是人员和办公支出经费减少。</w:t>
      </w:r>
    </w:p>
    <w:p w14:paraId="6800151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四、一般公共预算拨款支出预算    </w:t>
      </w:r>
    </w:p>
    <w:p w14:paraId="4B64D4A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2024年一般公共预算拨款收入为933.88万元，具体安排情况如下：</w:t>
      </w:r>
    </w:p>
    <w:p w14:paraId="575A52D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本支出：2024年年初预算数为774.25万元，是指为保障单位机构正常运转、完成日常工作任务而发生的各项支出，包括用于基本工资、津贴补贴、办公费、印刷费、水电费、办公设备购置费等日常公用经费。</w:t>
      </w:r>
    </w:p>
    <w:p w14:paraId="5A849BC4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支出：2024年年初预算数为159.62万元，是指单位为完成特定行政工作任务或事业发展目标而发生的支出，包括有关事业发展专项、专项业务费、基本建设支出等。其中：按项目管理的工资福利支出95.83万元，主要用于村、社区运转等方面；按项目管理的商品和服务支出54万元，主要用于村、社区运转等方面；按项目管理的对个人和家庭的补助支出5.8万元，主要用于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主干</w:t>
      </w:r>
      <w:r>
        <w:rPr>
          <w:rFonts w:hint="eastAsia" w:ascii="仿宋" w:hAnsi="仿宋" w:eastAsia="仿宋" w:cs="仿宋"/>
          <w:sz w:val="32"/>
          <w:szCs w:val="32"/>
        </w:rPr>
        <w:t>基本养老保险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等方面;其他支出4万元。</w:t>
      </w:r>
    </w:p>
    <w:p w14:paraId="49BB9604">
      <w:p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五、政府性基金预算支出    </w:t>
      </w:r>
    </w:p>
    <w:p w14:paraId="09EBD87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2024年政府性基金支出为0万元，具体安排为0万元，支出0万元。</w:t>
      </w:r>
    </w:p>
    <w:p w14:paraId="76159A70">
      <w:p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六、其他重要事项的情况说明    </w:t>
      </w:r>
    </w:p>
    <w:p w14:paraId="4DB4EBDC">
      <w:p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（一）机关运行经费    </w:t>
      </w:r>
    </w:p>
    <w:p w14:paraId="60BDD59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2024年机关运行经费一般公共预算拨款125.47万元，比去年预算数减少1.36万元，减少1.07%，主要因为人员增加和办公支出减少。</w:t>
      </w:r>
    </w:p>
    <w:p w14:paraId="3A39A2B5">
      <w:p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（二）“三公”经费预算    </w:t>
      </w:r>
    </w:p>
    <w:p w14:paraId="0B7CC5D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江市镇人民政府一般公共预算拨款安排“三公”经费预算数为16.16万元，其中，公务接待费13.97万元，公务用车购置费0万元，公务用车运行费2.19万元，因公出国（境）费0万元。2024年“三公”经费预算较2023年预算数减少0.84万元，减少4.94%，主要因为公务接待和和车运行费降低。</w:t>
      </w:r>
    </w:p>
    <w:p w14:paraId="473EDFE9">
      <w:pPr>
        <w:numPr>
          <w:ilvl w:val="0"/>
          <w:numId w:val="1"/>
        </w:numPr>
        <w:ind w:left="2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一般性支出预算</w:t>
      </w:r>
    </w:p>
    <w:p w14:paraId="4F5E9F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江市镇人民政府一般性支出预算125.47万元，主要用于一般公共预算拨款安排的商品和服务支出中的办公费、印刷费、咨询费、水费、电费、邮电费、取暖费、物业管理费、差旅费、维修(护)费、租赁费、会议费、培训费、公务接待费、被装购置费、劳务费、委托业务费、其他交通费用等。   </w:t>
      </w:r>
    </w:p>
    <w:p w14:paraId="4E9B8685">
      <w:pPr>
        <w:ind w:left="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（四）政府采购情况    </w:t>
      </w:r>
    </w:p>
    <w:p w14:paraId="495602B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2024年江市镇人民政府采购预算总额0万元，其中，政府采购货物预算0万元、政府采购工程预算0万元、政府采购服务预算0万元。</w:t>
      </w:r>
    </w:p>
    <w:p w14:paraId="4954B254">
      <w:pPr>
        <w:spacing w:line="520" w:lineRule="exact"/>
        <w:rPr>
          <w:rFonts w:eastAsia="仿宋_GB2312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（五）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国有资产占用使用情况</w:t>
      </w:r>
      <w:r>
        <w:rPr>
          <w:rFonts w:hint="eastAsia" w:eastAsia="仿宋_GB2312" w:cs="Times New Roman"/>
          <w:bCs/>
          <w:sz w:val="32"/>
          <w:szCs w:val="32"/>
        </w:rPr>
        <w:t>说明:</w:t>
      </w:r>
    </w:p>
    <w:p w14:paraId="7F79878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1、截至2023年12月31日，本部门共有车辆1辆，其中，一般公务用车1辆、一般执法执勤用车0辆、特种专业技术用车0辆、其他用车0辆。单位价值50 万元以上通用设备0台（套），单价100 万元以上专用设备0台（套）。</w:t>
      </w:r>
    </w:p>
    <w:p w14:paraId="290B8E6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2、2024年，本部门拟新增资产具体为：公务用车0辆，价值0万元；单价50万元以上通用设备0台（套）；单价100万元以上的专用设备0台（套）。</w:t>
      </w:r>
    </w:p>
    <w:p w14:paraId="4642C9C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预算绩效目标说明：按照我市预算绩效管理工作的总体要求，2024年我单位整体支出933.88万元，全部实行整体支出绩效目标管理，编报绩效目标的项目6个，涉及项目支出159.62万元，其中2024年村（社区）干部绩效奖励金25.92万元、2024年村级运转经费49万元、2024年社区运转经费5万元、2024乡镇工作补贴69.906万元、2024遗属补助5.796万元、2024非税收入执收成本4万元；全部实行项目支出绩效目标管理。</w:t>
      </w:r>
    </w:p>
    <w:p w14:paraId="43D534F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七、名词解释</w:t>
      </w:r>
    </w:p>
    <w:p w14:paraId="39FEB02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机关（事业）单位运行经费：是指机关（事业）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5D51BB9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 w14:paraId="49E209B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747172">
      <w:pPr>
        <w:pStyle w:val="2"/>
        <w:ind w:firstLine="600"/>
      </w:pPr>
    </w:p>
    <w:p w14:paraId="6BC28A12">
      <w:pPr>
        <w:autoSpaceDE/>
        <w:autoSpaceDN/>
        <w:adjustRightInd/>
        <w:spacing w:line="520" w:lineRule="exact"/>
        <w:ind w:firstLine="88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经典黑体简" w:cs="Times New Roman"/>
          <w:sz w:val="44"/>
          <w:szCs w:val="44"/>
        </w:rPr>
        <w:t>第二部分</w:t>
      </w:r>
      <w:r>
        <w:rPr>
          <w:rFonts w:hint="eastAsia" w:eastAsia="经典黑体简" w:cs="Times New Roman"/>
          <w:sz w:val="44"/>
          <w:szCs w:val="44"/>
        </w:rPr>
        <w:t>202</w:t>
      </w:r>
      <w:r>
        <w:rPr>
          <w:rFonts w:hint="eastAsia" w:eastAsia="经典黑体简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经典黑体简" w:cs="Times New Roman"/>
          <w:sz w:val="44"/>
          <w:szCs w:val="44"/>
        </w:rPr>
        <w:t>年部门预算公开表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黑体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37033"/>
    <w:multiLevelType w:val="singleLevel"/>
    <w:tmpl w:val="5C6370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B"/>
    <w:rsid w:val="00024549"/>
    <w:rsid w:val="00071DC5"/>
    <w:rsid w:val="00090D75"/>
    <w:rsid w:val="000A3261"/>
    <w:rsid w:val="000A483E"/>
    <w:rsid w:val="000E1839"/>
    <w:rsid w:val="000F782D"/>
    <w:rsid w:val="001568E7"/>
    <w:rsid w:val="00216A8F"/>
    <w:rsid w:val="002423B2"/>
    <w:rsid w:val="00246159"/>
    <w:rsid w:val="002515D8"/>
    <w:rsid w:val="00256A72"/>
    <w:rsid w:val="00266E7A"/>
    <w:rsid w:val="00286253"/>
    <w:rsid w:val="002B7811"/>
    <w:rsid w:val="002E390B"/>
    <w:rsid w:val="003142D0"/>
    <w:rsid w:val="00323B43"/>
    <w:rsid w:val="003405EC"/>
    <w:rsid w:val="003D37D8"/>
    <w:rsid w:val="003E2EEB"/>
    <w:rsid w:val="003E7127"/>
    <w:rsid w:val="00404601"/>
    <w:rsid w:val="004358AB"/>
    <w:rsid w:val="00480ADC"/>
    <w:rsid w:val="005430E0"/>
    <w:rsid w:val="00546082"/>
    <w:rsid w:val="005943A1"/>
    <w:rsid w:val="005A3827"/>
    <w:rsid w:val="00614FAC"/>
    <w:rsid w:val="00633D6B"/>
    <w:rsid w:val="00655544"/>
    <w:rsid w:val="006F72F4"/>
    <w:rsid w:val="00796C85"/>
    <w:rsid w:val="00876CB0"/>
    <w:rsid w:val="008B7726"/>
    <w:rsid w:val="00900A2E"/>
    <w:rsid w:val="00902D5E"/>
    <w:rsid w:val="00904F1B"/>
    <w:rsid w:val="009170E6"/>
    <w:rsid w:val="00922D0D"/>
    <w:rsid w:val="00937828"/>
    <w:rsid w:val="0095354E"/>
    <w:rsid w:val="00A20FCB"/>
    <w:rsid w:val="00A635DE"/>
    <w:rsid w:val="00A933E7"/>
    <w:rsid w:val="00AC121B"/>
    <w:rsid w:val="00B647F8"/>
    <w:rsid w:val="00B96B59"/>
    <w:rsid w:val="00C114C3"/>
    <w:rsid w:val="00C251DE"/>
    <w:rsid w:val="00C45809"/>
    <w:rsid w:val="00C83146"/>
    <w:rsid w:val="00C838F9"/>
    <w:rsid w:val="00C93F9B"/>
    <w:rsid w:val="00CA7112"/>
    <w:rsid w:val="00CE1E53"/>
    <w:rsid w:val="00DE49A1"/>
    <w:rsid w:val="00E60BA9"/>
    <w:rsid w:val="00EB5BDF"/>
    <w:rsid w:val="00F329C1"/>
    <w:rsid w:val="00F90487"/>
    <w:rsid w:val="00F91992"/>
    <w:rsid w:val="00F91E9F"/>
    <w:rsid w:val="00FA5603"/>
    <w:rsid w:val="00FF24DC"/>
    <w:rsid w:val="044709D6"/>
    <w:rsid w:val="06D36822"/>
    <w:rsid w:val="085E1E06"/>
    <w:rsid w:val="0DB7653F"/>
    <w:rsid w:val="13685B2E"/>
    <w:rsid w:val="14BF039C"/>
    <w:rsid w:val="152A4D1C"/>
    <w:rsid w:val="23BB3B1D"/>
    <w:rsid w:val="254B4621"/>
    <w:rsid w:val="28D05617"/>
    <w:rsid w:val="311B3FE9"/>
    <w:rsid w:val="35774A21"/>
    <w:rsid w:val="396D59EA"/>
    <w:rsid w:val="3C7923CE"/>
    <w:rsid w:val="3FB73A09"/>
    <w:rsid w:val="4209201A"/>
    <w:rsid w:val="432B675E"/>
    <w:rsid w:val="43C02409"/>
    <w:rsid w:val="47EF1BCE"/>
    <w:rsid w:val="4C433254"/>
    <w:rsid w:val="4CAF39B2"/>
    <w:rsid w:val="4D52663F"/>
    <w:rsid w:val="4F90464F"/>
    <w:rsid w:val="586B33DC"/>
    <w:rsid w:val="59124E98"/>
    <w:rsid w:val="5B8948B1"/>
    <w:rsid w:val="60725FEE"/>
    <w:rsid w:val="635E3A4C"/>
    <w:rsid w:val="65FF3551"/>
    <w:rsid w:val="66FF28E5"/>
    <w:rsid w:val="69F77DBA"/>
    <w:rsid w:val="6C286EF4"/>
    <w:rsid w:val="75451507"/>
    <w:rsid w:val="79011760"/>
    <w:rsid w:val="7BF04A34"/>
    <w:rsid w:val="7F030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adjustRightInd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color w:val="auto"/>
      <w:kern w:val="2"/>
      <w:sz w:val="30"/>
      <w:szCs w:val="30"/>
    </w:rPr>
  </w:style>
  <w:style w:type="paragraph" w:customStyle="1" w:styleId="3">
    <w:name w:val="p0"/>
    <w:next w:val="4"/>
    <w:qFormat/>
    <w:uiPriority w:val="0"/>
    <w:pPr>
      <w:spacing w:line="365" w:lineRule="atLeast"/>
      <w:ind w:left="1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/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6">
    <w:name w:val="footnote text"/>
    <w:basedOn w:val="1"/>
    <w:link w:val="11"/>
    <w:unhideWhenUsed/>
    <w:qFormat/>
    <w:uiPriority w:val="99"/>
    <w:pPr>
      <w:autoSpaceDE/>
      <w:autoSpaceDN/>
      <w:adjustRightInd/>
      <w:snapToGrid w:val="0"/>
    </w:pPr>
    <w:rPr>
      <w:rFonts w:ascii="Calibri" w:hAnsi="Calibri" w:eastAsia="宋体" w:cs="Times New Roman"/>
      <w:color w:val="auto"/>
      <w:kern w:val="2"/>
      <w:sz w:val="18"/>
      <w:szCs w:val="18"/>
    </w:rPr>
  </w:style>
  <w:style w:type="paragraph" w:styleId="7">
    <w:name w:val="Normal (Web)"/>
    <w:basedOn w:val="1"/>
    <w:next w:val="5"/>
    <w:qFormat/>
    <w:uiPriority w:val="0"/>
    <w:pPr>
      <w:widowControl/>
      <w:spacing w:before="100" w:beforeAutospacing="1" w:after="100" w:afterAutospacing="1"/>
    </w:pPr>
    <w:rPr>
      <w:rFonts w:ascii="宋体" w:eastAsia="宋体" w:cs="宋体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脚注文本 Char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2505</Words>
  <Characters>2757</Characters>
  <Lines>18</Lines>
  <Paragraphs>5</Paragraphs>
  <TotalTime>7</TotalTime>
  <ScaleCrop>false</ScaleCrop>
  <LinksUpToDate>false</LinksUpToDate>
  <CharactersWithSpaces>2808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2022-07-06T03:07:00Z</dcterms:created>
  <dc:creator>xtzj</dc:creator>
  <cp:lastModifiedBy>Sam</cp:lastModifiedBy>
  <dcterms:modified xsi:type="dcterms:W3CDTF">2024-11-20T01:54:12Z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88A876E558C74AC79BC5DB028A43E809_13</vt:lpwstr>
  </property>
</Properties>
</file>