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40"/>
          <w:szCs w:val="40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0"/>
          <w:szCs w:val="40"/>
        </w:rPr>
        <w:t>2021年度部门整体支出绩效评价报告</w:t>
      </w: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一、部门（单位）概况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（一）部门（单位）基本情况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 xml:space="preserve"> 1、 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  <w:lang w:eastAsia="zh-CN"/>
        </w:rPr>
        <w:t>群峰乡</w:t>
      </w:r>
      <w:r>
        <w:rPr>
          <w:rFonts w:hint="eastAsia" w:ascii="宋体" w:cs="宋体"/>
          <w:kern w:val="0"/>
          <w:sz w:val="32"/>
          <w:szCs w:val="32"/>
        </w:rPr>
        <w:t>位于雪峰山东麓，现辖11个行政村，共有131个行政组，总人口约1.7万人，总面积66平方公里，乡政府驻</w:t>
      </w:r>
      <w:r>
        <w:rPr>
          <w:rFonts w:hint="eastAsia" w:ascii="宋体" w:cs="宋体"/>
          <w:kern w:val="0"/>
          <w:sz w:val="32"/>
          <w:szCs w:val="32"/>
          <w:lang w:eastAsia="zh-CN"/>
        </w:rPr>
        <w:t>群峰蛇形</w:t>
      </w:r>
      <w:r>
        <w:rPr>
          <w:rFonts w:hint="eastAsia" w:ascii="宋体" w:cs="宋体"/>
          <w:kern w:val="0"/>
          <w:sz w:val="32"/>
          <w:szCs w:val="32"/>
        </w:rPr>
        <w:t>村。乡政府负责制定和组织实施经济、科技和社会发展计划，促进经济发展；制定并组织实施村乡建设规划，部署重点工程建设；负责本行政区域内的民政、扶贫、党建、文化教育、卫生、体育等社会公益事业的综合性工作；按计划组织本级财政收入和地方税的征收，完成国家的财政计划，管好财政资金，增强财政实力；抓精神文明建设，丰富群众文化活动，树立社会主义新风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 xml:space="preserve">2．机构情况：政府机关，人口与计划生育服务站，综治维稳站，财政所，农业服务站，社会事业服务站，规划建设国土环保服务站。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3．人员情况：全乡共有编织49个，实有在职人员45人，与2020年相比减少4人，其中2021年度新进公职人员</w:t>
      </w:r>
      <w:r>
        <w:rPr>
          <w:rFonts w:hint="eastAsia" w:asciiTheme="minorEastAsia" w:hAnsiTheme="minorEastAsia"/>
          <w:sz w:val="32"/>
          <w:szCs w:val="32"/>
        </w:rPr>
        <w:t>4人；调入5人；调离12人，退休1人。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（二）、部门（单位）整体支出规模、使用方向和主要内容、涉及范围：全年整体支出规模</w:t>
      </w:r>
      <w:r>
        <w:rPr>
          <w:rFonts w:hint="eastAsia" w:ascii="宋体" w:cs="宋体"/>
          <w:kern w:val="0"/>
          <w:sz w:val="32"/>
          <w:szCs w:val="32"/>
          <w:lang w:eastAsia="zh-CN"/>
        </w:rPr>
        <w:t>949.78</w:t>
      </w:r>
      <w:r>
        <w:rPr>
          <w:rFonts w:hint="eastAsia" w:ascii="宋体" w:cs="宋体"/>
          <w:kern w:val="0"/>
          <w:sz w:val="32"/>
          <w:szCs w:val="32"/>
        </w:rPr>
        <w:t>万元，涉及工作内容及范围：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2021年度财政拨款支出</w:t>
      </w:r>
      <w:r>
        <w:rPr>
          <w:rFonts w:hint="eastAsia" w:ascii="宋体" w:eastAsia="宋体" w:cs="宋体"/>
          <w:sz w:val="32"/>
          <w:szCs w:val="32"/>
          <w:lang w:eastAsia="zh-CN"/>
        </w:rPr>
        <w:t>949.78</w:t>
      </w:r>
      <w:r>
        <w:rPr>
          <w:rFonts w:hint="eastAsia" w:ascii="宋体" w:hAnsi="宋体" w:eastAsia="宋体" w:cs="宋体"/>
          <w:sz w:val="32"/>
          <w:szCs w:val="32"/>
        </w:rPr>
        <w:t>万元，一般公共服务（类）支出673.59万元，占52.03%；教育支出2.15万元，占0.02%；社会保障及就业预算支出59.32万元，占4.58%；计生预算支出11.06万元，占0.08%；农林水总预算支出448.27万元，占34.62%；商业服务等支出20万元，占1.54%；自然资源海洋气象等支出13.32万元，占1.03%；住房保证支出22.62万元，占1.75%；安监管理预算支出44.36万元,占3.43%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二、部门（单位）整体支出管理及使用情况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1、收入情况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2021年部门总收入</w:t>
      </w:r>
      <w:r>
        <w:rPr>
          <w:rFonts w:hint="eastAsia" w:ascii="宋体" w:cs="宋体"/>
          <w:kern w:val="0"/>
          <w:sz w:val="32"/>
          <w:szCs w:val="32"/>
          <w:lang w:eastAsia="zh-CN"/>
        </w:rPr>
        <w:t>949.78</w:t>
      </w:r>
      <w:r>
        <w:rPr>
          <w:rFonts w:hint="eastAsia" w:ascii="宋体" w:cs="宋体"/>
          <w:kern w:val="0"/>
          <w:sz w:val="32"/>
          <w:szCs w:val="32"/>
        </w:rPr>
        <w:t>万元。其中:一般公共预算财政拨款收入</w:t>
      </w:r>
      <w:r>
        <w:rPr>
          <w:rFonts w:hint="eastAsia" w:ascii="宋体" w:cs="宋体"/>
          <w:kern w:val="0"/>
          <w:sz w:val="32"/>
          <w:szCs w:val="32"/>
          <w:lang w:eastAsia="zh-CN"/>
        </w:rPr>
        <w:t>949.78</w:t>
      </w:r>
      <w:r>
        <w:rPr>
          <w:rFonts w:hint="eastAsia" w:ascii="宋体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 xml:space="preserve"> 2、支出情况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2021年总支出</w:t>
      </w:r>
      <w:r>
        <w:rPr>
          <w:rFonts w:hint="eastAsia" w:ascii="宋体" w:cs="宋体"/>
          <w:kern w:val="0"/>
          <w:sz w:val="32"/>
          <w:szCs w:val="32"/>
          <w:lang w:eastAsia="zh-CN"/>
        </w:rPr>
        <w:t>949.78</w:t>
      </w:r>
      <w:r>
        <w:rPr>
          <w:rFonts w:hint="eastAsia" w:ascii="宋体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2021年度财政拨款基本支出966.74万元，其中：</w:t>
      </w:r>
      <w:r>
        <w:rPr>
          <w:rFonts w:hint="eastAsia" w:asciiTheme="minorEastAsia" w:hAnsiTheme="minorEastAsia"/>
          <w:sz w:val="32"/>
          <w:szCs w:val="32"/>
        </w:rPr>
        <w:t>人员经费824.25万元，占基本支出的63.7%</w:t>
      </w:r>
      <w:r>
        <w:rPr>
          <w:rFonts w:hint="eastAsia" w:ascii="宋体" w:cs="宋体"/>
          <w:kern w:val="0"/>
          <w:sz w:val="32"/>
          <w:szCs w:val="32"/>
        </w:rPr>
        <w:t>,主要包括基本工资、津贴补贴、奖金、绩效工资、职业年金、各类保险、住房公积金；</w:t>
      </w:r>
      <w:r>
        <w:rPr>
          <w:rFonts w:hint="eastAsia" w:asciiTheme="minorEastAsia" w:hAnsiTheme="minorEastAsia"/>
          <w:sz w:val="32"/>
          <w:szCs w:val="32"/>
        </w:rPr>
        <w:t>公用经费338.52万元，占基本支出的36.3%</w:t>
      </w:r>
      <w:r>
        <w:rPr>
          <w:rFonts w:hint="eastAsia" w:ascii="宋体" w:cs="宋体"/>
          <w:kern w:val="0"/>
          <w:sz w:val="32"/>
          <w:szCs w:val="32"/>
        </w:rPr>
        <w:t xml:space="preserve">，主要包括办公费、印刷费、电费、差旅费、会议费、培训费、劳务费、维修费、公会经费、三公经费等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严格执行“厉行节约、反对浪费”的规定，严格控制“三公”经费支出， “三公”经费及会议费较上年均有所下降。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“三公”经费总额与上年决算数对比变化的原因说明：2021年公务接待费8.99万元，2020年公务接待费8.88万元，与2021年同比增加开支1.24%；2021年公务用车维护费9.24万元，2020年公务用车维护费8.69万元，原因为用车频率增多，运行维护成本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（二）专项支出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（1）专项资金（包括财政资金、自筹资金等）安排落实、总投入等情况分析。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2021年专项资金投入131.9万元。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（2）专项资金实际使用情况分析。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2021年专项资金支出为131.9万元，主要用于乡村振兴基础建设及产业发展等10个项目。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（3）专项资金管理情况分析，主要包括管理制度、办法的制订及执行情况。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各项扶贫专项资金本着专款专用的原则，严格执行项目资金批准的使用计划和项目批复内容，不擅自调项、扩项、缩项，不拆借、挪用、挤占。资金拨付动向按不同专项资金的要求执行。同时对每笔专项资金的支付，严格执行财务制度，落实专项资金审核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三、部门（单位）专项组织实施情况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（一）专项组织情况分析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扶贫项目严格按要求先立项再施工，最后验收进行结算，强化项目的监督管理，实行工程项目公示制，按扶贫专项资金的用途专款专用。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（二）专项管理情况分析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在使用专项资金时，严格执行专项资使用制度和财务制度，同时对各项专项资金的使用流程进行监督，定时上报专项资金拨付使用情况。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四、部门（单位）整体支出绩效情况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1、完成乡村振兴项目建设10个共131.9万元。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2、指导全乡11个行政村（452名农村党员、乡机关党支部党员24名）党建工作，保证了机关党建工作的顺利开展、完善了基层各村的党建工作。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3、指导全乡近17000人开展综治维稳和发展安全生产工作 ，保证了综治民调成绩稳中有升，落实“一单四制”，将一般性生产经营安全事故控制在零发生。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5、完成农村义务征兵2人、保证农村义务征兵工作的完成；完成30人民兵整组工作、加强了武装阵地建设。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textAlignment w:val="auto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 xml:space="preserve">年初编制的预算不够精确，存在调整预算的情况，编制范围不太全面，预算执行情况还有待进一步加强。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textAlignment w:val="auto"/>
        <w:rPr>
          <w:rFonts w:ascii="黑体" w:hAnsi="黑体" w:eastAsia="黑体" w:cs="黑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六、改进措施和建议: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1、进一步加强预算的编制工作，提高预算编制的精确度，尽量减少预算执行调整。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2、加强政策学习，提高思想认识。认真学习《预算法》等相关法规、制度，提高单位领导对全面预算管理的重视程度，增强财务人员的预算意识。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3、规范账务处理，提高财务信息质量。严格按照《会计法》等规定执行财务核算，并结合实际情况，完整、准确地披露相关信息，尽可能地做到决算与预算相衔接。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4、希望增加行政运行经费，以保障日常工作顺利进行及目标任务的圆满完成。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auto"/>
        <w:ind w:firstLine="640" w:firstLineChars="200"/>
        <w:textAlignment w:val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5、希望财政部门更多地开展相关业务工作培训，提高财务人员业务水平。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jc w:val="left"/>
        <w:textAlignment w:val="auto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jc w:val="left"/>
        <w:textAlignment w:val="auto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jQxNjk4Y2QzMmY1NDY0MTdiNjM3MTFhYmFjMDAifQ=="/>
  </w:docVars>
  <w:rsids>
    <w:rsidRoot w:val="00000000"/>
    <w:rsid w:val="04F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2022-11-27T17:35:29Z</dcterms:created>
  <dc:creator>zz</dc:creator>
  <cp:lastModifiedBy>RB</cp:lastModifiedBy>
  <dcterms:modified xsi:type="dcterms:W3CDTF">2022-11-27T17:36:43Z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D3C383D61230432F82070A5241B0DD68</vt:lpwstr>
  </property>
</Properties>
</file>