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jc w:val="center"/>
        <w:rPr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-297180</wp:posOffset>
                </wp:positionV>
                <wp:extent cx="1523365" cy="517525"/>
                <wp:effectExtent l="0" t="0" r="635" b="15875"/>
                <wp:wrapNone/>
                <wp:docPr id="17510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51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楷体" w:hAnsi="楷体" w:eastAsia="楷体" w:cs="楷体"/>
                                <w:sz w:val="30"/>
                                <w:szCs w:val="30"/>
                                <w:lang w:val="en-US" w:eastAsia="zh-CN"/>
                              </w:rPr>
                              <w:t>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rtlCol="0" anchor="t" uprigh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18.6pt;margin-top:-23.4pt;height:40.75pt;width:119.95pt;z-index:251659264;mso-width-relative:page;mso-height-relative:page;" fillcolor="#FFFFFF [3201]" filled="t" stroked="f" coordsize="21600,21600" o:gfxdata="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6XHrgdgAAAAKAQAADwAAAAAAAAABACAAAAAiAAAAZHJzL2Rvd25yZXYueG1sUEsBAhQAFAAAAAgA&#10;h07iQM9Nl2olAgAARwQAAA4AAAAAAAAAAQAgAAAAJwEAAGRycy9lMm9Eb2MueG1sUEsFBgAAAAAG&#10;AAYAWQEAAL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楷体" w:hAnsi="楷体" w:eastAsia="楷体" w:cs="楷体"/>
                          <w:sz w:val="30"/>
                          <w:szCs w:val="30"/>
                          <w:lang w:val="en-US" w:eastAsia="zh-CN"/>
                        </w:rPr>
                        <w:t>1：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16"/>
        <w:jc w:val="center"/>
        <w:rPr>
          <w:sz w:val="56"/>
          <w:szCs w:val="56"/>
        </w:rPr>
      </w:pPr>
    </w:p>
    <w:p>
      <w:pPr>
        <w:pStyle w:val="16"/>
        <w:jc w:val="center"/>
        <w:rPr>
          <w:sz w:val="84"/>
          <w:szCs w:val="84"/>
        </w:rPr>
      </w:pPr>
    </w:p>
    <w:p>
      <w:pPr>
        <w:pStyle w:val="16"/>
        <w:jc w:val="center"/>
        <w:rPr>
          <w:sz w:val="84"/>
          <w:szCs w:val="84"/>
        </w:rPr>
      </w:pPr>
    </w:p>
    <w:p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>
      <w:pPr>
        <w:pStyle w:val="16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茅渡乡人民政府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6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6"/>
        <w:jc w:val="center"/>
        <w:rPr>
          <w:sz w:val="56"/>
          <w:szCs w:val="56"/>
        </w:rPr>
      </w:pPr>
    </w:p>
    <w:p>
      <w:pPr>
        <w:pStyle w:val="16"/>
        <w:jc w:val="center"/>
        <w:rPr>
          <w:sz w:val="56"/>
          <w:szCs w:val="56"/>
        </w:rPr>
      </w:pPr>
    </w:p>
    <w:p>
      <w:pPr>
        <w:pStyle w:val="16"/>
        <w:jc w:val="center"/>
        <w:rPr>
          <w:sz w:val="56"/>
          <w:szCs w:val="56"/>
        </w:rPr>
      </w:pPr>
    </w:p>
    <w:p>
      <w:pPr>
        <w:pStyle w:val="16"/>
        <w:jc w:val="center"/>
        <w:rPr>
          <w:sz w:val="32"/>
          <w:szCs w:val="32"/>
        </w:rPr>
      </w:pPr>
    </w:p>
    <w:p>
      <w:pPr>
        <w:pStyle w:val="16"/>
        <w:jc w:val="center"/>
        <w:rPr>
          <w:sz w:val="32"/>
          <w:szCs w:val="32"/>
        </w:rPr>
      </w:pPr>
    </w:p>
    <w:p>
      <w:pPr>
        <w:pStyle w:val="16"/>
        <w:jc w:val="center"/>
        <w:rPr>
          <w:sz w:val="32"/>
          <w:szCs w:val="32"/>
        </w:rPr>
      </w:pPr>
    </w:p>
    <w:p>
      <w:pPr>
        <w:pStyle w:val="16"/>
        <w:jc w:val="center"/>
        <w:rPr>
          <w:sz w:val="32"/>
          <w:szCs w:val="32"/>
        </w:rPr>
      </w:pPr>
    </w:p>
    <w:p>
      <w:pPr>
        <w:pStyle w:val="16"/>
        <w:jc w:val="center"/>
        <w:rPr>
          <w:sz w:val="32"/>
          <w:szCs w:val="32"/>
        </w:rPr>
      </w:pPr>
    </w:p>
    <w:p>
      <w:pPr>
        <w:pStyle w:val="16"/>
        <w:spacing w:line="540" w:lineRule="exact"/>
        <w:jc w:val="center"/>
        <w:rPr>
          <w:sz w:val="56"/>
          <w:szCs w:val="56"/>
        </w:rPr>
      </w:pPr>
    </w:p>
    <w:p>
      <w:pPr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6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6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6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>
      <w:pPr>
        <w:pStyle w:val="16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6"/>
        <w:jc w:val="center"/>
        <w:rPr>
          <w:rFonts w:hint="eastAsia" w:eastAsia="黑体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>
      <w:pPr>
        <w:widowControl/>
        <w:spacing w:line="600" w:lineRule="exact"/>
        <w:jc w:val="right"/>
        <w:rPr>
          <w:sz w:val="72"/>
          <w:szCs w:val="72"/>
        </w:rPr>
      </w:pPr>
      <w:r>
        <w:br w:type="page"/>
      </w: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茅渡乡人民政府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6"/>
          <w:szCs w:val="36"/>
          <w:lang w:val="en-US" w:eastAsia="zh-CN"/>
        </w:rPr>
        <w:t>茅渡乡人民政府</w:t>
      </w:r>
      <w:r>
        <w:rPr>
          <w:rFonts w:eastAsia="黑体"/>
          <w:sz w:val="36"/>
          <w:szCs w:val="36"/>
        </w:rPr>
        <w:t>（盖章）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/>
          <w:b/>
          <w:spacing w:val="-1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/>
          <w:b/>
          <w:spacing w:val="-1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/>
          <w:b/>
          <w:spacing w:val="-10"/>
          <w:kern w:val="0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2024年度茅渡乡人民政府部门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整体支出绩效自评报告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基本情况</w:t>
      </w:r>
    </w:p>
    <w:p>
      <w:pPr>
        <w:spacing w:line="600" w:lineRule="exact"/>
        <w:ind w:firstLine="640" w:firstLineChars="200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（一）部门（单位）基本情况</w:t>
      </w:r>
    </w:p>
    <w:p>
      <w:pPr>
        <w:pStyle w:val="9"/>
        <w:spacing w:line="600" w:lineRule="exact"/>
        <w:ind w:firstLine="640" w:firstLineChars="200"/>
        <w:rPr>
          <w:rFonts w:hint="default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洪江市茅渡乡人民政府系市财政全额预算拨款单位。洪江市茅渡乡人民政府内设机构包括：党政综合办公室、计生办、财政所、综治维稳站、统计经管站、文化站、农业服务站、社会事业服务站、规划建设国土环保服务站。全乡镇共有公职人员45人，与2023年度相比人数增加2人，2024年招录公务员1人，招录事业编2人，调离事业编1人。</w:t>
      </w:r>
    </w:p>
    <w:p>
      <w:pPr>
        <w:pStyle w:val="9"/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主要职能职责：茅渡乡人民政府负责制定和组织实施经济、科技和社会发展计划；制定并组织实施乡村建设规划，部署重点工程建设，地方道路建设及公共设施，水利设施的管理，负责土地、林木、水等自然资源和生态环境的保护，做好护林防火工作；负责行政区域内的民政、计划生育、文化教育、卫生、体育等社会公益事业的综合性工作，维护一切经济单位和个人的正当经济权益，取缔非法经济活动，调解和处理民事纠纷，打击刑事犯罪维护社会稳定；抓好精神文明建设，丰富群众文化活动，树立社会主义新风尚。</w:t>
      </w:r>
    </w:p>
    <w:p>
      <w:pPr>
        <w:pStyle w:val="9"/>
        <w:spacing w:line="600" w:lineRule="exact"/>
        <w:ind w:firstLine="640" w:firstLineChars="200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eastAsia="楷体_GB2312"/>
          <w:b/>
          <w:sz w:val="32"/>
          <w:szCs w:val="32"/>
        </w:rPr>
        <w:t>（二）部门（单位）年度整体支出绩效目标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3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目标1：党建工作的整体绩效目标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3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目标2：扶贫工作的整体绩效目标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3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目标3：社会治安综合治理工作的整体绩效目标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3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目标4：安全生产工作的整体绩效目标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960" w:firstLineChars="300"/>
        <w:textAlignment w:val="auto"/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目标5：保障惠农补贴工作的整体绩效目标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4"/>
        <w:ind w:firstLine="56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一般公共预算支出</w:t>
      </w:r>
      <w:r>
        <w:rPr>
          <w:rFonts w:hint="eastAsia" w:ascii="黑体" w:hAnsi="黑体" w:eastAsia="黑体" w:cs="黑体"/>
          <w:kern w:val="0"/>
          <w:sz w:val="32"/>
          <w:szCs w:val="32"/>
        </w:rPr>
        <w:t>情况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（一）基本支出情况</w:t>
      </w:r>
    </w:p>
    <w:p>
      <w:pPr>
        <w:pStyle w:val="4"/>
        <w:ind w:firstLine="56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年决算总收入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1226.59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万元，其中一般预算财政拨款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1226.59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万元，占总收入的100%。决算总支出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1226.59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万元，其中一般公共服务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543.67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万元，教育支出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21.47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万元，社会保障和就业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140.5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万元，卫生健康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40.07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万元，农林水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385.16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万元，住房保障支出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58.91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万元，灾害防治及应急管理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25.16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万元，自然资源</w:t>
      </w:r>
      <w:r>
        <w:rPr>
          <w:rFonts w:hint="eastAsia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海洋气象等支出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11.66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万元。202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年“三公”经费预算数11.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万元，其中，公务接待费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7.41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万元，公务用车购置及运行费3.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万元；202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年“三公”经费决算数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万元，其中公务接待费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万元，公务用车运行维护费用3.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万元，未超过预算范围内支出。其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主要原因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是政府严格按照中央八项规定要求进行公务接待，以及对公务用车严格管理，实行出车、维修审批制度等。</w:t>
      </w:r>
    </w:p>
    <w:p>
      <w:pPr>
        <w:widowControl/>
        <w:spacing w:line="600" w:lineRule="exact"/>
        <w:ind w:firstLine="640" w:firstLineChars="200"/>
        <w:rPr>
          <w:rFonts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（二）项目支出情况</w:t>
      </w:r>
    </w:p>
    <w:p>
      <w:pPr>
        <w:pStyle w:val="22"/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年度预算共有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个项目，合计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99.98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万元。其中：</w:t>
      </w:r>
    </w:p>
    <w:p>
      <w:pPr>
        <w:widowControl/>
        <w:spacing w:line="6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村级运转经费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万元。内容：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7个村的</w:t>
      </w:r>
      <w:r>
        <w:rPr>
          <w:rFonts w:hint="eastAsia" w:eastAsia="仿宋" w:cs="仿宋"/>
          <w:kern w:val="0"/>
          <w:sz w:val="32"/>
          <w:szCs w:val="32"/>
          <w:lang w:val="en-US" w:eastAsia="zh-CN"/>
        </w:rPr>
        <w:t>村级办公经费和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服务群众经费。用于维持和保障各社区的正常运转，分为办公经费、服务群众专项经费两个部分。办公经费按每村0.75万元/季度安排，含日常办公经费、工作经费等，合并村按比例据实发放。服务群众专项经费按每社区0.25万元/季度安排，含支持和改善村民的公共服务、村民生活条件等</w:t>
      </w:r>
      <w:r>
        <w:rPr>
          <w:rFonts w:hint="eastAsia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64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村干部绩效工资3.92万元。内容：7个村的村干部的2024年绩效工资。有利于激励村干部更好地履行职责，提高村级管理效率和水平，根据党委办公室打分的综合绩效考核排名情况，依据党建办制作并经领导审核后的发放明细表进行打卡发放到个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3、2024年茅渡乡遗属补助1.66万元。内容：2名干部遗属的基本生活补助开支。能够有效保障遗属的基本生活水平，</w:t>
      </w:r>
      <w:r>
        <w:rPr>
          <w:rFonts w:hint="default" w:eastAsia="仿宋" w:cs="仿宋"/>
          <w:sz w:val="32"/>
          <w:szCs w:val="32"/>
          <w:lang w:val="en-US" w:eastAsia="zh-CN"/>
        </w:rPr>
        <w:t>降低经济风险和生活压力</w:t>
      </w:r>
      <w:r>
        <w:rPr>
          <w:rFonts w:hint="eastAsia" w:eastAsia="仿宋" w:cs="仿宋"/>
          <w:sz w:val="32"/>
          <w:szCs w:val="32"/>
          <w:lang w:val="en-US" w:eastAsia="zh-CN"/>
        </w:rPr>
        <w:t>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、2024年乡镇工作补贴45.90万元。内容：茅渡乡人民政府在职的职工干部工作补贴的发放，能够有效提升职工干部的工作积极性，保障工作的平稳开展。同时，保障基层一线职工干部的基本生活水平，提升幸福感、满足感。</w:t>
      </w:r>
    </w:p>
    <w:p>
      <w:pPr>
        <w:pStyle w:val="2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5、2024年非税收入执收成本1.5万元。内容：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为顺利开展收缴非税收入工作保驾护航，提供必要的工作经费。</w:t>
      </w:r>
    </w:p>
    <w:p>
      <w:pPr>
        <w:pStyle w:val="4"/>
        <w:ind w:firstLine="56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，茅渡乡政府坚持以习近平新时代中国特色社会主义思想为指导，深入学习宣传贯彻党的二十大精神，在市委、市政府和乡党委的坚强领导下，团结和依靠全乡人民，锐意进取、砥砺前行，在多重目标中统筹兼顾、协调推进，在多重挑战中迎难而上、难中求成，较好地完成了全年主要目标任务，保持了经济持续健康发展和社会大局稳定，在打造“秀美茅渡”的道路上迈出了坚实步伐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（一）全力抓文旅融合，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推动</w:t>
      </w: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招商引资项目招引落地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1.大畲坪业态。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围绕市委、市政府关于安江农耕文化旅游区建设的目标任务，茅渡乡通过挖掘和联系引进藏垚高庙玉业态，在稻源北路租赁门面3个，占地120平方米，该业态集加工、销售、展览于一体，已于7月1日正式开业。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2.招商引资引进项目。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茅渡乡党政班子成员成立招商分队，带头前往深圳、张家界、广西、怀化、溆浦等地走访本乡外出成功人士，热情对接湘商、客商和企业，引进2个文旅项目和2个养殖项目。文旅项目一是茅渡乡天鹅智慧农场二期项目。投资修建25栋民宿、天鹅孵化基地和休闲娱乐体验基地。现阶段二期项目已开工，民宿建设7栋，天鹅孵化基地在建；二是洪江市茅渡乡鸟鸣涧乡村度假项目，预计项目用地200亩。养殖项目是引进2个养猪场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（二）聚力抓乡村振兴，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确保</w:t>
      </w: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美丽乡村建设扎实有效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1.持续巩固脱贫攻坚成果。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开展常态化结对帮扶，对监测户实行动态监测帮扶。完成农村改厕50户，大力支持脱贫户发展庭院经济，发放庭院经济补贴64户。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2.持续整治人居环境。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茅渡乡常态化开展村庄清洁行动，对辖区内做好公共区域日常保洁工作，重点对省道S249主干道沿线、村部周边、居住集中区域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部位环境卫生进行清扫保洁，组织乡村干部开展9次集中清洁行动，累计390余人次参与，清除卫生死角60余处，清理河道沟渠50千余米，清理转运垃圾3余吨，拆除修缮废弃危旧房屋2座，简易棚厕2座，劝导20余户居民进行禽畜圈养，整治清理非法广告、牛皮癣50余处，栽种树木1200余株，裸露泥土复绿15亩。完善更新村垃圾转运设施，全乡各村更新垃圾箱154个；创建洪江市和美乡村1个，怀化市级和美村庄1个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3.乡村产业高质量发展。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大力发展灰天鹅、跑山鸡养殖和罗汉果、冰糖柚、雷笋、油茶种植等产业项目，积极盘活村内闲置资产。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（三）倾力抓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好</w:t>
      </w: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民生保障，各项社会事业蓬勃发展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1.重点民生实事。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开展家庭教育指导服务“向阳花”行动线下培训1次，培训人数40人；为新生儿提供听力障碍、致盲性眼病、遗传代谢病、先天性心脏病免费筛查与诊断服务26人次；加强对5名事实无人抚养孤儿关心关爱；落实低保131户232人；新增特困4人，享受农村特困共47人；享受重度残疾人护理补贴167人，生活困难补贴98人，城乡低保、特困人员和残疾人动态管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应保尽保；开展农村适龄及城镇低保适龄妇女“两癌”免费检查85人次；开展困难重度残疾人家庭无障碍改造5户；实施特殊困难老年人家庭适老化改造25户；为应急救援队伍配备1个易操作、易维护的救援装备；新增蓄水能力0.7万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立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方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米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；完成中医体质辨识诊断服务422人次。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2.基础设施建设。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对乡级公路栗黄线进行维修加固；扩宽硬化2条组级公路；维修加固2个山塘和1个水库。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（四）竭力抓安全稳定，社会发展大局平稳有序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1.坚决守牢安全底线。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常态化开展交通专项整治和燃气、烟花爆竹等安全生产执法检查和食品药品安全检查工作，下达责令整改书4份，整改重特大安全隐患21条。持续开展矛盾纠纷多元排查化解，突出平安茅渡建设，组织开展防汛、地质灾害、森林灭火等应急处突演练5次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2" w:beforeAutospacing="0" w:after="0" w:afterAutospacing="0" w:line="408" w:lineRule="atLeast"/>
        <w:ind w:left="0" w:right="0" w:firstLine="42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2.强化政府自身建设。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坚持发展好新时代“枫桥经验”，推进领导班子下访和信访工作法治化。强化乡村治理，破解乡村治理“小马拉大车”突出问题，精简文件会议，严格挂牌整治，“片长、组长、邻长”的“三长”制全面落实。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kern w:val="0"/>
          <w:sz w:val="32"/>
          <w:szCs w:val="32"/>
        </w:rPr>
        <w:t>存在的主要问题及原因分析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（一）预算及预算管理方面。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第一，存在调整预算的情况，编制范围不太全面细化，预算执行情况还有待进一步提高。第二，对于项目支出，虽然设立了项目资金绩效目标，但部分目标设置不够明确、细化和量化。其主要原因在于：预算部门对于项目业务的情况主要来源于对业务部门的了解与询问，各部门沟通不够及时，难免存在与实际有偏差的情况。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（二）财务管理方面。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单位财务管理制度不健全，财务行为不规范，导致有时决算会超过预算，从而发生超支现象。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（三）资金分配、使用和管理方面。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资金分配使用出现资金与项目需求脱节的问题。其主要原因在于：第一，部门项目资金下达时间晚，一定程度上影响了资金计划统筹使用。第二，部分项目实施周期较长，处于建设期，预算执行缓慢，相对比较集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五、下一步改进措施</w:t>
      </w:r>
    </w:p>
    <w:p>
      <w:pPr>
        <w:widowControl/>
        <w:spacing w:line="640" w:lineRule="exact"/>
        <w:ind w:firstLine="640" w:firstLineChars="200"/>
        <w:jc w:val="left"/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（一）细化预算编制，优化预算项目设置。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不断完善部门预算编制管理，抓住预算一体化系统平台整合的契机，充分利用云平台数据，加强项目资金执行情况分析，并作为下年预算安排的依据，进一步提高预算编制的精准度和预算标准化水平。</w:t>
      </w:r>
    </w:p>
    <w:p>
      <w:pPr>
        <w:widowControl/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强化预算约束，实行项目进度动态管理。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通过定期对项目实施和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预算执行情况进行梳理，及时掌握项目进度，督促项目实施单位早启动、早实施、早验收，对符合条件的项目按照项目进度支付</w:t>
      </w:r>
      <w:r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相关款项，将预算资金管理贯穿于项目实施全过程中。</w:t>
      </w:r>
    </w:p>
    <w:p>
      <w:pPr>
        <w:widowControl/>
        <w:numPr>
          <w:ilvl w:val="0"/>
          <w:numId w:val="2"/>
        </w:numPr>
        <w:spacing w:line="640" w:lineRule="exact"/>
        <w:ind w:firstLine="640" w:firstLineChars="200"/>
        <w:jc w:val="left"/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color w:val="auto"/>
          <w:spacing w:val="0"/>
          <w:kern w:val="2"/>
          <w:position w:val="0"/>
          <w:sz w:val="32"/>
          <w:szCs w:val="32"/>
          <w:u w:val="none" w:color="auto"/>
          <w:vertAlign w:val="baseline"/>
          <w:lang w:val="en-US" w:eastAsia="zh-CN" w:bidi="ar-SA"/>
        </w:rPr>
        <w:t>强化部门沟通，实现项目与资金动态匹配。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  <w:t>掌握项目实施动态，业务部门及时与预算部门沟通，项目实施情况及与计划的偏差度，以便于及时调整方向和资金的分配使用。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kern w:val="0"/>
          <w:sz w:val="32"/>
          <w:szCs w:val="32"/>
        </w:rPr>
        <w:t>绩效自评结果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napToGrid/>
          <w:color w:val="auto"/>
          <w:spacing w:val="0"/>
          <w:kern w:val="2"/>
          <w:position w:val="0"/>
          <w:sz w:val="32"/>
          <w:szCs w:val="32"/>
          <w:u w:val="none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按照部门整体支出绩效评价指标体系对照打分得出的结果为9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分，等级为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widowControl/>
        <w:spacing w:line="600" w:lineRule="exact"/>
        <w:jc w:val="righ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洪江市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茅渡乡</w:t>
      </w:r>
      <w:r>
        <w:rPr>
          <w:rFonts w:hint="eastAsia" w:ascii="仿宋" w:hAnsi="仿宋" w:eastAsia="仿宋" w:cs="仿宋"/>
          <w:kern w:val="0"/>
          <w:sz w:val="32"/>
          <w:szCs w:val="32"/>
        </w:rPr>
        <w:t>人民政府</w:t>
      </w:r>
    </w:p>
    <w:p>
      <w:pPr>
        <w:widowControl/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spacing w:line="560" w:lineRule="exact"/>
        <w:jc w:val="center"/>
        <w:rPr>
          <w:rFonts w:eastAsia="黑体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</w:rPr>
        <w:t>202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4</w:t>
      </w:r>
      <w:r>
        <w:rPr>
          <w:rFonts w:hint="eastAsia" w:eastAsia="方正小标宋_GBK"/>
          <w:kern w:val="0"/>
          <w:sz w:val="44"/>
          <w:szCs w:val="44"/>
        </w:rPr>
        <w:t>年度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茅渡乡人民政府</w:t>
      </w:r>
      <w:r>
        <w:rPr>
          <w:rFonts w:eastAsia="方正小标宋_GBK"/>
          <w:kern w:val="0"/>
          <w:sz w:val="44"/>
          <w:szCs w:val="44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eastAsia="仿宋_GB2312"/>
          <w:kern w:val="0"/>
          <w:sz w:val="24"/>
        </w:rPr>
      </w:pPr>
      <w:r>
        <w:rPr>
          <w:rFonts w:eastAsia="仿宋"/>
          <w:kern w:val="0"/>
          <w:sz w:val="24"/>
        </w:rPr>
        <w:t>填报单位：</w:t>
      </w:r>
      <w:r>
        <w:rPr>
          <w:rFonts w:hint="eastAsia" w:eastAsia="仿宋"/>
          <w:kern w:val="0"/>
          <w:sz w:val="24"/>
          <w:lang w:val="en-US" w:eastAsia="zh-CN"/>
        </w:rPr>
        <w:t>茅渡乡人民政府</w:t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  <w:r>
        <w:rPr>
          <w:rFonts w:eastAsia="仿宋_GB2312"/>
          <w:kern w:val="0"/>
          <w:sz w:val="24"/>
        </w:rPr>
        <w:tab/>
      </w: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20</w:t>
            </w:r>
            <w:r>
              <w:rPr>
                <w:rFonts w:hint="eastAsia" w:eastAsia="仿宋"/>
                <w:bCs/>
                <w:kern w:val="0"/>
                <w:sz w:val="24"/>
              </w:rPr>
              <w:t>2</w:t>
            </w:r>
            <w:r>
              <w:rPr>
                <w:rFonts w:hint="eastAsia" w:eastAsia="仿宋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"/>
                <w:bCs/>
                <w:kern w:val="0"/>
                <w:sz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45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45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100%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10.45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11.02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4.21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</w:t>
            </w:r>
            <w:r>
              <w:rPr>
                <w:rFonts w:hint="eastAsia" w:eastAsia="仿宋"/>
                <w:kern w:val="0"/>
                <w:sz w:val="24"/>
              </w:rPr>
              <w:t>1.</w:t>
            </w:r>
            <w:r>
              <w:rPr>
                <w:rFonts w:eastAsia="仿宋"/>
                <w:kern w:val="0"/>
                <w:sz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10.45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11.02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4.21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         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3.77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3.61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3.61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2</w:t>
            </w:r>
            <w:r>
              <w:rPr>
                <w:rFonts w:hint="eastAsia" w:eastAsia="仿宋"/>
                <w:kern w:val="0"/>
                <w:sz w:val="24"/>
              </w:rPr>
              <w:t>.</w:t>
            </w:r>
            <w:r>
              <w:rPr>
                <w:rFonts w:eastAsia="仿宋"/>
                <w:kern w:val="0"/>
                <w:sz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3</w:t>
            </w:r>
            <w:r>
              <w:rPr>
                <w:rFonts w:hint="eastAsia" w:eastAsia="仿宋"/>
                <w:kern w:val="0"/>
                <w:sz w:val="24"/>
              </w:rPr>
              <w:t>.</w:t>
            </w:r>
            <w:r>
              <w:rPr>
                <w:rFonts w:eastAsia="仿宋"/>
                <w:kern w:val="0"/>
                <w:sz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6.68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7.41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0.6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163.18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164.94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164.94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</w:rPr>
              <w:t xml:space="preserve">    1</w:t>
            </w:r>
            <w:r>
              <w:rPr>
                <w:rFonts w:hint="eastAsia" w:eastAsia="仿宋"/>
                <w:kern w:val="0"/>
                <w:sz w:val="24"/>
              </w:rPr>
              <w:t>.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业务工作专项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163.18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164.94</w:t>
            </w:r>
            <w:r>
              <w:rPr>
                <w:rFonts w:eastAsia="仿宋"/>
                <w:kern w:val="0"/>
                <w:sz w:val="24"/>
              </w:rPr>
              <w:t>　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164.94</w:t>
            </w:r>
            <w:r>
              <w:rPr>
                <w:rFonts w:eastAsia="仿宋"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139.02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199.65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199.65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</w:t>
            </w:r>
            <w:r>
              <w:rPr>
                <w:rFonts w:hint="eastAsia" w:eastAsia="仿宋"/>
                <w:kern w:val="0"/>
                <w:sz w:val="24"/>
              </w:rPr>
              <w:t>1.</w:t>
            </w:r>
            <w:r>
              <w:rPr>
                <w:rFonts w:eastAsia="仿宋"/>
                <w:kern w:val="0"/>
                <w:sz w:val="24"/>
              </w:rPr>
              <w:t>办公费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75.08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58.6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58.60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 2.印刷费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23.03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23.03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 3.咨询费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1.28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仿宋"/>
                <w:kern w:val="0"/>
                <w:sz w:val="24"/>
              </w:rPr>
              <w:t>.</w:t>
            </w:r>
            <w:r>
              <w:rPr>
                <w:rFonts w:eastAsia="仿宋"/>
                <w:kern w:val="0"/>
                <w:sz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5.94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5.71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5.71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   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eastAsia="仿宋"/>
                <w:kern w:val="0"/>
                <w:sz w:val="24"/>
              </w:rPr>
              <w:t>.</w:t>
            </w:r>
            <w:r>
              <w:rPr>
                <w:rFonts w:eastAsia="仿宋"/>
                <w:kern w:val="0"/>
                <w:sz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0.22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6.71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6.71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 xml:space="preserve">    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eastAsia="仿宋"/>
                <w:kern w:val="0"/>
                <w:sz w:val="24"/>
              </w:rPr>
              <w:t>.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邮电</w:t>
            </w:r>
            <w:r>
              <w:rPr>
                <w:rFonts w:eastAsia="仿宋"/>
                <w:kern w:val="0"/>
                <w:sz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1.3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1.94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1.94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 xml:space="preserve">    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eastAsia="仿宋"/>
                <w:kern w:val="0"/>
                <w:sz w:val="24"/>
              </w:rPr>
              <w:t>.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维护</w:t>
            </w:r>
            <w:r>
              <w:rPr>
                <w:rFonts w:eastAsia="仿宋"/>
                <w:kern w:val="0"/>
                <w:sz w:val="24"/>
              </w:rPr>
              <w:t>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1.59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1.36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 8.劳务费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34.78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10.24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10.24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 9.工会经费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20.11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15.18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15.18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 10.其他交通费用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1.31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0.9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 11.税金及附加费用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4.31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4.31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 xml:space="preserve">    12.其他商品服务支出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62.9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59.79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59.79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——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1.05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lang w:val="en-US" w:eastAsia="zh-CN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 xml:space="preserve">部门整体支出预算调整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——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1241.59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  <w:lang w:val="en-US" w:eastAsia="zh-CN"/>
              </w:rPr>
              <w:t>1226.59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</w:rPr>
              <w:br w:type="textWrapping"/>
            </w:r>
            <w:r>
              <w:rPr>
                <w:rFonts w:eastAsia="仿宋"/>
                <w:b/>
                <w:bCs/>
                <w:kern w:val="0"/>
                <w:sz w:val="24"/>
              </w:rPr>
              <w:t>（20</w:t>
            </w:r>
            <w:r>
              <w:rPr>
                <w:rFonts w:hint="eastAsia" w:eastAsia="仿宋"/>
                <w:b/>
                <w:bCs/>
                <w:kern w:val="0"/>
                <w:sz w:val="24"/>
              </w:rPr>
              <w:t>2</w:t>
            </w:r>
            <w:r>
              <w:rPr>
                <w:rFonts w:hint="eastAsia" w:eastAsia="仿宋"/>
                <w:b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"/>
                <w:b/>
                <w:bCs/>
                <w:kern w:val="0"/>
                <w:sz w:val="24"/>
              </w:rPr>
              <w:t>年完工项目）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批复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规模</w:t>
            </w:r>
            <w:r>
              <w:rPr>
                <w:rFonts w:eastAsia="仿宋"/>
                <w:bCs/>
                <w:kern w:val="0"/>
                <w:sz w:val="24"/>
              </w:rPr>
              <w:br w:type="textWrapping"/>
            </w:r>
            <w:r>
              <w:rPr>
                <w:rFonts w:hint="eastAsia" w:eastAsia="仿宋"/>
                <w:bCs/>
                <w:kern w:val="0"/>
                <w:sz w:val="24"/>
              </w:rPr>
              <w:t>(</w:t>
            </w:r>
            <w:r>
              <w:rPr>
                <w:rFonts w:eastAsia="仿宋"/>
                <w:bCs/>
                <w:kern w:val="0"/>
                <w:sz w:val="24"/>
              </w:rPr>
              <w:t>㎡</w:t>
            </w:r>
            <w:r>
              <w:rPr>
                <w:rFonts w:hint="eastAsia" w:eastAsia="仿宋"/>
                <w:bCs/>
                <w:kern w:val="0"/>
                <w:sz w:val="24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实际规模</w:t>
            </w:r>
            <w:r>
              <w:rPr>
                <w:rFonts w:hint="eastAsia" w:eastAsia="仿宋"/>
                <w:bCs/>
                <w:kern w:val="0"/>
                <w:sz w:val="24"/>
              </w:rPr>
              <w:t>(</w:t>
            </w:r>
            <w:r>
              <w:rPr>
                <w:rFonts w:eastAsia="仿宋"/>
                <w:bCs/>
                <w:kern w:val="0"/>
                <w:sz w:val="24"/>
              </w:rPr>
              <w:t>㎡</w:t>
            </w:r>
            <w:r>
              <w:rPr>
                <w:rFonts w:hint="eastAsia" w:eastAsia="仿宋"/>
                <w:bCs/>
                <w:kern w:val="0"/>
                <w:sz w:val="24"/>
              </w:rPr>
              <w:t>)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规模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控制率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(</w:t>
            </w:r>
            <w:r>
              <w:rPr>
                <w:rFonts w:eastAsia="仿宋"/>
                <w:bCs/>
                <w:kern w:val="0"/>
                <w:sz w:val="24"/>
              </w:rPr>
              <w:t>万元</w:t>
            </w:r>
            <w:r>
              <w:rPr>
                <w:rFonts w:hint="eastAsia" w:eastAsia="仿宋"/>
                <w:bCs/>
                <w:kern w:val="0"/>
                <w:sz w:val="24"/>
              </w:rPr>
              <w:t>)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"/>
                <w:bCs/>
                <w:kern w:val="0"/>
                <w:sz w:val="24"/>
              </w:rPr>
            </w:pPr>
            <w:r>
              <w:rPr>
                <w:rFonts w:hint="eastAsia" w:eastAsia="仿宋"/>
                <w:bCs/>
                <w:kern w:val="0"/>
                <w:sz w:val="24"/>
              </w:rPr>
              <w:t>(</w:t>
            </w:r>
            <w:r>
              <w:rPr>
                <w:rFonts w:eastAsia="仿宋"/>
                <w:bCs/>
                <w:kern w:val="0"/>
                <w:sz w:val="24"/>
              </w:rPr>
              <w:t>万元</w:t>
            </w:r>
            <w:r>
              <w:rPr>
                <w:rFonts w:hint="eastAsia" w:eastAsia="仿宋"/>
                <w:bCs/>
                <w:kern w:val="0"/>
                <w:sz w:val="24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概算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eastAsia="仿宋"/>
                <w:bCs/>
                <w:kern w:val="0"/>
                <w:sz w:val="24"/>
              </w:rPr>
            </w:pPr>
            <w:r>
              <w:rPr>
                <w:rFonts w:eastAsia="仿宋"/>
                <w:bCs/>
                <w:kern w:val="0"/>
                <w:sz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b/>
                <w:bCs/>
                <w:kern w:val="0"/>
                <w:sz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节约日常办公开支。办公用品做到按需节约采购，加强领用管理，尽可能循环使用。</w:t>
            </w:r>
          </w:p>
          <w:p>
            <w:pPr>
              <w:pStyle w:val="4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严格控制“三公”经费支出。严格压缩公务接待支出，不超标准支出，坚决杜绝违规公款吃喝。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eastAsia="仿宋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/>
                <w:color w:val="auto"/>
                <w:spacing w:val="0"/>
                <w:kern w:val="0"/>
                <w:position w:val="0"/>
                <w:sz w:val="24"/>
                <w:szCs w:val="24"/>
                <w:u w:val="none" w:color="auto"/>
                <w:vertAlign w:val="baseline"/>
                <w:lang w:val="en-US" w:eastAsia="zh-CN" w:bidi="ar-SA"/>
              </w:rPr>
              <w:t>3、严格预算执行和绩效管理。强化预算执行约束，确保先有预算后有支出，不得无预算或超预算安排支出，对非刚性、非重点支出应减尽减，节约行政成本。</w:t>
            </w:r>
            <w:r>
              <w:rPr>
                <w:rFonts w:eastAsia="仿宋"/>
                <w:kern w:val="0"/>
                <w:sz w:val="24"/>
              </w:rPr>
              <w:t>　</w:t>
            </w:r>
          </w:p>
        </w:tc>
      </w:tr>
    </w:tbl>
    <w:p>
      <w:pPr>
        <w:widowControl/>
        <w:jc w:val="left"/>
        <w:rPr>
          <w:rFonts w:eastAsia="仿宋"/>
          <w:kern w:val="0"/>
          <w:sz w:val="24"/>
        </w:rPr>
      </w:pPr>
    </w:p>
    <w:p>
      <w:pPr>
        <w:widowControl/>
        <w:ind w:firstLine="480" w:firstLineChars="200"/>
        <w:jc w:val="left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说明：“项目支出”需要填报所有项目情况，包括业务工作项目、运行维护项目等；“公用经费”填报基本支出中的一般商品和服务支出。</w:t>
      </w: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 xml:space="preserve">（  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2024</w:t>
      </w:r>
      <w:r>
        <w:rPr>
          <w:rFonts w:eastAsia="仿宋_GB2312"/>
          <w:color w:val="000000"/>
          <w:kern w:val="0"/>
          <w:szCs w:val="21"/>
        </w:rPr>
        <w:t xml:space="preserve"> 年度）</w:t>
      </w:r>
    </w:p>
    <w:tbl>
      <w:tblPr>
        <w:tblStyle w:val="11"/>
        <w:tblW w:w="9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062"/>
        <w:gridCol w:w="865"/>
        <w:gridCol w:w="1490"/>
        <w:gridCol w:w="940"/>
        <w:gridCol w:w="1030"/>
        <w:gridCol w:w="880"/>
        <w:gridCol w:w="820"/>
        <w:gridCol w:w="79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预算部门名称</w:t>
            </w:r>
          </w:p>
        </w:tc>
        <w:tc>
          <w:tcPr>
            <w:tcW w:w="8725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洪江市茅渡乡人民政府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年初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预算数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全年预算数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执行数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646.32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1241.59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1226.59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98.8%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 xml:space="preserve">  其中：一般公共预算：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1226.59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1061.65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widowControl/>
              <w:ind w:firstLine="800" w:firstLineChars="40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widowControl/>
              <w:ind w:firstLine="600" w:firstLineChars="300"/>
              <w:jc w:val="left"/>
              <w:rPr>
                <w:rFonts w:hint="eastAsia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164.94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widowControl/>
              <w:ind w:firstLine="1400" w:firstLineChars="70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（一）推进基层党建建设，提升党员综合素质</w:t>
            </w: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（二）持续巩固脱贫攻坚成果，实施乡村振兴战略</w:t>
            </w: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（三）强化社会治安环境</w:t>
            </w: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管理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，落实目标管理责任制</w:t>
            </w:r>
          </w:p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（四）加强构建人口和计划生育公共管理体系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333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left"/>
              <w:rPr>
                <w:rFonts w:hint="eastAsia"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全面落实党建目标责任制，强化党员队伍思想建设。</w:t>
            </w:r>
          </w:p>
          <w:p>
            <w:pPr>
              <w:widowControl/>
              <w:spacing w:line="240" w:lineRule="exact"/>
              <w:ind w:firstLine="360" w:firstLineChars="200"/>
              <w:jc w:val="left"/>
              <w:rPr>
                <w:rFonts w:hint="eastAsia" w:eastAsia="仿宋_GB2312"/>
                <w:color w:val="00000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筑牢乡村振兴理念，集体经济实现稳健增长，推动产</w:t>
            </w: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融合。</w:t>
            </w:r>
          </w:p>
          <w:p>
            <w:pPr>
              <w:widowControl/>
              <w:spacing w:line="240" w:lineRule="exact"/>
              <w:ind w:firstLine="360" w:firstLineChars="20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实现司法、综治、信访维稳和安全生产等工作，深化整体联动防范。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6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完成值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848" w:type="dxa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(50分)</w:t>
            </w:r>
          </w:p>
        </w:tc>
        <w:tc>
          <w:tcPr>
            <w:tcW w:w="86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脱贫户医保征缴完成率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开展党建活动次数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≥7次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7次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安全生产巡检次数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≥10次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12次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就业咨询服务次数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≥5次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5次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各项工作完成率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各项工作完成综合时间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2024年底之前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2024年底之前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各项工作成本控制率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≤100%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（30分）　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村集体经济收入同比增长率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≥1%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2%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安全事故发生情况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0次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0次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2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人民群众满意度</w:t>
            </w:r>
          </w:p>
        </w:tc>
        <w:tc>
          <w:tcPr>
            <w:tcW w:w="103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229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82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84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  <w:lang w:val="en-US" w:eastAsia="zh-CN"/>
        </w:rPr>
        <w:t>潘啸</w:t>
      </w:r>
      <w:r>
        <w:rPr>
          <w:rFonts w:eastAsia="仿宋_GB2312"/>
          <w:sz w:val="22"/>
          <w:szCs w:val="22"/>
        </w:rPr>
        <w:t xml:space="preserve">    填报日期：</w:t>
      </w:r>
      <w:r>
        <w:rPr>
          <w:rFonts w:hint="eastAsia" w:eastAsia="仿宋_GB2312"/>
          <w:sz w:val="22"/>
          <w:szCs w:val="22"/>
          <w:lang w:val="en-US" w:eastAsia="zh-CN"/>
        </w:rPr>
        <w:t>2025.3.25</w:t>
      </w:r>
      <w:r>
        <w:rPr>
          <w:rFonts w:eastAsia="仿宋_GB2312"/>
          <w:sz w:val="22"/>
          <w:szCs w:val="22"/>
        </w:rPr>
        <w:t xml:space="preserve">     联系电话：</w:t>
      </w:r>
      <w:r>
        <w:rPr>
          <w:rFonts w:hint="eastAsia" w:eastAsia="仿宋_GB2312"/>
          <w:sz w:val="22"/>
          <w:szCs w:val="22"/>
          <w:lang w:val="en-US" w:eastAsia="zh-CN"/>
        </w:rPr>
        <w:t>15616234209</w:t>
      </w:r>
      <w:r>
        <w:rPr>
          <w:rFonts w:eastAsia="仿宋_GB2312"/>
          <w:sz w:val="22"/>
          <w:szCs w:val="22"/>
        </w:rPr>
        <w:t xml:space="preserve">     单位负责人签字：</w:t>
      </w:r>
      <w:r>
        <w:rPr>
          <w:rFonts w:hint="eastAsia" w:eastAsia="仿宋_GB2312"/>
          <w:sz w:val="22"/>
          <w:szCs w:val="22"/>
          <w:lang w:val="en-US" w:eastAsia="zh-CN"/>
        </w:rPr>
        <w:t>罗棋元</w:t>
      </w: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 xml:space="preserve">（ 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2024</w:t>
      </w:r>
      <w:r>
        <w:rPr>
          <w:rFonts w:eastAsia="仿宋_GB2312"/>
          <w:color w:val="000000"/>
          <w:kern w:val="0"/>
          <w:szCs w:val="21"/>
        </w:rPr>
        <w:t xml:space="preserve"> 年度）</w:t>
      </w:r>
    </w:p>
    <w:tbl>
      <w:tblPr>
        <w:tblStyle w:val="11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202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年村级运转经费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财政事务中心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洪江市茅渡乡人民政府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保障村级办公用品、会议费、项目务工等各项开支，为村一级开展各项工作提供有力支持。提升村一级工作人员办公效率，更好地为村民服务。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有力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保障村级运转稳定，及时为群众解决愁难急盼问题，改善群众的生活水平，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及时拨付相关资金，办公效率得到提高。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拨付资金村数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=7个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7个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调解群众矛盾纠纷次数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≥10次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定期访问低保户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≥12次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12次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资金支付合规率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工作完成及时率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成本控制率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≤100%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</w:t>
            </w: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调解群众矛盾</w:t>
            </w:r>
            <w:r>
              <w:rPr>
                <w:rFonts w:hint="eastAsia"/>
                <w:lang w:val="en-US" w:eastAsia="zh-CN"/>
              </w:rPr>
              <w:t>纠纷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性</w:t>
            </w:r>
            <w:r>
              <w:rPr>
                <w:rFonts w:eastAsia="仿宋_GB2312"/>
                <w:color w:val="000000"/>
                <w:kern w:val="0"/>
                <w:szCs w:val="21"/>
              </w:rPr>
              <w:t>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维持村级稳定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人民群众认可度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  <w:lang w:val="en-US" w:eastAsia="zh-CN"/>
        </w:rPr>
        <w:t>潘啸</w:t>
      </w:r>
      <w:r>
        <w:rPr>
          <w:rFonts w:eastAsia="仿宋_GB2312"/>
          <w:sz w:val="22"/>
          <w:szCs w:val="22"/>
        </w:rPr>
        <w:t xml:space="preserve">    填报日期：</w:t>
      </w:r>
      <w:r>
        <w:rPr>
          <w:rFonts w:hint="eastAsia" w:eastAsia="仿宋_GB2312"/>
          <w:sz w:val="22"/>
          <w:szCs w:val="22"/>
          <w:lang w:val="en-US" w:eastAsia="zh-CN"/>
        </w:rPr>
        <w:t>2025.3.25</w:t>
      </w:r>
      <w:r>
        <w:rPr>
          <w:rFonts w:eastAsia="仿宋_GB2312"/>
          <w:sz w:val="22"/>
          <w:szCs w:val="22"/>
        </w:rPr>
        <w:t xml:space="preserve">     联系电话：</w:t>
      </w:r>
      <w:r>
        <w:rPr>
          <w:rFonts w:hint="eastAsia" w:eastAsia="仿宋_GB2312"/>
          <w:sz w:val="22"/>
          <w:szCs w:val="22"/>
          <w:lang w:val="en-US" w:eastAsia="zh-CN"/>
        </w:rPr>
        <w:t>15616234209</w:t>
      </w:r>
      <w:r>
        <w:rPr>
          <w:rFonts w:eastAsia="仿宋_GB2312"/>
          <w:sz w:val="22"/>
          <w:szCs w:val="22"/>
        </w:rPr>
        <w:t xml:space="preserve">     单位负责人签字：</w:t>
      </w:r>
      <w:r>
        <w:rPr>
          <w:rFonts w:hint="eastAsia" w:eastAsia="仿宋_GB2312"/>
          <w:sz w:val="22"/>
          <w:szCs w:val="22"/>
          <w:lang w:val="en-US" w:eastAsia="zh-CN"/>
        </w:rPr>
        <w:t>罗棋元</w:t>
      </w: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 xml:space="preserve">（ 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2024</w:t>
      </w:r>
      <w:r>
        <w:rPr>
          <w:rFonts w:eastAsia="仿宋_GB2312"/>
          <w:color w:val="000000"/>
          <w:kern w:val="0"/>
          <w:szCs w:val="21"/>
        </w:rPr>
        <w:t xml:space="preserve"> 年度）</w:t>
      </w:r>
    </w:p>
    <w:tbl>
      <w:tblPr>
        <w:tblStyle w:val="11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341"/>
        <w:gridCol w:w="1140"/>
        <w:gridCol w:w="1150"/>
        <w:gridCol w:w="689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2024年村干部绩效奖励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财政事务中心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洪江市茅渡乡人民政府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13.92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13.92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13.92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13.92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13.92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13.92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64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保障村干部的生活水平，吸引更多人才投身基层工作，提升已就业的村干部的工作积极性和稳定性，更好地为群众服务。</w:t>
            </w:r>
          </w:p>
        </w:tc>
        <w:tc>
          <w:tcPr>
            <w:tcW w:w="4130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及时足额拨付村干部绩效奖励</w:t>
            </w:r>
            <w:r>
              <w:rPr>
                <w:rFonts w:hint="eastAsia"/>
                <w:lang w:val="en-US" w:eastAsia="zh-CN"/>
              </w:rPr>
              <w:t>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保障村干部的生活水平，吸引更多人才投身基层工作，提升已就业的村干部的工作积极性和稳定性，更好地为群众服务。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村绩效考核优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秀人数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14人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14人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响应乡级各项工作的完成率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资金支付合规</w:t>
            </w:r>
            <w:r>
              <w:rPr>
                <w:rFonts w:hint="eastAsia" w:ascii="仿宋_GB2312" w:eastAsia="仿宋_GB2312"/>
                <w:kern w:val="0"/>
                <w:szCs w:val="21"/>
              </w:rPr>
              <w:t>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工作完成及时率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拨付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资金成本控制率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≤100%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</w:t>
            </w: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落实责任意识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性</w:t>
            </w:r>
            <w:r>
              <w:rPr>
                <w:rFonts w:eastAsia="仿宋_GB2312"/>
                <w:color w:val="000000"/>
                <w:kern w:val="0"/>
                <w:szCs w:val="21"/>
              </w:rPr>
              <w:t>影响指标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提高干部工作积极性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人民群众认可度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7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  <w:lang w:val="en-US" w:eastAsia="zh-CN"/>
        </w:rPr>
        <w:t>潘啸</w:t>
      </w:r>
      <w:r>
        <w:rPr>
          <w:rFonts w:eastAsia="仿宋_GB2312"/>
          <w:sz w:val="22"/>
          <w:szCs w:val="22"/>
        </w:rPr>
        <w:t xml:space="preserve">    填报日期：</w:t>
      </w:r>
      <w:r>
        <w:rPr>
          <w:rFonts w:hint="eastAsia" w:eastAsia="仿宋_GB2312"/>
          <w:sz w:val="22"/>
          <w:szCs w:val="22"/>
          <w:lang w:val="en-US" w:eastAsia="zh-CN"/>
        </w:rPr>
        <w:t>2025.3.25</w:t>
      </w:r>
      <w:r>
        <w:rPr>
          <w:rFonts w:eastAsia="仿宋_GB2312"/>
          <w:sz w:val="22"/>
          <w:szCs w:val="22"/>
        </w:rPr>
        <w:t xml:space="preserve">     联系电话：</w:t>
      </w:r>
      <w:r>
        <w:rPr>
          <w:rFonts w:hint="eastAsia" w:eastAsia="仿宋_GB2312"/>
          <w:sz w:val="22"/>
          <w:szCs w:val="22"/>
          <w:lang w:val="en-US" w:eastAsia="zh-CN"/>
        </w:rPr>
        <w:t>15616234209</w:t>
      </w:r>
      <w:r>
        <w:rPr>
          <w:rFonts w:eastAsia="仿宋_GB2312"/>
          <w:sz w:val="22"/>
          <w:szCs w:val="22"/>
        </w:rPr>
        <w:t xml:space="preserve">   单位负责人签字：</w:t>
      </w:r>
      <w:r>
        <w:rPr>
          <w:rFonts w:hint="eastAsia" w:eastAsia="仿宋_GB2312"/>
          <w:sz w:val="22"/>
          <w:szCs w:val="22"/>
          <w:lang w:val="en-US" w:eastAsia="zh-CN"/>
        </w:rPr>
        <w:t>罗棋元</w:t>
      </w: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 xml:space="preserve">（ 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2024</w:t>
      </w:r>
      <w:r>
        <w:rPr>
          <w:rFonts w:eastAsia="仿宋_GB2312"/>
          <w:color w:val="000000"/>
          <w:kern w:val="0"/>
          <w:szCs w:val="21"/>
        </w:rPr>
        <w:t xml:space="preserve"> 年度）</w:t>
      </w:r>
    </w:p>
    <w:tbl>
      <w:tblPr>
        <w:tblStyle w:val="11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2024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年遗属补助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财政事务中心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洪江市茅渡乡人民政府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1.7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1.7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1.7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保障遗属的基本生活水平，帮助遗属缓解经济压力。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每个季度按时将资金拨付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给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两位遗属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保障遗属的基本生活水平，帮助遗属缓解经济压力。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职工遗属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补助人数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补助标准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highlight w:val="none"/>
                <w:lang w:val="en-US" w:eastAsia="zh-CN"/>
              </w:rPr>
              <w:t>2070元/人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highlight w:val="none"/>
                <w:lang w:val="en-US" w:eastAsia="zh-CN"/>
              </w:rPr>
              <w:t>2070元/人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下拨经费符合政策规定比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例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工作完成及时率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成本控制率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</w:t>
            </w: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改善遗属生活水平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明显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eastAsia="仿宋_GB2312"/>
                <w:color w:val="000000"/>
                <w:kern w:val="0"/>
                <w:szCs w:val="21"/>
              </w:rPr>
              <w:t>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减缓遗属生活经济压力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效果显著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效果显著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人民群众认可度</w:t>
            </w: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default" w:ascii="黑体" w:hAnsi="黑体" w:eastAsia="仿宋_GB2312" w:cs="黑体"/>
          <w:color w:val="000000"/>
          <w:kern w:val="0"/>
          <w:sz w:val="44"/>
          <w:szCs w:val="44"/>
          <w:lang w:val="en-US" w:eastAsia="zh-CN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  <w:lang w:val="en-US" w:eastAsia="zh-CN"/>
        </w:rPr>
        <w:t>潘啸</w:t>
      </w:r>
      <w:r>
        <w:rPr>
          <w:rFonts w:eastAsia="仿宋_GB2312"/>
          <w:sz w:val="22"/>
          <w:szCs w:val="22"/>
        </w:rPr>
        <w:t xml:space="preserve">    填报日期：</w:t>
      </w:r>
      <w:r>
        <w:rPr>
          <w:rFonts w:hint="eastAsia" w:eastAsia="仿宋_GB2312"/>
          <w:sz w:val="22"/>
          <w:szCs w:val="22"/>
          <w:lang w:val="en-US" w:eastAsia="zh-CN"/>
        </w:rPr>
        <w:t>2025.3.25</w:t>
      </w:r>
      <w:r>
        <w:rPr>
          <w:rFonts w:eastAsia="仿宋_GB2312"/>
          <w:sz w:val="22"/>
          <w:szCs w:val="22"/>
        </w:rPr>
        <w:t xml:space="preserve">     联系电话：</w:t>
      </w:r>
      <w:r>
        <w:rPr>
          <w:rFonts w:hint="eastAsia" w:eastAsia="仿宋_GB2312"/>
          <w:sz w:val="22"/>
          <w:szCs w:val="22"/>
          <w:lang w:val="en-US" w:eastAsia="zh-CN"/>
        </w:rPr>
        <w:t>15616234209</w:t>
      </w:r>
      <w:r>
        <w:rPr>
          <w:rFonts w:eastAsia="仿宋_GB2312"/>
          <w:sz w:val="22"/>
          <w:szCs w:val="22"/>
        </w:rPr>
        <w:t xml:space="preserve">  单位负责人签字：</w:t>
      </w:r>
      <w:r>
        <w:rPr>
          <w:rFonts w:hint="eastAsia" w:eastAsia="仿宋_GB2312"/>
          <w:sz w:val="22"/>
          <w:szCs w:val="22"/>
          <w:lang w:val="en-US" w:eastAsia="zh-CN"/>
        </w:rPr>
        <w:t>罗棋元</w:t>
      </w: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 xml:space="preserve">（ 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2024</w:t>
      </w:r>
      <w:r>
        <w:rPr>
          <w:rFonts w:eastAsia="仿宋_GB2312"/>
          <w:color w:val="000000"/>
          <w:kern w:val="0"/>
          <w:szCs w:val="21"/>
        </w:rPr>
        <w:t xml:space="preserve"> 年度）</w:t>
      </w:r>
    </w:p>
    <w:tbl>
      <w:tblPr>
        <w:tblStyle w:val="11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2024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年乡镇工作补贴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财政事务中心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洪江市茅渡乡人民政府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及时足额拨付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乡镇工作补贴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，保障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职工干部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的基本生活。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调动干部工作积极性，提升工作效率和效果。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每个季度按时将资金拨付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给乡镇职工干部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调动干部工作积极性，提升工作效率和效果。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拨付资金至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所有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职工覆盖率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人均补贴发放标准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highlight w:val="none"/>
                <w:lang w:val="en-US" w:eastAsia="zh-CN"/>
              </w:rPr>
              <w:t>900元/人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highlight w:val="none"/>
                <w:lang w:val="en-US" w:eastAsia="zh-CN"/>
              </w:rPr>
              <w:t>900元/人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资金支付合规率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工作完成及时率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成本控制率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</w:t>
            </w: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提高人员稳定性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效果显著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效果显著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性</w:t>
            </w:r>
            <w:r>
              <w:rPr>
                <w:rFonts w:eastAsia="仿宋_GB2312"/>
                <w:color w:val="000000"/>
                <w:kern w:val="0"/>
                <w:szCs w:val="21"/>
              </w:rPr>
              <w:t>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提高工作积极性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效果显著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效果显著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人民群众认可度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  <w:lang w:val="en-US" w:eastAsia="zh-CN"/>
        </w:rPr>
        <w:t>潘啸</w:t>
      </w:r>
      <w:r>
        <w:rPr>
          <w:rFonts w:eastAsia="仿宋_GB2312"/>
          <w:sz w:val="22"/>
          <w:szCs w:val="22"/>
        </w:rPr>
        <w:t xml:space="preserve">    填报日期：</w:t>
      </w:r>
      <w:r>
        <w:rPr>
          <w:rFonts w:hint="eastAsia" w:eastAsia="仿宋_GB2312"/>
          <w:sz w:val="22"/>
          <w:szCs w:val="22"/>
          <w:lang w:val="en-US" w:eastAsia="zh-CN"/>
        </w:rPr>
        <w:t>2025.3.25</w:t>
      </w:r>
      <w:r>
        <w:rPr>
          <w:rFonts w:eastAsia="仿宋_GB2312"/>
          <w:sz w:val="22"/>
          <w:szCs w:val="22"/>
        </w:rPr>
        <w:t xml:space="preserve">     联系电话：</w:t>
      </w:r>
      <w:r>
        <w:rPr>
          <w:rFonts w:hint="eastAsia" w:eastAsia="仿宋_GB2312"/>
          <w:sz w:val="22"/>
          <w:szCs w:val="22"/>
          <w:lang w:val="en-US" w:eastAsia="zh-CN"/>
        </w:rPr>
        <w:t>15616234209</w:t>
      </w:r>
      <w:r>
        <w:rPr>
          <w:rFonts w:eastAsia="仿宋_GB2312"/>
          <w:sz w:val="22"/>
          <w:szCs w:val="22"/>
        </w:rPr>
        <w:t xml:space="preserve">     单位负责人签字：</w:t>
      </w:r>
      <w:r>
        <w:rPr>
          <w:rFonts w:hint="eastAsia" w:eastAsia="仿宋_GB2312"/>
          <w:sz w:val="22"/>
          <w:szCs w:val="22"/>
          <w:lang w:val="en-US" w:eastAsia="zh-CN"/>
        </w:rPr>
        <w:t>罗棋元</w:t>
      </w: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项目支出绩效自评表</w:t>
      </w:r>
    </w:p>
    <w:p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 xml:space="preserve">（ </w:t>
      </w:r>
      <w:r>
        <w:rPr>
          <w:rFonts w:hint="eastAsia" w:eastAsia="仿宋_GB2312"/>
          <w:color w:val="000000"/>
          <w:kern w:val="0"/>
          <w:szCs w:val="21"/>
          <w:lang w:val="en-US" w:eastAsia="zh-CN"/>
        </w:rPr>
        <w:t>2024</w:t>
      </w:r>
      <w:r>
        <w:rPr>
          <w:rFonts w:eastAsia="仿宋_GB2312"/>
          <w:color w:val="000000"/>
          <w:kern w:val="0"/>
          <w:szCs w:val="21"/>
        </w:rPr>
        <w:t xml:space="preserve"> 年度）</w:t>
      </w:r>
    </w:p>
    <w:tbl>
      <w:tblPr>
        <w:tblStyle w:val="11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2024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年非税执收成本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财政事务中心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洪江市茅渡乡人民政府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拨付</w:t>
            </w:r>
            <w:r>
              <w:rPr>
                <w:rFonts w:hint="eastAsia" w:ascii="仿宋_GB2312" w:eastAsia="仿宋_GB2312"/>
                <w:kern w:val="0"/>
                <w:szCs w:val="21"/>
              </w:rPr>
              <w:t>非税执收成本资金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加强非税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执收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力度，提升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非税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执收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效率和效果。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2024年年度内，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已经</w:t>
            </w:r>
            <w:r>
              <w:rPr>
                <w:rFonts w:hint="eastAsia" w:ascii="仿宋_GB2312" w:eastAsia="仿宋_GB2312"/>
                <w:kern w:val="0"/>
                <w:szCs w:val="21"/>
              </w:rPr>
              <w:t>完成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本年度</w:t>
            </w:r>
            <w:r>
              <w:rPr>
                <w:rFonts w:hint="eastAsia" w:ascii="仿宋_GB2312" w:eastAsia="仿宋_GB2312"/>
                <w:kern w:val="0"/>
                <w:szCs w:val="21"/>
              </w:rPr>
              <w:t>非税执收成本资金的拨付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有效加强了非税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执收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力度，提升了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非税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执收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效率和效果。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执收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宣传经费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≤1万</w:t>
            </w:r>
            <w:r>
              <w:rPr>
                <w:rFonts w:hint="eastAsia"/>
                <w:lang w:val="en-US" w:eastAsia="zh-CN"/>
              </w:rPr>
              <w:t>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收取公经费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≤0.5万元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0.2万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资金支付合规率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工作完成及时率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Times New Roman"/>
                <w:color w:val="000000"/>
                <w:kern w:val="0"/>
                <w:szCs w:val="21"/>
                <w:lang w:val="en-US" w:eastAsia="zh-CN"/>
              </w:rPr>
              <w:t>成本控制率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社会</w:t>
            </w: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保障非税收入顺利收缴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效果显著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效果显著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</w:t>
            </w:r>
            <w:r>
              <w:rPr>
                <w:rFonts w:hint="eastAsia"/>
                <w:lang w:val="en-US" w:eastAsia="zh-CN"/>
              </w:rPr>
              <w:t>性</w:t>
            </w:r>
            <w:r>
              <w:rPr>
                <w:rFonts w:eastAsia="仿宋_GB2312"/>
                <w:color w:val="000000"/>
                <w:kern w:val="0"/>
                <w:szCs w:val="21"/>
              </w:rPr>
              <w:t>影响指标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促进</w:t>
            </w:r>
            <w:r>
              <w:rPr>
                <w:rFonts w:hint="eastAsia" w:ascii="仿宋_GB2312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乡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域经济持续发展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效果显著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效果显著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人民群众认可度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≥90%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90%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 w:eastAsia="仿宋_GB2312"/>
          <w:sz w:val="22"/>
          <w:szCs w:val="22"/>
        </w:rPr>
      </w:pPr>
      <w:r>
        <w:rPr>
          <w:rFonts w:eastAsia="仿宋_GB2312"/>
          <w:sz w:val="22"/>
          <w:szCs w:val="22"/>
        </w:rPr>
        <w:t>填表人：</w:t>
      </w:r>
      <w:r>
        <w:rPr>
          <w:rFonts w:hint="eastAsia" w:eastAsia="仿宋_GB2312"/>
          <w:sz w:val="22"/>
          <w:szCs w:val="22"/>
          <w:lang w:val="en-US" w:eastAsia="zh-CN"/>
        </w:rPr>
        <w:t>潘啸</w:t>
      </w:r>
      <w:r>
        <w:rPr>
          <w:rFonts w:eastAsia="仿宋_GB2312"/>
          <w:sz w:val="22"/>
          <w:szCs w:val="22"/>
        </w:rPr>
        <w:t xml:space="preserve">    填报日期：</w:t>
      </w:r>
      <w:r>
        <w:rPr>
          <w:rFonts w:hint="eastAsia" w:eastAsia="仿宋_GB2312"/>
          <w:sz w:val="22"/>
          <w:szCs w:val="22"/>
          <w:lang w:val="en-US" w:eastAsia="zh-CN"/>
        </w:rPr>
        <w:t>2025.3.25</w:t>
      </w:r>
      <w:r>
        <w:rPr>
          <w:rFonts w:eastAsia="仿宋_GB2312"/>
          <w:sz w:val="22"/>
          <w:szCs w:val="22"/>
        </w:rPr>
        <w:t xml:space="preserve">     联系电话：</w:t>
      </w:r>
      <w:r>
        <w:rPr>
          <w:rFonts w:hint="eastAsia" w:eastAsia="仿宋_GB2312"/>
          <w:sz w:val="22"/>
          <w:szCs w:val="22"/>
          <w:lang w:val="en-US" w:eastAsia="zh-CN"/>
        </w:rPr>
        <w:t>15616234209</w:t>
      </w:r>
      <w:r>
        <w:rPr>
          <w:rFonts w:eastAsia="仿宋_GB2312"/>
          <w:sz w:val="22"/>
          <w:szCs w:val="22"/>
        </w:rPr>
        <w:t xml:space="preserve">     单位负责人签字：</w:t>
      </w:r>
      <w:r>
        <w:rPr>
          <w:rFonts w:hint="eastAsia" w:eastAsia="仿宋_GB2312"/>
          <w:sz w:val="22"/>
          <w:szCs w:val="22"/>
          <w:lang w:val="en-US" w:eastAsia="zh-CN"/>
        </w:rPr>
        <w:t>罗棋元</w:t>
      </w:r>
    </w:p>
    <w:p>
      <w:pPr>
        <w:widowControl/>
        <w:spacing w:line="600" w:lineRule="exact"/>
        <w:jc w:val="right"/>
        <w:rPr>
          <w:sz w:val="72"/>
          <w:szCs w:val="7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D62ECE"/>
    <w:multiLevelType w:val="singleLevel"/>
    <w:tmpl w:val="03D62EC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B654F3"/>
    <w:multiLevelType w:val="singleLevel"/>
    <w:tmpl w:val="25B654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YWE2MGQ1MmIxZTEwY2MxZGZjZjg5OGNkNjgyODkifQ=="/>
  </w:docVars>
  <w:rsids>
    <w:rsidRoot w:val="00000000"/>
    <w:rsid w:val="11900FDC"/>
    <w:rsid w:val="140E7208"/>
    <w:rsid w:val="18C52AD8"/>
    <w:rsid w:val="1C04657F"/>
    <w:rsid w:val="1C950AD9"/>
    <w:rsid w:val="2C905FCF"/>
    <w:rsid w:val="2E6B6684"/>
    <w:rsid w:val="3F52287D"/>
    <w:rsid w:val="426B59C4"/>
    <w:rsid w:val="48A91207"/>
    <w:rsid w:val="50216F73"/>
    <w:rsid w:val="59BF156E"/>
    <w:rsid w:val="65EF7919"/>
    <w:rsid w:val="72B76C29"/>
    <w:rsid w:val="74C51996"/>
    <w:rsid w:val="79FA674E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Body Text Indent 2"/>
    <w:basedOn w:val="1"/>
    <w:next w:val="5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 w:val="0"/>
      <w:autoSpaceDN w:val="0"/>
      <w:bidi w:val="0"/>
      <w:adjustRightInd/>
      <w:snapToGrid/>
      <w:spacing w:before="0" w:beforeAutospacing="0" w:after="0" w:afterAutospacing="0" w:line="360" w:lineRule="auto"/>
      <w:ind w:left="0" w:right="0" w:firstLine="200" w:firstLineChars="200"/>
      <w:jc w:val="both"/>
      <w:textAlignment w:val="auto"/>
      <w:outlineLvl w:val="9"/>
    </w:pPr>
    <w:rPr>
      <w:rFonts w:ascii="Times New Roman" w:hAnsi="Times New Roman" w:eastAsia="宋体" w:cs="Times New Roman"/>
      <w:snapToGrid/>
      <w:color w:val="auto"/>
      <w:spacing w:val="0"/>
      <w:kern w:val="2"/>
      <w:position w:val="0"/>
      <w:sz w:val="30"/>
      <w:szCs w:val="30"/>
      <w:u w:val="none" w:color="auto"/>
      <w:vertAlign w:val="baseline"/>
      <w:lang w:val="en-US" w:eastAsia="zh-CN" w:bidi="ar-SA"/>
    </w:rPr>
  </w:style>
  <w:style w:type="paragraph" w:customStyle="1" w:styleId="5">
    <w:name w:val="p0"/>
    <w:next w:val="6"/>
    <w:qFormat/>
    <w:uiPriority w:val="0"/>
    <w:pPr>
      <w:spacing w:line="365" w:lineRule="atLeast"/>
      <w:ind w:left="1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6">
    <w:name w:val="header"/>
    <w:basedOn w:val="1"/>
    <w:next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页眉 Char"/>
    <w:basedOn w:val="13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22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5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7.xml"/><Relationship Id="rId10" Type="http://schemas.openxmlformats.org/officeDocument/2006/relationships/customXml" Target="../customXml/item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34658EA7D7901A5A25723167966B0906_43</vt:lpwstr>
  </property>
  <property fmtid="{D5CDD505-2E9C-101B-9397-08002B2CF9AE}" pid="4" name="KSOTemplateDocerSaveRecord">
    <vt:lpwstr>eyJoZGlkIjoiMDhhYWE2MGQ1MmIxZTEwY2MxZGZjZjg5OGNkNjgyODkiLCJ1c2VySWQiOiI0OTc2ODQwNTMifQ==</vt:lpwstr>
  </property>
</Properties>
</file>

<file path=customXml/item3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34</Pages>
  <Words>11629</Words>
  <Characters>12768</Characters>
  <Lines>63</Lines>
  <Paragraphs>18</Paragraphs>
  <TotalTime>14</TotalTime>
  <ScaleCrop>false</ScaleCrop>
  <LinksUpToDate>false</LinksUpToDate>
  <CharactersWithSpaces>12971</CharactersWithSpaces>
  <Application>WPS Office_12.1.0.23125_F1E327BC-269C-435d-A152-05C5408002CA</Application>
  <DocSecurity>0</DocSecurity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2020-07-08T10:32:00Z</dcterms:created>
  <dc:creator>李航 null</dc:creator>
  <cp:lastModifiedBy>Lk</cp:lastModifiedBy>
  <cp:lastPrinted>2024-08-08T18:20:00Z</cp:lastPrinted>
  <dcterms:modified xsi:type="dcterms:W3CDTF">2025-10-27T08:11:21Z</dcterms:modified>
  <cp:revision>67</cp:revision>
</cp:coreProperties>
</file>

<file path=customXml/item5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2052-12.1.0.23125</vt:lpwstr>
  </property>
  <property fmtid="{D5CDD505-2E9C-101B-9397-08002B2CF9AE}" pid="3" name="ICV">
    <vt:lpwstr>34658EA7D7901A5A25723167966B0906_43</vt:lpwstr>
  </property>
  <property fmtid="{D5CDD505-2E9C-101B-9397-08002B2CF9AE}" pid="4" name="KSOTemplateDocerSaveRecord">
    <vt:lpwstr>eyJoZGlkIjoiMDhhYWE2MGQ1MmIxZTEwY2MxZGZjZjg5OGNkNjgyODkiLCJ1c2VySWQiOiI0OTc2ODQwNTMifQ_x003D__x003D_</vt:lpwstr>
  </property>
</Properties>
</file>

<file path=customXml/item6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34</Pages>
  <Words>11629</Words>
  <Characters>12768</Characters>
  <Application>WPS Office_12.1.0.23125_F1E327BC-269C-435d-A152-05C5408002CA</Application>
  <DocSecurity>0</DocSecurity>
  <Lines>63</Lines>
  <Paragraphs>18</Paragraphs>
  <Company>Microsoft</Company>
  <CharactersWithSpaces>12971</CharactersWithSpaces>
  <AppVersion>14.0000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Lk</cp:lastModifiedBy>
  <cp:revision>67</cp:revision>
  <cp:lastPrinted>2024-08-08T18:20:00Z</cp:lastPrinted>
  <dcterms:created xsi:type="dcterms:W3CDTF">2020-07-08T10:32:00Z</dcterms:created>
  <dcterms:modified xsi:type="dcterms:W3CDTF">2025-10-30T08:00:57Z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712363-57cd-4a78-9d12-a968d82fa425}">
  <ds:schemaRefs/>
</ds:datastoreItem>
</file>

<file path=customXml/itemProps3.xml><?xml version="1.0" encoding="utf-8"?>
<ds:datastoreItem xmlns:ds="http://schemas.openxmlformats.org/officeDocument/2006/customXml" ds:itemID="{1fea4367-0c9e-4a8e-b6c4-3eeccc8df530}">
  <ds:schemaRefs/>
</ds:datastoreItem>
</file>

<file path=customXml/itemProps4.xml><?xml version="1.0" encoding="utf-8"?>
<ds:datastoreItem xmlns:ds="http://schemas.openxmlformats.org/officeDocument/2006/customXml" ds:itemID="{799f0c52-dcfd-4698-8ac1-dd5d6f3c3096}">
  <ds:schemaRefs/>
</ds:datastoreItem>
</file>

<file path=customXml/itemProps5.xml><?xml version="1.0" encoding="utf-8"?>
<ds:datastoreItem xmlns:ds="http://schemas.openxmlformats.org/officeDocument/2006/customXml" ds:itemID="{8cc5fd38-49e5-42f9-a2f4-4fec93b78b6c}">
  <ds:schemaRefs/>
</ds:datastoreItem>
</file>

<file path=customXml/itemProps6.xml><?xml version="1.0" encoding="utf-8"?>
<ds:datastoreItem xmlns:ds="http://schemas.openxmlformats.org/officeDocument/2006/customXml" ds:itemID="{b0107b31-e944-4dff-872d-0e54815eea52}">
  <ds:schemaRefs/>
</ds:datastoreItem>
</file>

<file path=customXml/itemProps7.xml><?xml version="1.0" encoding="utf-8"?>
<ds:datastoreItem xmlns:ds="http://schemas.openxmlformats.org/officeDocument/2006/customXml" ds:itemID="{f7d659e5-a1db-4d41-abac-04e2c01917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8447</Words>
  <Characters>9213</Characters>
  <Lines>63</Lines>
  <Paragraphs>18</Paragraphs>
  <TotalTime>43</TotalTime>
  <ScaleCrop>false</ScaleCrop>
  <LinksUpToDate>false</LinksUpToDate>
  <CharactersWithSpaces>9233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2020-07-08T10:32:00Z</dcterms:created>
  <dc:creator>李航 null</dc:creator>
  <cp:lastModifiedBy>歌者莫姓胡</cp:lastModifiedBy>
  <cp:lastPrinted>2024-08-08T18:20:00Z</cp:lastPrinted>
  <dcterms:modified xsi:type="dcterms:W3CDTF">2025-11-06T03:09:39Z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727FEA05127A4C54B441D058C9C94723_13</vt:lpwstr>
  </property>
  <property fmtid="{D5CDD505-2E9C-101B-9397-08002B2CF9AE}" pid="4" name="KSOTemplateDocerSaveRecord">
    <vt:lpwstr>eyJoZGlkIjoiMTQyYjZmOGRjYTVkNjAzYzljOThlMmFkOWYyMWRhM2EiLCJ1c2VySWQiOiIxNTg0NjMxMzU1In0=</vt:lpwstr>
  </property>
</Properties>
</file>