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sz w:val="56"/>
          <w:szCs w:val="56"/>
        </w:rPr>
      </w:pPr>
    </w:p>
    <w:p>
      <w:pPr>
        <w:pStyle w:val="6"/>
        <w:jc w:val="center"/>
        <w:rPr>
          <w:sz w:val="56"/>
          <w:szCs w:val="56"/>
        </w:rPr>
      </w:pPr>
    </w:p>
    <w:p>
      <w:pPr>
        <w:pStyle w:val="6"/>
        <w:jc w:val="center"/>
        <w:rPr>
          <w:sz w:val="84"/>
          <w:szCs w:val="84"/>
        </w:rPr>
      </w:pPr>
    </w:p>
    <w:p>
      <w:pPr>
        <w:pStyle w:val="6"/>
        <w:jc w:val="center"/>
        <w:rPr>
          <w:sz w:val="84"/>
          <w:szCs w:val="84"/>
        </w:rPr>
      </w:pPr>
    </w:p>
    <w:p>
      <w:pPr>
        <w:pStyle w:val="6"/>
        <w:jc w:val="center"/>
        <w:rPr>
          <w:sz w:val="84"/>
          <w:szCs w:val="84"/>
        </w:rPr>
      </w:pPr>
      <w:r>
        <w:rPr>
          <w:rFonts w:hint="eastAsia"/>
          <w:sz w:val="84"/>
          <w:szCs w:val="84"/>
        </w:rPr>
        <w:t>2020年度</w:t>
      </w:r>
    </w:p>
    <w:p>
      <w:pPr>
        <w:pStyle w:val="6"/>
        <w:jc w:val="center"/>
        <w:rPr>
          <w:rFonts w:hint="eastAsia"/>
          <w:sz w:val="84"/>
          <w:szCs w:val="84"/>
        </w:rPr>
      </w:pPr>
      <w:r>
        <w:rPr>
          <w:rFonts w:hint="eastAsia"/>
          <w:sz w:val="84"/>
          <w:szCs w:val="84"/>
          <w:lang w:eastAsia="zh-CN"/>
        </w:rPr>
        <w:t>沙湾乡人民政府</w:t>
      </w:r>
      <w:r>
        <w:rPr>
          <w:rFonts w:hint="eastAsia"/>
          <w:sz w:val="84"/>
          <w:szCs w:val="84"/>
        </w:rPr>
        <w:t>决算</w:t>
      </w:r>
    </w:p>
    <w:p>
      <w:pPr>
        <w:pStyle w:val="6"/>
        <w:jc w:val="center"/>
        <w:rPr>
          <w:rFonts w:hint="eastAsia"/>
          <w:sz w:val="84"/>
          <w:szCs w:val="84"/>
        </w:rPr>
      </w:pPr>
    </w:p>
    <w:p>
      <w:pPr>
        <w:pStyle w:val="6"/>
        <w:jc w:val="center"/>
        <w:rPr>
          <w:sz w:val="32"/>
          <w:szCs w:val="32"/>
        </w:rPr>
      </w:pPr>
    </w:p>
    <w:p>
      <w:pPr>
        <w:pStyle w:val="6"/>
        <w:jc w:val="center"/>
        <w:rPr>
          <w:sz w:val="32"/>
          <w:szCs w:val="32"/>
        </w:rPr>
      </w:pPr>
    </w:p>
    <w:p>
      <w:pPr>
        <w:pStyle w:val="6"/>
        <w:spacing w:line="540" w:lineRule="exact"/>
        <w:jc w:val="center"/>
        <w:rPr>
          <w:sz w:val="56"/>
          <w:szCs w:val="56"/>
        </w:rPr>
      </w:pPr>
    </w:p>
    <w:p>
      <w:pPr>
        <w:pStyle w:val="6"/>
        <w:spacing w:line="500" w:lineRule="exact"/>
        <w:jc w:val="center"/>
        <w:rPr>
          <w:b/>
          <w:sz w:val="36"/>
          <w:szCs w:val="28"/>
        </w:rPr>
      </w:pPr>
    </w:p>
    <w:p>
      <w:pPr>
        <w:pStyle w:val="6"/>
        <w:spacing w:line="500" w:lineRule="exact"/>
        <w:jc w:val="center"/>
        <w:rPr>
          <w:b/>
          <w:sz w:val="36"/>
          <w:szCs w:val="28"/>
        </w:rPr>
      </w:pPr>
    </w:p>
    <w:p>
      <w:pPr>
        <w:pStyle w:val="6"/>
        <w:spacing w:line="500" w:lineRule="exact"/>
        <w:jc w:val="center"/>
        <w:rPr>
          <w:b/>
          <w:sz w:val="36"/>
          <w:szCs w:val="28"/>
        </w:rPr>
      </w:pPr>
      <w:r>
        <w:rPr>
          <w:rFonts w:hint="eastAsia"/>
          <w:b/>
          <w:sz w:val="36"/>
          <w:szCs w:val="28"/>
        </w:rPr>
        <w:t>目录</w:t>
      </w:r>
    </w:p>
    <w:p>
      <w:pPr>
        <w:pStyle w:val="6"/>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沙湾乡人民政府</w:t>
      </w:r>
      <w:r>
        <w:rPr>
          <w:rFonts w:hint="eastAsia"/>
          <w:b/>
          <w:sz w:val="28"/>
          <w:szCs w:val="28"/>
        </w:rPr>
        <w:t>概况</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6"/>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6"/>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6"/>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6"/>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6"/>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6"/>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6"/>
        <w:jc w:val="center"/>
        <w:rPr>
          <w:sz w:val="84"/>
          <w:szCs w:val="84"/>
        </w:rPr>
      </w:pPr>
      <w:r>
        <w:rPr>
          <w:rFonts w:hint="eastAsia"/>
          <w:sz w:val="84"/>
          <w:szCs w:val="84"/>
        </w:rPr>
        <w:t>第一部分</w:t>
      </w:r>
      <w:r>
        <w:rPr>
          <w:sz w:val="84"/>
          <w:szCs w:val="84"/>
        </w:rPr>
        <w:t xml:space="preserve"> </w:t>
      </w:r>
    </w:p>
    <w:p>
      <w:pPr>
        <w:pStyle w:val="6"/>
        <w:jc w:val="center"/>
        <w:rPr>
          <w:sz w:val="84"/>
          <w:szCs w:val="84"/>
        </w:rPr>
      </w:pPr>
    </w:p>
    <w:p>
      <w:pPr>
        <w:pStyle w:val="6"/>
        <w:jc w:val="center"/>
        <w:rPr>
          <w:sz w:val="84"/>
          <w:szCs w:val="84"/>
        </w:rPr>
      </w:pPr>
      <w:r>
        <w:rPr>
          <w:rFonts w:hint="eastAsia"/>
          <w:sz w:val="84"/>
          <w:szCs w:val="84"/>
          <w:lang w:eastAsia="zh-CN"/>
        </w:rPr>
        <w:t>沙湾乡人民政府</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7"/>
        <w:ind w:left="720" w:firstLine="0" w:firstLineChars="0"/>
        <w:jc w:val="left"/>
        <w:rPr>
          <w:rFonts w:ascii="黑体" w:hAnsi="黑体" w:eastAsia="黑体"/>
          <w:sz w:val="32"/>
          <w:szCs w:val="32"/>
        </w:rPr>
      </w:pPr>
    </w:p>
    <w:p>
      <w:pPr>
        <w:pStyle w:val="7"/>
        <w:ind w:left="720" w:firstLine="0" w:firstLineChars="0"/>
        <w:jc w:val="left"/>
        <w:rPr>
          <w:rFonts w:ascii="黑体" w:hAnsi="黑体" w:eastAsia="黑体"/>
          <w:sz w:val="32"/>
          <w:szCs w:val="32"/>
        </w:rPr>
      </w:pPr>
    </w:p>
    <w:p>
      <w:pPr>
        <w:pStyle w:val="7"/>
        <w:ind w:left="720" w:firstLine="0" w:firstLineChars="0"/>
        <w:jc w:val="left"/>
        <w:rPr>
          <w:rFonts w:ascii="黑体" w:hAnsi="黑体" w:eastAsia="黑体"/>
          <w:sz w:val="32"/>
          <w:szCs w:val="32"/>
        </w:rPr>
      </w:pPr>
    </w:p>
    <w:p>
      <w:pPr>
        <w:pStyle w:val="7"/>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沙湾</w:t>
      </w:r>
      <w:r>
        <w:rPr>
          <w:rFonts w:hint="eastAsia" w:asciiTheme="minorEastAsia" w:hAnsiTheme="minorEastAsia" w:eastAsiaTheme="minorEastAsia"/>
          <w:sz w:val="32"/>
          <w:szCs w:val="32"/>
          <w:lang w:val="en-US" w:eastAsia="zh-CN"/>
        </w:rPr>
        <w:t>乡位于</w:t>
      </w:r>
      <w:r>
        <w:rPr>
          <w:rFonts w:hint="eastAsia" w:asciiTheme="minorEastAsia" w:hAnsiTheme="minorEastAsia"/>
          <w:sz w:val="32"/>
          <w:szCs w:val="32"/>
          <w:lang w:val="en-US" w:eastAsia="zh-CN"/>
        </w:rPr>
        <w:t>沅江中游</w:t>
      </w:r>
      <w:r>
        <w:rPr>
          <w:rFonts w:hint="eastAsia" w:asciiTheme="minorEastAsia" w:hAnsiTheme="minorEastAsia" w:eastAsiaTheme="minorEastAsia"/>
          <w:sz w:val="32"/>
          <w:szCs w:val="32"/>
          <w:lang w:val="en-US" w:eastAsia="zh-CN"/>
        </w:rPr>
        <w:t>，现辖</w:t>
      </w:r>
      <w:r>
        <w:rPr>
          <w:rFonts w:hint="eastAsia" w:asciiTheme="minorEastAsia" w:hAnsiTheme="minorEastAsia"/>
          <w:sz w:val="32"/>
          <w:szCs w:val="32"/>
          <w:lang w:val="en-US" w:eastAsia="zh-CN"/>
        </w:rPr>
        <w:t>9</w:t>
      </w:r>
      <w:r>
        <w:rPr>
          <w:rFonts w:hint="eastAsia" w:asciiTheme="minorEastAsia" w:hAnsiTheme="minorEastAsia" w:eastAsiaTheme="minorEastAsia"/>
          <w:sz w:val="32"/>
          <w:szCs w:val="32"/>
          <w:lang w:val="en-US" w:eastAsia="zh-CN"/>
        </w:rPr>
        <w:t>个行政村，总人口约</w:t>
      </w:r>
      <w:r>
        <w:rPr>
          <w:rFonts w:hint="eastAsia" w:asciiTheme="minorEastAsia" w:hAnsiTheme="minorEastAsia"/>
          <w:sz w:val="32"/>
          <w:szCs w:val="32"/>
          <w:lang w:val="en-US" w:eastAsia="zh-CN"/>
        </w:rPr>
        <w:t>2.1</w:t>
      </w:r>
      <w:r>
        <w:rPr>
          <w:rFonts w:hint="eastAsia" w:asciiTheme="minorEastAsia" w:hAnsiTheme="minorEastAsia" w:eastAsiaTheme="minorEastAsia"/>
          <w:sz w:val="32"/>
          <w:szCs w:val="32"/>
          <w:lang w:val="en-US" w:eastAsia="zh-CN"/>
        </w:rPr>
        <w:t>万人，乡政府驻</w:t>
      </w:r>
      <w:r>
        <w:rPr>
          <w:rFonts w:hint="eastAsia" w:asciiTheme="minorEastAsia" w:hAnsiTheme="minorEastAsia"/>
          <w:sz w:val="32"/>
          <w:szCs w:val="32"/>
          <w:lang w:val="en-US" w:eastAsia="zh-CN"/>
        </w:rPr>
        <w:t>沙湾社区</w:t>
      </w:r>
      <w:r>
        <w:rPr>
          <w:rFonts w:hint="eastAsia" w:asciiTheme="minorEastAsia" w:hAnsiTheme="minorEastAsia" w:eastAsiaTheme="minorEastAsia"/>
          <w:sz w:val="32"/>
          <w:szCs w:val="32"/>
          <w:lang w:val="en-US" w:eastAsia="zh-CN"/>
        </w:rPr>
        <w:t>。乡政府负责制定和组织实施经济、科技和社会发展计划，促进经济发展；制定并组织实施村乡建设规划，部署重点工程建设；负责本行政区域内的民政、文化教育、卫生、体育等社会公益事业的综合性工作；按计划组织本级财政收入和地方税的征收，完成国家的财政计划，管好财政资金，增强财政实力；抓精神文明建设，丰富群众文化活动，树立社会主义新风尚。</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napToGrid w:val="0"/>
        <w:spacing w:line="520" w:lineRule="exact"/>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（一）内设机构设置。</w:t>
      </w:r>
      <w:r>
        <w:rPr>
          <w:rFonts w:hint="eastAsia" w:asciiTheme="minorEastAsia" w:hAnsiTheme="minorEastAsia"/>
          <w:sz w:val="32"/>
          <w:szCs w:val="32"/>
          <w:lang w:val="en-US" w:eastAsia="zh-CN"/>
        </w:rPr>
        <w:t>沙湾</w:t>
      </w:r>
      <w:r>
        <w:rPr>
          <w:rFonts w:hint="eastAsia" w:asciiTheme="minorEastAsia" w:hAnsiTheme="minorEastAsia" w:eastAsiaTheme="minorEastAsia"/>
          <w:sz w:val="32"/>
          <w:szCs w:val="32"/>
          <w:lang w:val="en-US" w:eastAsia="zh-CN"/>
        </w:rPr>
        <w:t>乡人民政府内设机构包括：政府机关，人口与计划生育服务站，综治维稳站，财政所，农业服务站，社会事业服务站，规划建设国土环保服务站。人员情况：全乡镇共有公职人员</w:t>
      </w:r>
      <w:r>
        <w:rPr>
          <w:rFonts w:hint="eastAsia" w:asciiTheme="minorEastAsia" w:hAnsiTheme="minorEastAsia"/>
          <w:sz w:val="32"/>
          <w:szCs w:val="32"/>
          <w:lang w:val="en-US" w:eastAsia="zh-CN"/>
        </w:rPr>
        <w:t>50</w:t>
      </w:r>
      <w:r>
        <w:rPr>
          <w:rFonts w:hint="eastAsia" w:asciiTheme="minorEastAsia" w:hAnsiTheme="minorEastAsia" w:eastAsiaTheme="minorEastAsia"/>
          <w:sz w:val="32"/>
          <w:szCs w:val="32"/>
          <w:lang w:val="en-US" w:eastAsia="zh-CN"/>
        </w:rPr>
        <w:t>人，与201</w:t>
      </w:r>
      <w:r>
        <w:rPr>
          <w:rFonts w:hint="eastAsia" w:asciiTheme="minorEastAsia" w:hAnsiTheme="minorEastAsia"/>
          <w:sz w:val="32"/>
          <w:szCs w:val="32"/>
          <w:lang w:val="en-US" w:eastAsia="zh-CN"/>
        </w:rPr>
        <w:t>9</w:t>
      </w:r>
      <w:r>
        <w:rPr>
          <w:rFonts w:hint="eastAsia" w:asciiTheme="minorEastAsia" w:hAnsiTheme="minorEastAsia" w:eastAsiaTheme="minorEastAsia"/>
          <w:sz w:val="32"/>
          <w:szCs w:val="32"/>
          <w:lang w:val="en-US" w:eastAsia="zh-CN"/>
        </w:rPr>
        <w:t>年度相比增加</w:t>
      </w:r>
      <w:r>
        <w:rPr>
          <w:rFonts w:hint="eastAsia" w:asciiTheme="minorEastAsia" w:hAnsiTheme="minorEastAsia"/>
          <w:sz w:val="32"/>
          <w:szCs w:val="32"/>
          <w:lang w:val="en-US" w:eastAsia="zh-CN"/>
        </w:rPr>
        <w:t>1</w:t>
      </w:r>
      <w:r>
        <w:rPr>
          <w:rFonts w:hint="eastAsia" w:asciiTheme="minorEastAsia" w:hAnsiTheme="minorEastAsia" w:eastAsiaTheme="minorEastAsia"/>
          <w:sz w:val="32"/>
          <w:szCs w:val="32"/>
          <w:lang w:val="en-US" w:eastAsia="zh-CN"/>
        </w:rPr>
        <w:t>人，其中</w:t>
      </w:r>
      <w:r>
        <w:rPr>
          <w:rFonts w:hint="eastAsia" w:asciiTheme="minorEastAsia" w:hAnsiTheme="minorEastAsia"/>
          <w:sz w:val="32"/>
          <w:szCs w:val="32"/>
          <w:lang w:val="en-US" w:eastAsia="zh-CN"/>
        </w:rPr>
        <w:t>2020</w:t>
      </w:r>
      <w:r>
        <w:rPr>
          <w:rFonts w:hint="eastAsia" w:asciiTheme="minorEastAsia" w:hAnsiTheme="minorEastAsia" w:eastAsiaTheme="minorEastAsia"/>
          <w:sz w:val="32"/>
          <w:szCs w:val="32"/>
          <w:lang w:val="en-US" w:eastAsia="zh-CN"/>
        </w:rPr>
        <w:t>年度新进公职人员</w:t>
      </w:r>
      <w:r>
        <w:rPr>
          <w:rFonts w:hint="eastAsia" w:asciiTheme="minorEastAsia" w:hAnsiTheme="minorEastAsia"/>
          <w:sz w:val="32"/>
          <w:szCs w:val="32"/>
          <w:lang w:val="en-US" w:eastAsia="zh-CN"/>
        </w:rPr>
        <w:t>4</w:t>
      </w:r>
      <w:r>
        <w:rPr>
          <w:rFonts w:hint="eastAsia" w:asciiTheme="minorEastAsia" w:hAnsiTheme="minorEastAsia" w:eastAsiaTheme="minorEastAsia"/>
          <w:sz w:val="32"/>
          <w:szCs w:val="32"/>
          <w:lang w:val="en-US" w:eastAsia="zh-CN"/>
        </w:rPr>
        <w:t>人；调入</w:t>
      </w:r>
      <w:r>
        <w:rPr>
          <w:rFonts w:hint="eastAsia" w:asciiTheme="minorEastAsia" w:hAnsiTheme="minorEastAsia"/>
          <w:sz w:val="32"/>
          <w:szCs w:val="32"/>
          <w:lang w:val="en-US" w:eastAsia="zh-CN"/>
        </w:rPr>
        <w:t>4</w:t>
      </w:r>
      <w:r>
        <w:rPr>
          <w:rFonts w:hint="eastAsia" w:asciiTheme="minorEastAsia" w:hAnsiTheme="minorEastAsia" w:eastAsiaTheme="minorEastAsia"/>
          <w:sz w:val="32"/>
          <w:szCs w:val="32"/>
          <w:lang w:val="en-US" w:eastAsia="zh-CN"/>
        </w:rPr>
        <w:t>人；调离</w:t>
      </w:r>
      <w:r>
        <w:rPr>
          <w:rFonts w:hint="eastAsia" w:asciiTheme="minorEastAsia" w:hAnsiTheme="minorEastAsia"/>
          <w:sz w:val="32"/>
          <w:szCs w:val="32"/>
          <w:lang w:val="en-US" w:eastAsia="zh-CN"/>
        </w:rPr>
        <w:t>3</w:t>
      </w:r>
      <w:r>
        <w:rPr>
          <w:rFonts w:hint="eastAsia" w:asciiTheme="minorEastAsia" w:hAnsiTheme="minorEastAsia" w:eastAsiaTheme="minorEastAsia"/>
          <w:sz w:val="32"/>
          <w:szCs w:val="32"/>
          <w:lang w:val="en-US" w:eastAsia="zh-CN"/>
        </w:rPr>
        <w:t>人。</w:t>
      </w:r>
    </w:p>
    <w:p>
      <w:pPr>
        <w:snapToGrid w:val="0"/>
        <w:spacing w:line="520" w:lineRule="exact"/>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（二）决算单位构成。</w:t>
      </w:r>
      <w:r>
        <w:rPr>
          <w:rFonts w:hint="eastAsia" w:asciiTheme="minorEastAsia" w:hAnsiTheme="minorEastAsia"/>
          <w:sz w:val="32"/>
          <w:szCs w:val="32"/>
          <w:lang w:val="en-US" w:eastAsia="zh-CN"/>
        </w:rPr>
        <w:t>沙湾</w:t>
      </w:r>
      <w:r>
        <w:rPr>
          <w:rFonts w:hint="eastAsia" w:asciiTheme="minorEastAsia" w:hAnsiTheme="minorEastAsia" w:eastAsiaTheme="minorEastAsia"/>
          <w:sz w:val="32"/>
          <w:szCs w:val="32"/>
          <w:lang w:val="en-US" w:eastAsia="zh-CN"/>
        </w:rPr>
        <w:t>乡人民政府2020年部门决算汇总公开单位构成包括：</w:t>
      </w:r>
      <w:r>
        <w:rPr>
          <w:rFonts w:hint="eastAsia" w:asciiTheme="minorEastAsia" w:hAnsiTheme="minorEastAsia"/>
          <w:sz w:val="32"/>
          <w:szCs w:val="32"/>
          <w:lang w:val="en-US" w:eastAsia="zh-CN"/>
        </w:rPr>
        <w:t>沙湾</w:t>
      </w:r>
      <w:r>
        <w:rPr>
          <w:rFonts w:hint="eastAsia" w:asciiTheme="minorEastAsia" w:hAnsiTheme="minorEastAsia" w:eastAsiaTheme="minorEastAsia"/>
          <w:sz w:val="32"/>
          <w:szCs w:val="32"/>
          <w:lang w:val="en-US" w:eastAsia="zh-CN"/>
        </w:rPr>
        <w:t>乡人民政府本级。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widowControl/>
        <w:jc w:val="center"/>
        <w:rPr>
          <w:rFonts w:hint="eastAsia" w:eastAsiaTheme="minorEastAsia"/>
          <w:sz w:val="44"/>
          <w:szCs w:val="44"/>
          <w:lang w:eastAsia="zh-CN"/>
        </w:rPr>
        <w:sectPr>
          <w:pgSz w:w="16838" w:h="11906" w:orient="landscape"/>
          <w:pgMar w:top="720" w:right="720" w:bottom="720" w:left="720" w:header="851" w:footer="992" w:gutter="0"/>
          <w:cols w:space="425" w:num="1"/>
          <w:docGrid w:type="lines" w:linePitch="312" w:charSpace="0"/>
        </w:sectPr>
      </w:pPr>
      <w:r>
        <w:rPr>
          <w:rFonts w:hint="eastAsia"/>
          <w:sz w:val="44"/>
          <w:szCs w:val="44"/>
          <w:lang w:eastAsia="zh-CN"/>
        </w:rPr>
        <w:t>见附件</w:t>
      </w:r>
    </w:p>
    <w:p>
      <w:pPr>
        <w:pStyle w:val="6"/>
        <w:jc w:val="both"/>
        <w:rPr>
          <w:sz w:val="72"/>
          <w:szCs w:val="72"/>
        </w:rPr>
      </w:pPr>
    </w:p>
    <w:p>
      <w:pPr>
        <w:pStyle w:val="6"/>
        <w:jc w:val="center"/>
        <w:rPr>
          <w:sz w:val="72"/>
          <w:szCs w:val="72"/>
        </w:rPr>
      </w:pPr>
      <w:r>
        <w:rPr>
          <w:rFonts w:hint="eastAsia"/>
          <w:sz w:val="72"/>
          <w:szCs w:val="72"/>
        </w:rPr>
        <w:t>第三部分</w:t>
      </w:r>
    </w:p>
    <w:p>
      <w:pPr>
        <w:pStyle w:val="6"/>
        <w:jc w:val="center"/>
        <w:rPr>
          <w:sz w:val="70"/>
          <w:szCs w:val="70"/>
        </w:rPr>
      </w:pPr>
    </w:p>
    <w:p>
      <w:pPr>
        <w:pStyle w:val="6"/>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6"/>
        <w:rPr>
          <w:rFonts w:asciiTheme="minorEastAsia" w:hAnsiTheme="minorEastAsia" w:eastAsiaTheme="minorEastAsia"/>
          <w:sz w:val="32"/>
          <w:szCs w:val="32"/>
        </w:rPr>
      </w:pPr>
    </w:p>
    <w:p>
      <w:pPr>
        <w:pStyle w:val="6"/>
        <w:rPr>
          <w:rFonts w:hAnsi="黑体"/>
          <w:b/>
          <w:sz w:val="32"/>
          <w:szCs w:val="32"/>
        </w:rPr>
      </w:pPr>
      <w:r>
        <w:rPr>
          <w:rFonts w:hint="eastAsia" w:hAnsi="黑体"/>
          <w:b/>
          <w:sz w:val="32"/>
          <w:szCs w:val="32"/>
        </w:rPr>
        <w:t>一、收入支出决算总体情况说明</w:t>
      </w:r>
    </w:p>
    <w:p>
      <w:pPr>
        <w:snapToGrid w:val="0"/>
        <w:spacing w:line="520" w:lineRule="exact"/>
        <w:ind w:firstLine="640" w:firstLineChars="200"/>
        <w:rPr>
          <w:rFonts w:hint="eastAsia" w:ascii="仿宋" w:hAnsi="仿宋" w:eastAsia="仿宋" w:cs="仿宋"/>
          <w:sz w:val="32"/>
          <w:szCs w:val="32"/>
          <w:lang w:eastAsia="zh-CN"/>
        </w:rPr>
      </w:pPr>
      <w:r>
        <w:rPr>
          <w:rFonts w:hint="eastAsia" w:asciiTheme="minorEastAsia" w:hAnsiTheme="minorEastAsia" w:eastAsiaTheme="minorEastAsia"/>
          <w:sz w:val="32"/>
          <w:szCs w:val="32"/>
        </w:rPr>
        <w:t>2020年度收</w:t>
      </w:r>
      <w:r>
        <w:rPr>
          <w:rFonts w:hint="eastAsia" w:asciiTheme="minorEastAsia" w:hAnsiTheme="minorEastAsia"/>
          <w:sz w:val="32"/>
          <w:szCs w:val="32"/>
          <w:lang w:eastAsia="zh-CN"/>
        </w:rPr>
        <w:t>入总计</w:t>
      </w:r>
      <w:r>
        <w:rPr>
          <w:rFonts w:hint="eastAsia" w:asciiTheme="minorEastAsia" w:hAnsiTheme="minorEastAsia"/>
          <w:sz w:val="32"/>
          <w:szCs w:val="32"/>
          <w:lang w:val="en-US" w:eastAsia="zh-CN"/>
        </w:rPr>
        <w:t>1050.64</w:t>
      </w:r>
      <w:r>
        <w:rPr>
          <w:rFonts w:hint="eastAsia" w:asciiTheme="minorEastAsia" w:hAnsiTheme="minorEastAsia" w:eastAsiaTheme="minorEastAsia"/>
          <w:sz w:val="32"/>
          <w:szCs w:val="32"/>
        </w:rPr>
        <w:t>万元。与上年相比，增加</w:t>
      </w:r>
      <w:r>
        <w:rPr>
          <w:rFonts w:hint="eastAsia" w:ascii="仿宋_GB2312" w:eastAsia="仿宋_GB2312"/>
          <w:color w:val="333333"/>
          <w:sz w:val="32"/>
          <w:szCs w:val="32"/>
          <w:lang w:val="en-US" w:eastAsia="zh-CN"/>
        </w:rPr>
        <w:t>202.99</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val="en-US" w:eastAsia="zh-CN"/>
        </w:rPr>
        <w:t>主要是因为</w:t>
      </w:r>
      <w:r>
        <w:rPr>
          <w:rFonts w:hint="eastAsia" w:asciiTheme="minorEastAsia" w:hAnsiTheme="minorEastAsia" w:eastAsiaTheme="minorEastAsia"/>
          <w:sz w:val="32"/>
          <w:szCs w:val="32"/>
        </w:rPr>
        <w:t>公用经费的调整</w:t>
      </w:r>
      <w:r>
        <w:rPr>
          <w:rFonts w:hint="eastAsia" w:asciiTheme="minorEastAsia" w:hAnsiTheme="minorEastAsia" w:eastAsiaTheme="minorEastAsia"/>
          <w:sz w:val="32"/>
          <w:szCs w:val="32"/>
          <w:lang w:val="en-US" w:eastAsia="zh-CN"/>
        </w:rPr>
        <w:t>。</w:t>
      </w:r>
    </w:p>
    <w:p>
      <w:pPr>
        <w:pStyle w:val="6"/>
        <w:ind w:firstLine="640" w:firstLineChars="200"/>
        <w:rPr>
          <w:rFonts w:asciiTheme="minorEastAsia" w:hAnsiTheme="minorEastAsia" w:eastAsiaTheme="minorEastAsia"/>
          <w:sz w:val="32"/>
          <w:szCs w:val="32"/>
        </w:rPr>
      </w:pPr>
    </w:p>
    <w:p>
      <w:pPr>
        <w:pStyle w:val="6"/>
        <w:rPr>
          <w:rFonts w:hAnsi="黑体"/>
          <w:b/>
          <w:sz w:val="32"/>
          <w:szCs w:val="32"/>
        </w:rPr>
      </w:pPr>
      <w:r>
        <w:rPr>
          <w:rFonts w:hint="eastAsia" w:hAnsi="黑体"/>
          <w:b/>
          <w:sz w:val="32"/>
          <w:szCs w:val="32"/>
        </w:rPr>
        <w:t>二、收入决算情况说明</w:t>
      </w:r>
    </w:p>
    <w:p>
      <w:pPr>
        <w:pStyle w:val="6"/>
        <w:ind w:firstLine="640" w:firstLineChars="200"/>
        <w:rPr>
          <w:rFonts w:hint="eastAsia" w:asciiTheme="minorEastAsia" w:hAnsiTheme="minorEastAsia" w:eastAsiaTheme="minorEastAsia" w:cstheme="minorBidi"/>
          <w:color w:val="auto"/>
          <w:kern w:val="2"/>
          <w:sz w:val="32"/>
          <w:szCs w:val="32"/>
          <w:lang w:val="en-US" w:eastAsia="zh-CN" w:bidi="ar-SA"/>
        </w:rPr>
      </w:pPr>
      <w:r>
        <w:rPr>
          <w:rFonts w:hint="eastAsia" w:asciiTheme="minorEastAsia" w:hAnsiTheme="minorEastAsia" w:eastAsiaTheme="minorEastAsia"/>
          <w:sz w:val="32"/>
          <w:szCs w:val="32"/>
        </w:rPr>
        <w:t>本年收</w:t>
      </w:r>
      <w:r>
        <w:rPr>
          <w:rFonts w:hint="eastAsia" w:asciiTheme="minorEastAsia" w:hAnsiTheme="minorEastAsia" w:eastAsiaTheme="minorEastAsia" w:cstheme="minorBidi"/>
          <w:color w:val="auto"/>
          <w:kern w:val="2"/>
          <w:sz w:val="32"/>
          <w:szCs w:val="32"/>
          <w:lang w:val="en-US" w:eastAsia="zh-CN" w:bidi="ar-SA"/>
        </w:rPr>
        <w:t>入合计1050.64万元，其中：财政拨款收入1050.64万元，占100%；上级补助收入0万元，占0%；事业收入0万元，占0%；经营收入0万元，占0%；附属单位上缴收入0万元，占0%；其他收入0万元，占0%。</w:t>
      </w:r>
    </w:p>
    <w:p>
      <w:pPr>
        <w:pStyle w:val="6"/>
        <w:rPr>
          <w:rFonts w:hAnsi="黑体"/>
          <w:b/>
          <w:sz w:val="32"/>
          <w:szCs w:val="32"/>
        </w:rPr>
      </w:pPr>
      <w:r>
        <w:rPr>
          <w:rFonts w:hint="eastAsia" w:hAnsi="黑体"/>
          <w:b/>
          <w:sz w:val="32"/>
          <w:szCs w:val="32"/>
        </w:rPr>
        <w:t>三、支出决算情况说明</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cstheme="minorBidi"/>
          <w:color w:val="auto"/>
          <w:kern w:val="2"/>
          <w:sz w:val="32"/>
          <w:szCs w:val="32"/>
          <w:lang w:val="en-US" w:eastAsia="zh-CN" w:bidi="ar-SA"/>
        </w:rPr>
        <w:t>1050.64</w:t>
      </w:r>
      <w:r>
        <w:rPr>
          <w:rFonts w:hint="eastAsia" w:asciiTheme="minorEastAsia" w:hAnsiTheme="minorEastAsia" w:eastAsiaTheme="minorEastAsia"/>
          <w:sz w:val="32"/>
          <w:szCs w:val="32"/>
        </w:rPr>
        <w:t>万元，其中：基本支出</w:t>
      </w:r>
      <w:r>
        <w:rPr>
          <w:rFonts w:hint="eastAsia" w:ascii="仿宋_GB2312" w:eastAsia="仿宋_GB2312"/>
          <w:color w:val="333333"/>
          <w:sz w:val="32"/>
          <w:szCs w:val="32"/>
          <w:lang w:val="en-US" w:eastAsia="zh-CN"/>
        </w:rPr>
        <w:t>995.56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94.75</w:t>
      </w:r>
      <w:r>
        <w:rPr>
          <w:rFonts w:hint="eastAsia" w:asciiTheme="minorEastAsia" w:hAnsiTheme="minorEastAsia" w:eastAsiaTheme="minorEastAsia"/>
          <w:sz w:val="32"/>
          <w:szCs w:val="32"/>
        </w:rPr>
        <w:t>%；项目支出</w:t>
      </w:r>
      <w:r>
        <w:rPr>
          <w:rFonts w:hint="eastAsia" w:ascii="仿宋_GB2312" w:eastAsia="仿宋_GB2312"/>
          <w:color w:val="333333"/>
          <w:sz w:val="32"/>
          <w:szCs w:val="32"/>
          <w:lang w:val="en-US" w:eastAsia="zh-CN"/>
        </w:rPr>
        <w:t>55.08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四、财政拨款收入支出决算总体情况说明</w:t>
      </w:r>
    </w:p>
    <w:p>
      <w:pPr>
        <w:pStyle w:val="6"/>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cstheme="minorBidi"/>
          <w:color w:val="auto"/>
          <w:kern w:val="2"/>
          <w:sz w:val="32"/>
          <w:szCs w:val="32"/>
          <w:lang w:val="en-US" w:eastAsia="zh-CN" w:bidi="ar-SA"/>
        </w:rPr>
        <w:t>1050.64</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财政拨款收入</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202.99</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val="en-US" w:eastAsia="zh-CN"/>
        </w:rPr>
        <w:t>主要是因为</w:t>
      </w:r>
      <w:r>
        <w:rPr>
          <w:rFonts w:hint="eastAsia" w:asciiTheme="minorEastAsia" w:hAnsiTheme="minorEastAsia" w:eastAsiaTheme="minorEastAsia"/>
          <w:sz w:val="32"/>
          <w:szCs w:val="32"/>
        </w:rPr>
        <w:t>公用经费的调整</w:t>
      </w:r>
      <w:r>
        <w:rPr>
          <w:rFonts w:hint="eastAsia" w:asciiTheme="minorEastAsia" w:hAnsiTheme="minorEastAsia" w:eastAsiaTheme="minorEastAsia"/>
          <w:sz w:val="32"/>
          <w:szCs w:val="32"/>
          <w:lang w:val="en-US" w:eastAsia="zh-CN"/>
        </w:rPr>
        <w:t>。</w:t>
      </w:r>
    </w:p>
    <w:p>
      <w:pPr>
        <w:pStyle w:val="6"/>
        <w:rPr>
          <w:rFonts w:hAnsi="黑体"/>
          <w:b/>
          <w:sz w:val="32"/>
          <w:szCs w:val="32"/>
        </w:rPr>
      </w:pPr>
      <w:r>
        <w:rPr>
          <w:rFonts w:hint="eastAsia" w:hAnsi="黑体"/>
          <w:b/>
          <w:sz w:val="32"/>
          <w:szCs w:val="32"/>
        </w:rPr>
        <w:t>五、一般公共预算财政拨款支出决算情况说明</w:t>
      </w:r>
    </w:p>
    <w:p>
      <w:pPr>
        <w:pStyle w:val="6"/>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6"/>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cstheme="minorBidi"/>
          <w:color w:val="auto"/>
          <w:kern w:val="2"/>
          <w:sz w:val="32"/>
          <w:szCs w:val="32"/>
          <w:lang w:val="en-US" w:eastAsia="zh-CN" w:bidi="ar-SA"/>
        </w:rPr>
        <w:t>1050.64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202.99</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val="en-US" w:eastAsia="zh-CN"/>
        </w:rPr>
        <w:t>主要是因为</w:t>
      </w:r>
      <w:r>
        <w:rPr>
          <w:rFonts w:hint="eastAsia" w:asciiTheme="minorEastAsia" w:hAnsiTheme="minorEastAsia" w:eastAsiaTheme="minorEastAsia"/>
          <w:sz w:val="32"/>
          <w:szCs w:val="32"/>
        </w:rPr>
        <w:t>公用经费的调整</w:t>
      </w:r>
      <w:r>
        <w:rPr>
          <w:rFonts w:hint="eastAsia" w:asciiTheme="minorEastAsia" w:hAnsiTheme="minorEastAsia" w:eastAsiaTheme="minorEastAsia"/>
          <w:sz w:val="32"/>
          <w:szCs w:val="32"/>
          <w:lang w:val="en-US" w:eastAsia="zh-CN"/>
        </w:rPr>
        <w:t>。</w:t>
      </w:r>
    </w:p>
    <w:p>
      <w:pPr>
        <w:pStyle w:val="6"/>
        <w:ind w:firstLine="800" w:firstLineChars="250"/>
        <w:rPr>
          <w:rFonts w:asciiTheme="minorEastAsia" w:hAnsiTheme="minorEastAsia" w:eastAsiaTheme="minorEastAsia"/>
          <w:sz w:val="32"/>
          <w:szCs w:val="32"/>
        </w:rPr>
      </w:pPr>
    </w:p>
    <w:p>
      <w:pPr>
        <w:pStyle w:val="6"/>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cstheme="minorBidi"/>
          <w:color w:val="auto"/>
          <w:kern w:val="2"/>
          <w:sz w:val="32"/>
          <w:szCs w:val="32"/>
          <w:lang w:val="en-US" w:eastAsia="zh-CN" w:bidi="ar-SA"/>
        </w:rPr>
        <w:t>1050.64</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cstheme="minorBidi"/>
          <w:color w:val="auto"/>
          <w:kern w:val="2"/>
          <w:sz w:val="32"/>
          <w:szCs w:val="32"/>
          <w:lang w:val="en-US" w:eastAsia="zh-CN" w:bidi="ar-SA"/>
        </w:rPr>
        <w:t>其中：一般公共服务507.16万元，公共卫生健康支出35.65万元，社会保障和就业135.25万元，城乡社区18.94万元，资源勘探信息8.43万元,医疗卫生与计划生育31.29万元，农林水332.63万元。入较去年增加202.99万元，主要是增加了与收入增加部分相对应的支出。</w:t>
      </w:r>
    </w:p>
    <w:p>
      <w:pPr>
        <w:pStyle w:val="6"/>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661.47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cstheme="minorBidi"/>
          <w:color w:val="auto"/>
          <w:kern w:val="2"/>
          <w:sz w:val="32"/>
          <w:szCs w:val="32"/>
          <w:lang w:val="en-US" w:eastAsia="zh-CN" w:bidi="ar-SA"/>
        </w:rPr>
        <w:t>1050.64</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158.83</w:t>
      </w:r>
      <w:r>
        <w:rPr>
          <w:rFonts w:hint="eastAsia" w:asciiTheme="minorEastAsia" w:hAnsiTheme="minorEastAsia" w:eastAsiaTheme="minorEastAsia"/>
          <w:sz w:val="32"/>
          <w:szCs w:val="32"/>
        </w:rPr>
        <w:t>%，其中：</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w:t>
      </w:r>
      <w:r>
        <w:rPr>
          <w:rFonts w:hint="eastAsia" w:asciiTheme="minorEastAsia" w:hAnsiTheme="minorEastAsia" w:eastAsiaTheme="minorEastAsia"/>
          <w:sz w:val="32"/>
          <w:szCs w:val="32"/>
          <w:lang w:eastAsia="zh-CN"/>
        </w:rPr>
        <w:t>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282.28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507.17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179.67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新增公职人员且发放绩效。</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社会保障和就业支出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15.72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135.25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860.37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新增公职人员且发放绩效。</w:t>
      </w:r>
    </w:p>
    <w:p>
      <w:pPr>
        <w:pStyle w:val="6"/>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53.89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35.65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66.15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本年度群众卫生健康意识增加，宣传费用减少。</w:t>
      </w:r>
    </w:p>
    <w:p>
      <w:pPr>
        <w:pStyle w:val="6"/>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农林水支出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281.07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332.63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118.34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扶贫项目支出，村干部绩效及乡镇干部绩效发放。</w:t>
      </w:r>
    </w:p>
    <w:p>
      <w:pPr>
        <w:pStyle w:val="6"/>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5、商业服务业等支出</w:t>
      </w:r>
    </w:p>
    <w:p>
      <w:pPr>
        <w:pStyle w:val="6"/>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2.72</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发展旅游需要</w:t>
      </w:r>
      <w:r>
        <w:rPr>
          <w:rFonts w:hint="eastAsia" w:asciiTheme="minorEastAsia" w:hAnsiTheme="minorEastAsia" w:eastAsiaTheme="minorEastAsia"/>
          <w:sz w:val="32"/>
          <w:szCs w:val="32"/>
          <w:lang w:val="en-US" w:eastAsia="zh-CN"/>
        </w:rPr>
        <w:t>.</w:t>
      </w:r>
    </w:p>
    <w:p>
      <w:pPr>
        <w:pStyle w:val="6"/>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6、住房保障支出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9.84</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公积金发放。</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国土资源支出</w:t>
      </w:r>
    </w:p>
    <w:p>
      <w:pPr>
        <w:pStyle w:val="6"/>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8.43</w:t>
      </w:r>
      <w:r>
        <w:rPr>
          <w:rFonts w:hint="eastAsia" w:asciiTheme="minorEastAsia" w:hAnsiTheme="minorEastAsia" w:eastAsiaTheme="minorEastAsia"/>
          <w:sz w:val="32"/>
          <w:szCs w:val="32"/>
        </w:rPr>
        <w:t>万元，决算数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疫情原因导致这项工作减少。</w:t>
      </w:r>
    </w:p>
    <w:p>
      <w:pPr>
        <w:pStyle w:val="6"/>
        <w:rPr>
          <w:rFonts w:hAnsi="黑体"/>
          <w:b/>
          <w:sz w:val="32"/>
          <w:szCs w:val="32"/>
        </w:rPr>
      </w:pPr>
      <w:r>
        <w:rPr>
          <w:rFonts w:hint="eastAsia" w:hAnsi="黑体"/>
          <w:b/>
          <w:sz w:val="32"/>
          <w:szCs w:val="32"/>
        </w:rPr>
        <w:t>六、一般公共预算财政拨款基本支出决算情况说明</w:t>
      </w:r>
    </w:p>
    <w:p>
      <w:pPr>
        <w:pStyle w:val="6"/>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764.14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536.72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70.24</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绩效工资、职业年金、各类保险、住房公积金</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227.42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29.76</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电费、差旅费、会议费、培训费、劳务费、维修费、公会经费、三公经费等</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七、一般公共预算财政拨款三公经费支出决算情况说明</w:t>
      </w:r>
    </w:p>
    <w:p>
      <w:pPr>
        <w:pStyle w:val="6"/>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6"/>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仿宋_GB2312" w:eastAsia="仿宋_GB2312"/>
          <w:color w:val="333333"/>
          <w:sz w:val="32"/>
          <w:szCs w:val="32"/>
          <w:lang w:val="en-US" w:eastAsia="zh-CN"/>
        </w:rPr>
        <w:t>19.4</w:t>
      </w:r>
      <w:r>
        <w:rPr>
          <w:rFonts w:hint="eastAsia" w:asciiTheme="minorEastAsia" w:hAnsiTheme="minorEastAsia" w:eastAsiaTheme="minorEastAsia"/>
          <w:sz w:val="32"/>
          <w:szCs w:val="32"/>
        </w:rPr>
        <w:t>万元，支出决算为</w:t>
      </w:r>
      <w:r>
        <w:rPr>
          <w:rFonts w:ascii="仿宋_GB2312" w:eastAsia="仿宋_GB2312"/>
          <w:color w:val="333333"/>
          <w:sz w:val="32"/>
          <w:szCs w:val="32"/>
        </w:rPr>
        <w:t>17.8</w:t>
      </w:r>
      <w:r>
        <w:rPr>
          <w:rFonts w:hint="eastAsia" w:asciiTheme="minorEastAsia" w:hAnsiTheme="minorEastAsia" w:eastAsiaTheme="minorEastAsia"/>
          <w:sz w:val="32"/>
          <w:szCs w:val="32"/>
        </w:rPr>
        <w:t>万元，</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其中：因公出国（境）费支出预算为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因公出国（境）费支出。</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万元，支出决算为</w:t>
      </w:r>
      <w:r>
        <w:rPr>
          <w:rFonts w:hint="eastAsia" w:ascii="仿宋_GB2312" w:eastAsia="仿宋_GB2312"/>
          <w:color w:val="333333"/>
          <w:sz w:val="32"/>
          <w:szCs w:val="32"/>
        </w:rPr>
        <w:t>10.4</w:t>
      </w:r>
      <w:r>
        <w:rPr>
          <w:rFonts w:ascii="仿宋_GB2312" w:eastAsia="仿宋_GB2312"/>
          <w:color w:val="333333"/>
          <w:sz w:val="32"/>
          <w:szCs w:val="32"/>
        </w:rPr>
        <w:t xml:space="preserve"> </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110.64</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接待人数增加，</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扶贫检查增多</w:t>
      </w:r>
      <w:r>
        <w:rPr>
          <w:rFonts w:hint="eastAsia" w:asciiTheme="minorEastAsia" w:hAnsiTheme="minorEastAsia" w:eastAsiaTheme="minorEastAsia"/>
          <w:sz w:val="32"/>
          <w:szCs w:val="32"/>
        </w:rPr>
        <w:t>。</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ascii="仿宋_GB2312" w:eastAsia="仿宋_GB2312"/>
          <w:color w:val="333333"/>
          <w:sz w:val="32"/>
          <w:szCs w:val="32"/>
        </w:rPr>
        <w:t>7.4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公车使用次数相较减少</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公车使用次数相较减少且按照上级要求减逐年减少三公经费开支</w:t>
      </w:r>
      <w:r>
        <w:rPr>
          <w:rFonts w:hint="eastAsia" w:asciiTheme="minorEastAsia" w:hAnsiTheme="minorEastAsia" w:eastAsiaTheme="minorEastAsia"/>
          <w:sz w:val="32"/>
          <w:szCs w:val="32"/>
        </w:rPr>
        <w:t>。</w:t>
      </w:r>
    </w:p>
    <w:p>
      <w:pPr>
        <w:pStyle w:val="6"/>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57.47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7.4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42.53</w:t>
      </w:r>
      <w:r>
        <w:rPr>
          <w:rFonts w:hint="eastAsia" w:asciiTheme="minorEastAsia" w:hAnsiTheme="minorEastAsia" w:eastAsiaTheme="minorEastAsia"/>
          <w:sz w:val="32"/>
          <w:szCs w:val="32"/>
        </w:rPr>
        <w:t>%。其中：</w:t>
      </w:r>
    </w:p>
    <w:p>
      <w:pPr>
        <w:pStyle w:val="6"/>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，无出国（境）支出。</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456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2396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上级检查，项目勘察，定期检查等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7.4</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无</w:t>
      </w:r>
      <w:r>
        <w:rPr>
          <w:rFonts w:hint="eastAsia" w:asciiTheme="minorEastAsia" w:hAnsiTheme="minorEastAsia"/>
          <w:sz w:val="32"/>
          <w:szCs w:val="32"/>
        </w:rPr>
        <w:t>更新公务用车</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7.4</w:t>
      </w:r>
      <w:r>
        <w:rPr>
          <w:rFonts w:hint="eastAsia" w:asciiTheme="minorEastAsia" w:hAnsiTheme="minorEastAsia"/>
          <w:sz w:val="32"/>
          <w:szCs w:val="32"/>
        </w:rPr>
        <w:t>万元，主要是</w:t>
      </w:r>
      <w:r>
        <w:rPr>
          <w:rFonts w:hint="eastAsia" w:asciiTheme="minorEastAsia" w:hAnsiTheme="minorEastAsia"/>
          <w:sz w:val="32"/>
          <w:szCs w:val="32"/>
          <w:lang w:eastAsia="zh-CN"/>
        </w:rPr>
        <w:t>公车维修及公车过路费</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6"/>
        <w:rPr>
          <w:rFonts w:hAnsi="黑体"/>
          <w:b/>
          <w:sz w:val="32"/>
          <w:szCs w:val="32"/>
        </w:rPr>
      </w:pPr>
      <w:r>
        <w:rPr>
          <w:rFonts w:hint="eastAsia" w:hAnsi="黑体"/>
          <w:b/>
          <w:sz w:val="32"/>
          <w:szCs w:val="32"/>
        </w:rPr>
        <w:t>八、政府性基金预算收入支出决算情况</w:t>
      </w:r>
    </w:p>
    <w:p>
      <w:pPr>
        <w:pStyle w:val="6"/>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本单位无政府性基金收支。</w:t>
      </w:r>
    </w:p>
    <w:p>
      <w:pPr>
        <w:pStyle w:val="6"/>
        <w:rPr>
          <w:rFonts w:hAnsi="黑体"/>
          <w:b/>
          <w:sz w:val="32"/>
          <w:szCs w:val="32"/>
        </w:rPr>
      </w:pPr>
      <w:r>
        <w:rPr>
          <w:rFonts w:hint="eastAsia" w:hAnsi="黑体"/>
          <w:b/>
          <w:sz w:val="32"/>
          <w:szCs w:val="32"/>
        </w:rPr>
        <w:t>九、关于机关运行经费支出说明</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223.69</w:t>
      </w:r>
      <w:r>
        <w:rPr>
          <w:rFonts w:hint="eastAsia" w:asciiTheme="minorEastAsia" w:hAnsiTheme="minorEastAsia" w:eastAsiaTheme="minorEastAsia"/>
          <w:sz w:val="32"/>
          <w:szCs w:val="32"/>
        </w:rPr>
        <w:t>万元，比年上年决算数</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34.1</w:t>
      </w:r>
      <w:r>
        <w:rPr>
          <w:rFonts w:hint="eastAsia" w:asciiTheme="minorEastAsia" w:hAnsiTheme="minorEastAsia" w:eastAsiaTheme="minorEastAsia"/>
          <w:sz w:val="32"/>
          <w:szCs w:val="32"/>
        </w:rPr>
        <w:t xml:space="preserve"> 万元。主要原因是</w:t>
      </w:r>
      <w:r>
        <w:rPr>
          <w:rFonts w:hint="eastAsia" w:asciiTheme="minorEastAsia" w:hAnsiTheme="minorEastAsia" w:eastAsiaTheme="minorEastAsia"/>
          <w:sz w:val="32"/>
          <w:szCs w:val="32"/>
          <w:lang w:eastAsia="zh-CN"/>
        </w:rPr>
        <w:t>：宣传费用减少</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十、一般性支出情况</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1.01</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乡村两级干部</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val="en-US" w:eastAsia="zh-CN"/>
        </w:rPr>
        <w:t>2495</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防汛，猪瘟，扶贫等工作会议</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6"/>
        <w:rPr>
          <w:rFonts w:hAnsi="黑体"/>
          <w:b/>
          <w:sz w:val="32"/>
          <w:szCs w:val="32"/>
        </w:rPr>
      </w:pPr>
      <w:r>
        <w:rPr>
          <w:rFonts w:hint="eastAsia" w:hAnsi="黑体"/>
          <w:b/>
          <w:sz w:val="32"/>
          <w:szCs w:val="32"/>
        </w:rPr>
        <w:t>十一、关于政府采购支出说明</w:t>
      </w:r>
    </w:p>
    <w:p>
      <w:pPr>
        <w:pStyle w:val="3"/>
        <w:shd w:val="clear" w:color="auto" w:fill="FFFFFF"/>
        <w:wordWrap w:val="0"/>
        <w:spacing w:line="480" w:lineRule="auto"/>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val="en-US" w:eastAsia="zh-CN"/>
        </w:rPr>
        <w:t>2020</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59.8</w:t>
      </w:r>
      <w:r>
        <w:rPr>
          <w:rFonts w:hint="eastAsia" w:asciiTheme="minorEastAsia" w:hAnsiTheme="minorEastAsia" w:eastAsiaTheme="minorEastAsia"/>
          <w:sz w:val="32"/>
          <w:szCs w:val="32"/>
        </w:rPr>
        <w:t>万元，其中：</w:t>
      </w:r>
      <w:r>
        <w:rPr>
          <w:rFonts w:hint="eastAsia" w:cs="黑体" w:asciiTheme="minorEastAsia" w:hAnsiTheme="minorEastAsia" w:eastAsiaTheme="minorEastAsia"/>
          <w:color w:val="000000"/>
          <w:kern w:val="0"/>
          <w:sz w:val="32"/>
          <w:szCs w:val="32"/>
          <w:lang w:val="en-US" w:eastAsia="zh-CN" w:bidi="ar-SA"/>
        </w:rPr>
        <w:t>政府采购货物决算23.8万元；政府采购工程决算20万元；政府采购服务决算16万元。</w:t>
      </w:r>
      <w:r>
        <w:rPr>
          <w:rFonts w:hint="eastAsia" w:asciiTheme="minorEastAsia" w:hAnsiTheme="minorEastAsia" w:eastAsiaTheme="minorEastAsia"/>
          <w:sz w:val="32"/>
          <w:szCs w:val="32"/>
        </w:rPr>
        <w:t>授予中小企业合同金额</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十二、关于国有资产占用情况说明</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下村</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台（套）</w:t>
      </w:r>
      <w:r>
        <w:rPr>
          <w:rFonts w:hint="eastAsia" w:asciiTheme="minorEastAsia" w:hAnsiTheme="minorEastAsia" w:eastAsiaTheme="minorEastAsia"/>
          <w:sz w:val="32"/>
          <w:szCs w:val="32"/>
          <w:lang w:eastAsia="zh-CN"/>
        </w:rPr>
        <w:t>，为渡口汽渡船</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十三、关于2020年度预算绩效情况的说明</w:t>
      </w:r>
    </w:p>
    <w:p>
      <w:pPr>
        <w:pStyle w:val="6"/>
        <w:ind w:firstLine="640" w:firstLineChars="200"/>
        <w:rPr>
          <w:rFonts w:hint="eastAsia" w:hAnsi="黑体" w:eastAsiaTheme="minorEastAsia"/>
          <w:b/>
          <w:sz w:val="32"/>
          <w:szCs w:val="32"/>
          <w:lang w:eastAsia="zh-CN"/>
        </w:rPr>
      </w:pPr>
      <w:r>
        <w:rPr>
          <w:rFonts w:hint="eastAsia" w:asciiTheme="minorEastAsia" w:hAnsiTheme="minorEastAsia" w:eastAsiaTheme="minorEastAsia"/>
          <w:sz w:val="32"/>
          <w:szCs w:val="32"/>
        </w:rPr>
        <w:t>本部门预算绩效管理开展情况、绩效目标和绩效评价报告等</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按照财政绩效部门要求已公开</w:t>
      </w:r>
      <w:r>
        <w:rPr>
          <w:rFonts w:hint="eastAsia" w:asciiTheme="minorEastAsia" w:hAnsiTheme="minorEastAsia" w:eastAsiaTheme="minorEastAsia"/>
          <w:sz w:val="32"/>
          <w:szCs w:val="32"/>
          <w:lang w:eastAsia="zh-CN"/>
        </w:rPr>
        <w:t>。</w:t>
      </w:r>
    </w:p>
    <w:p>
      <w:pPr>
        <w:pStyle w:val="6"/>
        <w:jc w:val="center"/>
        <w:rPr>
          <w:sz w:val="72"/>
          <w:szCs w:val="72"/>
        </w:rPr>
      </w:pPr>
    </w:p>
    <w:p>
      <w:pPr>
        <w:pStyle w:val="6"/>
        <w:jc w:val="center"/>
        <w:rPr>
          <w:sz w:val="72"/>
          <w:szCs w:val="72"/>
        </w:rPr>
      </w:pPr>
    </w:p>
    <w:p>
      <w:pPr>
        <w:pStyle w:val="6"/>
        <w:jc w:val="center"/>
        <w:rPr>
          <w:sz w:val="72"/>
          <w:szCs w:val="72"/>
        </w:rPr>
      </w:pPr>
    </w:p>
    <w:p>
      <w:pPr>
        <w:pStyle w:val="6"/>
        <w:jc w:val="center"/>
        <w:rPr>
          <w:sz w:val="72"/>
          <w:szCs w:val="72"/>
        </w:rPr>
      </w:pPr>
    </w:p>
    <w:p>
      <w:pPr>
        <w:pStyle w:val="6"/>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ind w:firstLine="420"/>
        <w:textAlignment w:val="baseline"/>
        <w:rPr>
          <w:rFonts w:ascii="黑体" w:eastAsia="黑体" w:cs="黑体"/>
          <w:color w:val="000000"/>
          <w:kern w:val="0"/>
          <w:sz w:val="70"/>
          <w:szCs w:val="70"/>
        </w:rPr>
      </w:pPr>
    </w:p>
    <w:p>
      <w:pPr>
        <w:pStyle w:val="3"/>
        <w:spacing w:before="105" w:beforeAutospacing="0" w:after="105" w:afterAutospacing="0" w:line="30" w:lineRule="atLeast"/>
        <w:textAlignment w:val="baseline"/>
        <w:rPr>
          <w:rFonts w:hint="eastAsia"/>
          <w:color w:val="000000"/>
          <w:sz w:val="28"/>
          <w:szCs w:val="28"/>
        </w:rPr>
      </w:pPr>
      <w:r>
        <w:rPr>
          <w:rFonts w:ascii="黑体" w:eastAsia="黑体" w:cs="黑体"/>
          <w:color w:val="000000"/>
          <w:kern w:val="0"/>
          <w:sz w:val="70"/>
          <w:szCs w:val="70"/>
        </w:rPr>
        <w:br w:type="page"/>
      </w:r>
      <w:r>
        <w:rPr>
          <w:rFonts w:hint="eastAsia" w:ascii="黑体" w:eastAsia="黑体" w:cs="黑体"/>
          <w:color w:val="000000"/>
          <w:kern w:val="0"/>
          <w:sz w:val="70"/>
          <w:szCs w:val="70"/>
          <w:lang w:val="en-US" w:eastAsia="zh-CN"/>
        </w:rPr>
        <w:t xml:space="preserve"> </w:t>
      </w:r>
      <w:r>
        <w:rPr>
          <w:rFonts w:hint="eastAsia"/>
          <w:b/>
          <w:color w:val="000000"/>
          <w:sz w:val="28"/>
          <w:szCs w:val="28"/>
        </w:rPr>
        <w:t>一、财政拨款收入：</w:t>
      </w:r>
      <w:r>
        <w:rPr>
          <w:rFonts w:hint="eastAsia"/>
          <w:color w:val="000000"/>
          <w:sz w:val="28"/>
          <w:szCs w:val="28"/>
        </w:rPr>
        <w:t>指单位本年度从市级财政部门取得的财政拨款。</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二、上级补助收入：</w:t>
      </w:r>
      <w:r>
        <w:rPr>
          <w:rFonts w:hint="eastAsia"/>
          <w:color w:val="000000"/>
          <w:sz w:val="28"/>
          <w:szCs w:val="28"/>
        </w:rPr>
        <w:t>指事业单位从主管部门和上级单位取得的非财政补助收入。</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三、事业收入：</w:t>
      </w:r>
      <w:r>
        <w:rPr>
          <w:rFonts w:hint="eastAsia"/>
          <w:color w:val="000000"/>
          <w:sz w:val="28"/>
          <w:szCs w:val="28"/>
        </w:rPr>
        <w:t>指事业单位开展专业业务活动及其辅助活动取得的收入，事业单位收到的财政专户实际核拨的教育收费等资金在此反映。</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四、经营收入：</w:t>
      </w:r>
      <w:r>
        <w:rPr>
          <w:rFonts w:hint="eastAsia"/>
          <w:color w:val="000000"/>
          <w:sz w:val="28"/>
          <w:szCs w:val="28"/>
        </w:rPr>
        <w:t>指事业单位在专业业务活动及其辅助活动之外开展非独立核算经营活动取得的收入。</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五、附属单位缴款：</w:t>
      </w:r>
      <w:r>
        <w:rPr>
          <w:rFonts w:hint="eastAsia"/>
          <w:color w:val="000000"/>
          <w:sz w:val="28"/>
          <w:szCs w:val="28"/>
        </w:rPr>
        <w:t>指事业单位附属独立核算单位按照有关规定上缴的收入。</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六、其他收入：</w:t>
      </w:r>
      <w:r>
        <w:rPr>
          <w:rFonts w:hint="eastAsia"/>
          <w:color w:val="000000"/>
          <w:sz w:val="28"/>
          <w:szCs w:val="28"/>
        </w:rPr>
        <w:t>指单位取得的除上述“财政拨款收入”、“事业收入”、“经营收入”等以外的各项收入。</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七、用事业基金弥补收支差额：</w:t>
      </w:r>
      <w:r>
        <w:rPr>
          <w:rFonts w:hint="eastAsia"/>
          <w:color w:val="000000"/>
          <w:sz w:val="28"/>
          <w:szCs w:val="28"/>
        </w:rPr>
        <w:t>指事业单位用事业基金弥补当年收支差额的数额。</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八、年初结转和结余：</w:t>
      </w:r>
      <w:r>
        <w:rPr>
          <w:rFonts w:hint="eastAsia"/>
          <w:color w:val="000000"/>
          <w:sz w:val="28"/>
          <w:szCs w:val="28"/>
        </w:rPr>
        <w:t>指单位上年结转本年使用的基本支出结转、项目支出结转和结余和经营结余。</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九、一般公共服务（类）人大事务（款）行政运行（项）：</w:t>
      </w:r>
      <w:r>
        <w:rPr>
          <w:rFonts w:hint="eastAsia"/>
          <w:color w:val="000000"/>
          <w:sz w:val="28"/>
          <w:szCs w:val="28"/>
        </w:rPr>
        <w:t>指人大常委会办公厅用于保障机构正常运行、开展日常工作的基本支出。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十、结余分配：</w:t>
      </w:r>
      <w:r>
        <w:rPr>
          <w:rFonts w:hint="eastAsia"/>
          <w:color w:val="000000"/>
          <w:sz w:val="28"/>
          <w:szCs w:val="28"/>
        </w:rPr>
        <w:t>指事业单位按规定对非财政补助结余资金提取的职工福利基金、事业基金和缴纳的所得税，以及减少单位按规定应缴回的基本建设竣工项目结余资金。</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十一、年末结转和结余资金：</w:t>
      </w:r>
      <w:r>
        <w:rPr>
          <w:rFonts w:hint="eastAsia"/>
          <w:color w:val="000000"/>
          <w:sz w:val="28"/>
          <w:szCs w:val="28"/>
        </w:rPr>
        <w:t>指本年度或以前年度预算安排、因客观条件发生变化无法按原计划实施，需要延迟到以后年度按有关规定继续使用的资金。</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十二、基本支出：</w:t>
      </w:r>
      <w:r>
        <w:rPr>
          <w:rFonts w:hint="eastAsia"/>
          <w:color w:val="000000"/>
          <w:sz w:val="28"/>
          <w:szCs w:val="28"/>
        </w:rPr>
        <w:t>指为保障机构正常运转、完成日常工作任务而发生的人员支出和公用支出。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十三、项目支出：</w:t>
      </w:r>
      <w:r>
        <w:rPr>
          <w:rFonts w:hint="eastAsia"/>
          <w:color w:val="000000"/>
          <w:sz w:val="28"/>
          <w:szCs w:val="28"/>
        </w:rPr>
        <w:t>指在基本支出之外为完成特定的行政任务或事业发展目标所发生的支出。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十四、上缴上级支出：</w:t>
      </w:r>
      <w:r>
        <w:rPr>
          <w:rFonts w:hint="eastAsia"/>
          <w:color w:val="000000"/>
          <w:sz w:val="28"/>
          <w:szCs w:val="28"/>
        </w:rPr>
        <w:t>指事业单位按照财政部门和主管部门的规定上缴上级单位的支出。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十五、经营支出：</w:t>
      </w:r>
      <w:r>
        <w:rPr>
          <w:rFonts w:hint="eastAsia"/>
          <w:color w:val="000000"/>
          <w:sz w:val="28"/>
          <w:szCs w:val="28"/>
        </w:rPr>
        <w:t>指事业单位在专业业务活动及其辅助活动之外开展非独立核算经营活动发生的支出。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十六、对附属单位补助支出：</w:t>
      </w:r>
      <w:r>
        <w:rPr>
          <w:rFonts w:hint="eastAsia"/>
          <w:color w:val="000000"/>
          <w:sz w:val="28"/>
          <w:szCs w:val="28"/>
        </w:rPr>
        <w:t>指事业单位用财政补助收入之外的收入对附属单位补助发生的支出。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十七、“三公”经费：</w:t>
      </w:r>
      <w:r>
        <w:rPr>
          <w:rFonts w:hint="eastAsia"/>
          <w:color w:val="000000"/>
          <w:sz w:val="28"/>
          <w:szCs w:val="28"/>
        </w:rPr>
        <w:t>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3"/>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十八、机关运行经费：</w:t>
      </w:r>
      <w:r>
        <w:rPr>
          <w:rFonts w:hint="eastAsia"/>
          <w:color w:val="000000"/>
          <w:sz w:val="28"/>
          <w:szCs w:val="28"/>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
      <w:pPr>
        <w:pStyle w:val="6"/>
        <w:jc w:val="both"/>
        <w:rPr>
          <w:sz w:val="72"/>
          <w:szCs w:val="72"/>
        </w:rPr>
      </w:pPr>
    </w:p>
    <w:p>
      <w:pPr>
        <w:pStyle w:val="6"/>
        <w:jc w:val="center"/>
        <w:rPr>
          <w:sz w:val="72"/>
          <w:szCs w:val="72"/>
        </w:rPr>
      </w:pPr>
    </w:p>
    <w:p>
      <w:pPr>
        <w:pStyle w:val="6"/>
        <w:jc w:val="center"/>
        <w:rPr>
          <w:sz w:val="72"/>
          <w:szCs w:val="72"/>
        </w:rPr>
      </w:pPr>
    </w:p>
    <w:p>
      <w:pPr>
        <w:pStyle w:val="6"/>
        <w:jc w:val="center"/>
        <w:rPr>
          <w:sz w:val="72"/>
          <w:szCs w:val="72"/>
        </w:rPr>
      </w:pPr>
    </w:p>
    <w:p>
      <w:pPr>
        <w:pStyle w:val="6"/>
        <w:jc w:val="center"/>
        <w:rPr>
          <w:sz w:val="72"/>
          <w:szCs w:val="72"/>
        </w:rPr>
      </w:pPr>
    </w:p>
    <w:p>
      <w:pPr>
        <w:pStyle w:val="6"/>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jc w:val="both"/>
        <w:rPr>
          <w:rFonts w:hint="eastAsia" w:ascii="黑体" w:hAnsi="黑体" w:eastAsia="黑体" w:cs="黑体"/>
          <w:kern w:val="0"/>
          <w:sz w:val="32"/>
          <w:szCs w:val="32"/>
        </w:rPr>
      </w:pPr>
      <w:r>
        <w:rPr>
          <w:rFonts w:hint="eastAsia" w:ascii="黑体" w:hAnsi="黑体" w:eastAsia="黑体" w:cs="黑体"/>
          <w:b/>
          <w:bCs/>
          <w:kern w:val="0"/>
          <w:sz w:val="32"/>
          <w:szCs w:val="32"/>
        </w:rPr>
        <w:t>一</w:t>
      </w:r>
      <w:r>
        <w:rPr>
          <w:rFonts w:hint="eastAsia" w:ascii="黑体" w:hAnsi="黑体" w:eastAsia="黑体" w:cs="黑体"/>
          <w:b/>
          <w:bCs/>
          <w:kern w:val="0"/>
          <w:sz w:val="32"/>
          <w:szCs w:val="32"/>
          <w:lang w:eastAsia="zh-CN"/>
        </w:rPr>
        <w:t>、</w:t>
      </w:r>
      <w:r>
        <w:rPr>
          <w:rFonts w:hint="eastAsia" w:ascii="黑体" w:hAnsi="黑体" w:eastAsia="黑体" w:cs="黑体"/>
          <w:b/>
          <w:bCs/>
          <w:kern w:val="0"/>
          <w:sz w:val="32"/>
          <w:szCs w:val="32"/>
        </w:rPr>
        <w:t>部门（单位）概况</w:t>
      </w:r>
    </w:p>
    <w:p>
      <w:pPr>
        <w:widowControl/>
        <w:spacing w:line="480" w:lineRule="auto"/>
        <w:ind w:firstLine="480"/>
        <w:rPr>
          <w:rFonts w:hint="eastAsia" w:ascii="宋体" w:cs="宋体"/>
          <w:kern w:val="0"/>
          <w:sz w:val="28"/>
          <w:szCs w:val="28"/>
        </w:rPr>
      </w:pPr>
      <w:r>
        <w:rPr>
          <w:rFonts w:hint="eastAsia" w:ascii="宋体" w:cs="宋体"/>
          <w:kern w:val="0"/>
          <w:sz w:val="28"/>
          <w:szCs w:val="28"/>
        </w:rPr>
        <w:t>（一）部门（单位）基本情况</w:t>
      </w:r>
    </w:p>
    <w:p>
      <w:pPr>
        <w:widowControl/>
        <w:spacing w:line="480" w:lineRule="auto"/>
        <w:ind w:firstLine="480"/>
        <w:rPr>
          <w:rFonts w:hint="eastAsia" w:ascii="宋体" w:cs="宋体"/>
          <w:kern w:val="0"/>
          <w:sz w:val="28"/>
          <w:szCs w:val="28"/>
        </w:rPr>
      </w:pPr>
      <w:r>
        <w:rPr>
          <w:rFonts w:hint="eastAsia" w:ascii="宋体" w:cs="宋体"/>
          <w:kern w:val="0"/>
          <w:sz w:val="28"/>
          <w:szCs w:val="28"/>
        </w:rPr>
        <w:t xml:space="preserve"> 1、 主要职能</w:t>
      </w:r>
    </w:p>
    <w:p>
      <w:pPr>
        <w:widowControl/>
        <w:spacing w:line="600" w:lineRule="exact"/>
        <w:ind w:firstLine="560" w:firstLineChars="200"/>
        <w:jc w:val="left"/>
        <w:rPr>
          <w:rFonts w:hint="eastAsia" w:ascii="宋体" w:cs="宋体"/>
          <w:kern w:val="0"/>
          <w:sz w:val="28"/>
          <w:szCs w:val="28"/>
        </w:rPr>
      </w:pPr>
      <w:r>
        <w:rPr>
          <w:rFonts w:hint="eastAsia" w:ascii="宋体" w:cs="宋体"/>
          <w:kern w:val="0"/>
          <w:sz w:val="28"/>
          <w:szCs w:val="28"/>
          <w:lang w:eastAsia="zh-CN"/>
        </w:rPr>
        <w:t>沙湾</w:t>
      </w:r>
      <w:r>
        <w:rPr>
          <w:rFonts w:hint="eastAsia" w:ascii="宋体" w:cs="宋体"/>
          <w:kern w:val="0"/>
          <w:sz w:val="28"/>
          <w:szCs w:val="28"/>
        </w:rPr>
        <w:t>乡位于</w:t>
      </w:r>
      <w:r>
        <w:rPr>
          <w:rFonts w:hint="eastAsia" w:ascii="宋体" w:cs="宋体"/>
          <w:kern w:val="0"/>
          <w:sz w:val="28"/>
          <w:szCs w:val="28"/>
          <w:lang w:eastAsia="zh-CN"/>
        </w:rPr>
        <w:t>沅江中游</w:t>
      </w:r>
      <w:r>
        <w:rPr>
          <w:rFonts w:hint="eastAsia" w:ascii="宋体" w:cs="宋体"/>
          <w:kern w:val="0"/>
          <w:sz w:val="28"/>
          <w:szCs w:val="28"/>
        </w:rPr>
        <w:t>，现辖</w:t>
      </w:r>
      <w:r>
        <w:rPr>
          <w:rFonts w:hint="eastAsia" w:ascii="宋体" w:cs="宋体"/>
          <w:kern w:val="0"/>
          <w:sz w:val="28"/>
          <w:szCs w:val="28"/>
          <w:lang w:val="en-US" w:eastAsia="zh-CN"/>
        </w:rPr>
        <w:t>9</w:t>
      </w:r>
      <w:r>
        <w:rPr>
          <w:rFonts w:hint="eastAsia" w:ascii="宋体" w:cs="宋体"/>
          <w:kern w:val="0"/>
          <w:sz w:val="28"/>
          <w:szCs w:val="28"/>
        </w:rPr>
        <w:t>个行政村，总人口约</w:t>
      </w:r>
      <w:r>
        <w:rPr>
          <w:rFonts w:hint="eastAsia" w:ascii="宋体" w:cs="宋体"/>
          <w:kern w:val="0"/>
          <w:sz w:val="28"/>
          <w:szCs w:val="28"/>
          <w:lang w:val="en-US" w:eastAsia="zh-CN"/>
        </w:rPr>
        <w:t>2.1</w:t>
      </w:r>
      <w:r>
        <w:rPr>
          <w:rFonts w:hint="eastAsia" w:ascii="宋体" w:cs="宋体"/>
          <w:kern w:val="0"/>
          <w:sz w:val="28"/>
          <w:szCs w:val="28"/>
        </w:rPr>
        <w:t>万人，乡政府驻</w:t>
      </w:r>
      <w:r>
        <w:rPr>
          <w:rFonts w:hint="eastAsia" w:ascii="宋体" w:cs="宋体"/>
          <w:kern w:val="0"/>
          <w:sz w:val="28"/>
          <w:szCs w:val="28"/>
          <w:lang w:eastAsia="zh-CN"/>
        </w:rPr>
        <w:t>沙湾社区</w:t>
      </w:r>
      <w:r>
        <w:rPr>
          <w:rFonts w:hint="eastAsia" w:ascii="宋体" w:cs="宋体"/>
          <w:kern w:val="0"/>
          <w:sz w:val="28"/>
          <w:szCs w:val="28"/>
        </w:rPr>
        <w:t>。乡政府负责制定和组织实施经济、科技和社会发展计划，促进经济发展；制定并组织实施村乡建设规划，部署重点工程建设；负责本行政区域内的民政、扶贫、党建、文化教育、卫生、体育等社会公益事业的综合性工作；按计划组织本级财政收入和地方税的征收，完成国家的财政计划，管好财政资金，增强财政实力；抓精神文明建设，丰富群众文化活动，树立社会主义新风尚。</w:t>
      </w:r>
    </w:p>
    <w:p>
      <w:pPr>
        <w:snapToGrid w:val="0"/>
        <w:spacing w:line="520" w:lineRule="exact"/>
        <w:ind w:firstLine="560" w:firstLineChars="200"/>
        <w:rPr>
          <w:rFonts w:hint="eastAsia" w:ascii="宋体" w:cs="宋体"/>
          <w:kern w:val="0"/>
          <w:sz w:val="28"/>
          <w:szCs w:val="28"/>
        </w:rPr>
      </w:pPr>
      <w:r>
        <w:rPr>
          <w:rFonts w:hint="eastAsia" w:ascii="宋体" w:cs="宋体"/>
          <w:kern w:val="0"/>
          <w:sz w:val="28"/>
          <w:szCs w:val="28"/>
        </w:rPr>
        <w:t xml:space="preserve">2．机构情况：政府机关，人口与计划生育服务站，综治维稳站，财政所，农业服务站，社会事业服务站，规划建设国土环保服务站。 </w:t>
      </w:r>
    </w:p>
    <w:p>
      <w:pPr>
        <w:snapToGrid w:val="0"/>
        <w:spacing w:line="520" w:lineRule="exact"/>
        <w:ind w:firstLine="560" w:firstLineChars="200"/>
        <w:rPr>
          <w:rFonts w:hint="eastAsia" w:ascii="宋体" w:cs="宋体"/>
          <w:kern w:val="0"/>
          <w:sz w:val="28"/>
          <w:szCs w:val="28"/>
        </w:rPr>
      </w:pPr>
      <w:r>
        <w:rPr>
          <w:rFonts w:hint="eastAsia" w:ascii="宋体" w:cs="宋体"/>
          <w:kern w:val="0"/>
          <w:sz w:val="28"/>
          <w:szCs w:val="28"/>
        </w:rPr>
        <w:t>3．人员情况：全乡共有编织</w:t>
      </w:r>
      <w:r>
        <w:rPr>
          <w:rFonts w:hint="eastAsia" w:ascii="宋体" w:cs="宋体"/>
          <w:kern w:val="0"/>
          <w:sz w:val="28"/>
          <w:szCs w:val="28"/>
          <w:lang w:val="en-US" w:eastAsia="zh-CN"/>
        </w:rPr>
        <w:t>50</w:t>
      </w:r>
      <w:r>
        <w:rPr>
          <w:rFonts w:hint="eastAsia" w:ascii="宋体" w:cs="宋体"/>
          <w:kern w:val="0"/>
          <w:sz w:val="28"/>
          <w:szCs w:val="28"/>
        </w:rPr>
        <w:t>个，实有在职人员</w:t>
      </w:r>
      <w:r>
        <w:rPr>
          <w:rFonts w:hint="eastAsia" w:ascii="宋体" w:cs="宋体"/>
          <w:kern w:val="0"/>
          <w:sz w:val="28"/>
          <w:szCs w:val="28"/>
          <w:lang w:val="en-US" w:eastAsia="zh-CN"/>
        </w:rPr>
        <w:t>50</w:t>
      </w:r>
      <w:r>
        <w:rPr>
          <w:rFonts w:hint="eastAsia" w:ascii="宋体" w:cs="宋体"/>
          <w:kern w:val="0"/>
          <w:sz w:val="28"/>
          <w:szCs w:val="28"/>
        </w:rPr>
        <w:t>人，与</w:t>
      </w:r>
      <w:r>
        <w:rPr>
          <w:rFonts w:hint="eastAsia" w:ascii="宋体" w:cs="宋体"/>
          <w:kern w:val="0"/>
          <w:sz w:val="28"/>
          <w:szCs w:val="28"/>
          <w:lang w:eastAsia="zh-CN"/>
        </w:rPr>
        <w:t>2019</w:t>
      </w:r>
      <w:r>
        <w:rPr>
          <w:rFonts w:hint="eastAsia" w:ascii="宋体" w:cs="宋体"/>
          <w:kern w:val="0"/>
          <w:sz w:val="28"/>
          <w:szCs w:val="28"/>
        </w:rPr>
        <w:t>年相比增加</w:t>
      </w:r>
      <w:r>
        <w:rPr>
          <w:rFonts w:hint="eastAsia" w:ascii="宋体" w:cs="宋体"/>
          <w:kern w:val="0"/>
          <w:sz w:val="28"/>
          <w:szCs w:val="28"/>
          <w:lang w:val="en-US" w:eastAsia="zh-CN"/>
        </w:rPr>
        <w:t>2</w:t>
      </w:r>
      <w:r>
        <w:rPr>
          <w:rFonts w:hint="eastAsia" w:ascii="宋体" w:cs="宋体"/>
          <w:kern w:val="0"/>
          <w:sz w:val="28"/>
          <w:szCs w:val="28"/>
        </w:rPr>
        <w:t>人，其中</w:t>
      </w:r>
      <w:r>
        <w:rPr>
          <w:rFonts w:hint="eastAsia" w:ascii="宋体" w:cs="宋体"/>
          <w:kern w:val="0"/>
          <w:sz w:val="28"/>
          <w:szCs w:val="28"/>
          <w:lang w:eastAsia="zh-CN"/>
        </w:rPr>
        <w:t>20</w:t>
      </w:r>
      <w:r>
        <w:rPr>
          <w:rFonts w:hint="eastAsia" w:ascii="宋体" w:cs="宋体"/>
          <w:kern w:val="0"/>
          <w:sz w:val="28"/>
          <w:szCs w:val="28"/>
          <w:lang w:val="en-US" w:eastAsia="zh-CN"/>
        </w:rPr>
        <w:t>20</w:t>
      </w:r>
      <w:r>
        <w:rPr>
          <w:rFonts w:hint="eastAsia" w:ascii="宋体" w:cs="宋体"/>
          <w:kern w:val="0"/>
          <w:sz w:val="28"/>
          <w:szCs w:val="28"/>
        </w:rPr>
        <w:t>年度新进公职人员</w:t>
      </w:r>
      <w:r>
        <w:rPr>
          <w:rFonts w:hint="eastAsia" w:ascii="宋体" w:cs="宋体"/>
          <w:kern w:val="0"/>
          <w:sz w:val="28"/>
          <w:szCs w:val="28"/>
          <w:lang w:val="en-US" w:eastAsia="zh-CN"/>
        </w:rPr>
        <w:t>4</w:t>
      </w:r>
      <w:r>
        <w:rPr>
          <w:rFonts w:hint="eastAsia" w:ascii="宋体" w:cs="宋体"/>
          <w:kern w:val="0"/>
          <w:sz w:val="28"/>
          <w:szCs w:val="28"/>
        </w:rPr>
        <w:t>名，调离</w:t>
      </w:r>
      <w:r>
        <w:rPr>
          <w:rFonts w:hint="eastAsia" w:ascii="宋体" w:cs="宋体"/>
          <w:kern w:val="0"/>
          <w:sz w:val="28"/>
          <w:szCs w:val="28"/>
          <w:lang w:val="en-US" w:eastAsia="zh-CN"/>
        </w:rPr>
        <w:t>4</w:t>
      </w:r>
      <w:r>
        <w:rPr>
          <w:rFonts w:hint="eastAsia" w:ascii="宋体" w:cs="宋体"/>
          <w:kern w:val="0"/>
          <w:sz w:val="28"/>
          <w:szCs w:val="28"/>
        </w:rPr>
        <w:t>名</w:t>
      </w:r>
      <w:r>
        <w:rPr>
          <w:rFonts w:hint="eastAsia" w:ascii="宋体" w:cs="宋体"/>
          <w:kern w:val="0"/>
          <w:sz w:val="28"/>
          <w:szCs w:val="28"/>
          <w:lang w:eastAsia="zh-CN"/>
        </w:rPr>
        <w:t>，调入</w:t>
      </w:r>
      <w:r>
        <w:rPr>
          <w:rFonts w:hint="eastAsia" w:ascii="宋体" w:cs="宋体"/>
          <w:kern w:val="0"/>
          <w:sz w:val="28"/>
          <w:szCs w:val="28"/>
          <w:lang w:val="en-US" w:eastAsia="zh-CN"/>
        </w:rPr>
        <w:t>3名</w:t>
      </w:r>
      <w:r>
        <w:rPr>
          <w:rFonts w:hint="eastAsia" w:ascii="宋体" w:cs="宋体"/>
          <w:kern w:val="0"/>
          <w:sz w:val="28"/>
          <w:szCs w:val="28"/>
        </w:rPr>
        <w:t>。</w:t>
      </w:r>
    </w:p>
    <w:p>
      <w:pPr>
        <w:widowControl/>
        <w:spacing w:line="480" w:lineRule="auto"/>
        <w:ind w:firstLine="480"/>
        <w:rPr>
          <w:rFonts w:hint="eastAsia" w:ascii="宋体" w:cs="宋体"/>
          <w:kern w:val="0"/>
          <w:sz w:val="28"/>
          <w:szCs w:val="28"/>
        </w:rPr>
      </w:pPr>
      <w:r>
        <w:rPr>
          <w:rFonts w:hint="eastAsia" w:ascii="宋体" w:cs="宋体"/>
          <w:kern w:val="0"/>
          <w:sz w:val="28"/>
          <w:szCs w:val="28"/>
        </w:rPr>
        <w:t>（二）、</w:t>
      </w:r>
      <w:bookmarkStart w:id="0" w:name="_GoBack"/>
      <w:bookmarkEnd w:id="0"/>
      <w:r>
        <w:rPr>
          <w:rFonts w:hint="eastAsia" w:ascii="宋体" w:cs="宋体"/>
          <w:kern w:val="0"/>
          <w:sz w:val="28"/>
          <w:szCs w:val="28"/>
        </w:rPr>
        <w:t>部门（单位）整体支出规模、使用方向和主要内容、涉及范围：全年整体支出规模</w:t>
      </w:r>
      <w:r>
        <w:rPr>
          <w:rFonts w:hint="eastAsia" w:ascii="宋体" w:cs="宋体"/>
          <w:kern w:val="0"/>
          <w:sz w:val="28"/>
          <w:szCs w:val="28"/>
          <w:lang w:val="en-US" w:eastAsia="zh-CN"/>
        </w:rPr>
        <w:t>1050.64</w:t>
      </w:r>
      <w:r>
        <w:rPr>
          <w:rFonts w:hint="eastAsia" w:ascii="宋体" w:cs="宋体"/>
          <w:kern w:val="0"/>
          <w:sz w:val="28"/>
          <w:szCs w:val="28"/>
        </w:rPr>
        <w:t>万元，涉及工作内容及范围：</w:t>
      </w:r>
    </w:p>
    <w:p>
      <w:pPr>
        <w:snapToGrid w:val="0"/>
        <w:spacing w:line="520" w:lineRule="exact"/>
        <w:ind w:firstLine="560" w:firstLineChars="200"/>
        <w:rPr>
          <w:rFonts w:hint="eastAsia" w:ascii="宋体" w:cs="宋体"/>
          <w:kern w:val="0"/>
          <w:sz w:val="28"/>
          <w:szCs w:val="28"/>
        </w:rPr>
      </w:pPr>
      <w:r>
        <w:rPr>
          <w:rFonts w:hint="eastAsia" w:ascii="宋体" w:cs="宋体"/>
          <w:kern w:val="0"/>
          <w:sz w:val="28"/>
          <w:szCs w:val="28"/>
        </w:rPr>
        <w:t>20</w:t>
      </w:r>
      <w:r>
        <w:rPr>
          <w:rFonts w:hint="eastAsia" w:ascii="宋体" w:cs="宋体"/>
          <w:kern w:val="0"/>
          <w:sz w:val="28"/>
          <w:szCs w:val="28"/>
          <w:lang w:val="en-US" w:eastAsia="zh-CN"/>
        </w:rPr>
        <w:t>20</w:t>
      </w:r>
      <w:r>
        <w:rPr>
          <w:rFonts w:hint="eastAsia" w:ascii="宋体" w:cs="宋体"/>
          <w:kern w:val="0"/>
          <w:sz w:val="28"/>
          <w:szCs w:val="28"/>
        </w:rPr>
        <w:t>年度财政拨款支出</w:t>
      </w:r>
      <w:r>
        <w:rPr>
          <w:rFonts w:hint="eastAsia" w:ascii="宋体" w:cs="宋体"/>
          <w:kern w:val="0"/>
          <w:sz w:val="28"/>
          <w:szCs w:val="28"/>
          <w:lang w:val="en-US" w:eastAsia="zh-CN"/>
        </w:rPr>
        <w:t>1050.64</w:t>
      </w:r>
      <w:r>
        <w:rPr>
          <w:rFonts w:hint="eastAsia" w:ascii="宋体" w:cs="宋体"/>
          <w:kern w:val="0"/>
          <w:sz w:val="28"/>
          <w:szCs w:val="28"/>
        </w:rPr>
        <w:t>万元，其中：一般公共服务</w:t>
      </w:r>
      <w:r>
        <w:rPr>
          <w:rFonts w:hint="eastAsia" w:ascii="宋体" w:cs="宋体"/>
          <w:kern w:val="0"/>
          <w:sz w:val="28"/>
          <w:szCs w:val="28"/>
          <w:lang w:val="en-US" w:eastAsia="zh-CN"/>
        </w:rPr>
        <w:t>507.16</w:t>
      </w:r>
      <w:r>
        <w:rPr>
          <w:rFonts w:hint="eastAsia" w:ascii="宋体" w:cs="宋体"/>
          <w:kern w:val="0"/>
          <w:sz w:val="28"/>
          <w:szCs w:val="28"/>
        </w:rPr>
        <w:t>万元，</w:t>
      </w:r>
      <w:r>
        <w:rPr>
          <w:rFonts w:hint="eastAsia" w:ascii="宋体" w:cs="宋体"/>
          <w:kern w:val="0"/>
          <w:sz w:val="28"/>
          <w:szCs w:val="28"/>
          <w:lang w:eastAsia="zh-CN"/>
        </w:rPr>
        <w:t>公共卫生健康支出</w:t>
      </w:r>
      <w:r>
        <w:rPr>
          <w:rFonts w:hint="eastAsia" w:ascii="宋体" w:cs="宋体"/>
          <w:kern w:val="0"/>
          <w:sz w:val="28"/>
          <w:szCs w:val="28"/>
          <w:lang w:val="en-US" w:eastAsia="zh-CN"/>
        </w:rPr>
        <w:t>35.65</w:t>
      </w:r>
      <w:r>
        <w:rPr>
          <w:rFonts w:hint="eastAsia" w:ascii="宋体" w:cs="宋体"/>
          <w:kern w:val="0"/>
          <w:sz w:val="28"/>
          <w:szCs w:val="28"/>
        </w:rPr>
        <w:t>万元，社会保障和就业</w:t>
      </w:r>
      <w:r>
        <w:rPr>
          <w:rFonts w:hint="eastAsia" w:ascii="宋体" w:cs="宋体"/>
          <w:kern w:val="0"/>
          <w:sz w:val="28"/>
          <w:szCs w:val="28"/>
          <w:lang w:val="en-US" w:eastAsia="zh-CN"/>
        </w:rPr>
        <w:t>135.25</w:t>
      </w:r>
      <w:r>
        <w:rPr>
          <w:rFonts w:hint="eastAsia" w:ascii="宋体" w:cs="宋体"/>
          <w:kern w:val="0"/>
          <w:sz w:val="28"/>
          <w:szCs w:val="28"/>
        </w:rPr>
        <w:t>万元，城乡社区</w:t>
      </w:r>
      <w:r>
        <w:rPr>
          <w:rFonts w:hint="eastAsia" w:ascii="宋体" w:cs="宋体"/>
          <w:kern w:val="0"/>
          <w:sz w:val="28"/>
          <w:szCs w:val="28"/>
          <w:lang w:val="en-US" w:eastAsia="zh-CN"/>
        </w:rPr>
        <w:t>18.94</w:t>
      </w:r>
      <w:r>
        <w:rPr>
          <w:rFonts w:hint="eastAsia" w:ascii="宋体" w:cs="宋体"/>
          <w:kern w:val="0"/>
          <w:sz w:val="28"/>
          <w:szCs w:val="28"/>
        </w:rPr>
        <w:t>万元，资源勘探信息</w:t>
      </w:r>
      <w:r>
        <w:rPr>
          <w:rFonts w:hint="eastAsia" w:ascii="宋体" w:cs="宋体"/>
          <w:kern w:val="0"/>
          <w:sz w:val="28"/>
          <w:szCs w:val="28"/>
          <w:lang w:val="en-US" w:eastAsia="zh-CN"/>
        </w:rPr>
        <w:t>8.43</w:t>
      </w:r>
      <w:r>
        <w:rPr>
          <w:rFonts w:hint="eastAsia" w:ascii="宋体" w:cs="宋体"/>
          <w:kern w:val="0"/>
          <w:sz w:val="28"/>
          <w:szCs w:val="28"/>
        </w:rPr>
        <w:t>万元,医疗卫生与计划生育</w:t>
      </w:r>
      <w:r>
        <w:rPr>
          <w:rFonts w:hint="eastAsia" w:ascii="宋体" w:cs="宋体"/>
          <w:kern w:val="0"/>
          <w:sz w:val="28"/>
          <w:szCs w:val="28"/>
          <w:lang w:val="en-US" w:eastAsia="zh-CN"/>
        </w:rPr>
        <w:t>31.29</w:t>
      </w:r>
      <w:r>
        <w:rPr>
          <w:rFonts w:hint="eastAsia" w:ascii="宋体" w:cs="宋体"/>
          <w:kern w:val="0"/>
          <w:sz w:val="28"/>
          <w:szCs w:val="28"/>
        </w:rPr>
        <w:t>万元，农林水</w:t>
      </w:r>
      <w:r>
        <w:rPr>
          <w:rFonts w:hint="eastAsia" w:ascii="宋体" w:cs="宋体"/>
          <w:kern w:val="0"/>
          <w:sz w:val="28"/>
          <w:szCs w:val="28"/>
          <w:lang w:val="en-US" w:eastAsia="zh-CN"/>
        </w:rPr>
        <w:t>332.63</w:t>
      </w:r>
      <w:r>
        <w:rPr>
          <w:rFonts w:hint="eastAsia" w:ascii="宋体" w:cs="宋体"/>
          <w:kern w:val="0"/>
          <w:sz w:val="28"/>
          <w:szCs w:val="28"/>
        </w:rPr>
        <w:t>万元。入较去年</w:t>
      </w:r>
      <w:r>
        <w:rPr>
          <w:rFonts w:hint="eastAsia" w:ascii="宋体" w:cs="宋体"/>
          <w:kern w:val="0"/>
          <w:sz w:val="28"/>
          <w:szCs w:val="28"/>
          <w:lang w:eastAsia="zh-CN"/>
        </w:rPr>
        <w:t>增加</w:t>
      </w:r>
      <w:r>
        <w:rPr>
          <w:rFonts w:hint="eastAsia" w:ascii="宋体" w:cs="宋体"/>
          <w:kern w:val="0"/>
          <w:sz w:val="28"/>
          <w:szCs w:val="28"/>
          <w:lang w:val="en-US" w:eastAsia="zh-CN"/>
        </w:rPr>
        <w:t>202.99</w:t>
      </w:r>
      <w:r>
        <w:rPr>
          <w:rFonts w:hint="eastAsia" w:ascii="宋体" w:cs="宋体"/>
          <w:kern w:val="0"/>
          <w:sz w:val="28"/>
          <w:szCs w:val="28"/>
        </w:rPr>
        <w:t>万元，主要是</w:t>
      </w:r>
      <w:r>
        <w:rPr>
          <w:rFonts w:hint="eastAsia" w:ascii="宋体" w:cs="宋体"/>
          <w:kern w:val="0"/>
          <w:sz w:val="28"/>
          <w:szCs w:val="28"/>
          <w:lang w:eastAsia="zh-CN"/>
        </w:rPr>
        <w:t>增加</w:t>
      </w:r>
      <w:r>
        <w:rPr>
          <w:rFonts w:hint="eastAsia" w:ascii="宋体" w:cs="宋体"/>
          <w:kern w:val="0"/>
          <w:sz w:val="28"/>
          <w:szCs w:val="28"/>
        </w:rPr>
        <w:t>了与收入增加部分相对应的支出。</w:t>
      </w:r>
    </w:p>
    <w:p>
      <w:pPr>
        <w:spacing w:line="580" w:lineRule="exact"/>
        <w:rPr>
          <w:rFonts w:hint="eastAsia" w:ascii="黑体" w:hAnsi="黑体" w:eastAsia="黑体" w:cs="黑体"/>
          <w:b/>
          <w:bCs/>
          <w:kern w:val="0"/>
          <w:sz w:val="32"/>
          <w:szCs w:val="32"/>
        </w:rPr>
      </w:pPr>
      <w:r>
        <w:rPr>
          <w:rFonts w:hint="eastAsia" w:ascii="黑体" w:hAnsi="黑体" w:eastAsia="黑体" w:cs="黑体"/>
          <w:b/>
          <w:bCs/>
          <w:kern w:val="0"/>
          <w:sz w:val="32"/>
          <w:szCs w:val="32"/>
        </w:rPr>
        <w:t>二、部门（单位）整体支出管理及使用情况</w:t>
      </w:r>
    </w:p>
    <w:p>
      <w:pPr>
        <w:widowControl/>
        <w:spacing w:line="480" w:lineRule="auto"/>
        <w:ind w:firstLine="480"/>
        <w:rPr>
          <w:rFonts w:hint="eastAsia" w:ascii="宋体" w:cs="宋体"/>
          <w:kern w:val="0"/>
          <w:szCs w:val="21"/>
        </w:rPr>
      </w:pPr>
      <w:r>
        <w:rPr>
          <w:rFonts w:hint="eastAsia" w:ascii="宋体" w:cs="宋体"/>
          <w:kern w:val="0"/>
          <w:szCs w:val="21"/>
        </w:rPr>
        <w:t>（一）基本支出</w:t>
      </w:r>
    </w:p>
    <w:p>
      <w:pPr>
        <w:widowControl/>
        <w:spacing w:line="480" w:lineRule="auto"/>
        <w:ind w:firstLine="480"/>
        <w:rPr>
          <w:rFonts w:hint="eastAsia" w:ascii="宋体" w:cs="宋体"/>
          <w:kern w:val="0"/>
          <w:sz w:val="28"/>
          <w:szCs w:val="28"/>
        </w:rPr>
      </w:pPr>
      <w:r>
        <w:rPr>
          <w:rFonts w:hint="eastAsia" w:ascii="宋体" w:cs="宋体"/>
          <w:kern w:val="0"/>
          <w:sz w:val="28"/>
          <w:szCs w:val="28"/>
        </w:rPr>
        <w:t>1、收入情况</w:t>
      </w:r>
    </w:p>
    <w:p>
      <w:pPr>
        <w:widowControl/>
        <w:spacing w:line="480" w:lineRule="auto"/>
        <w:ind w:firstLine="480"/>
        <w:rPr>
          <w:rFonts w:hint="eastAsia" w:ascii="宋体" w:cs="宋体"/>
          <w:kern w:val="0"/>
          <w:sz w:val="28"/>
          <w:szCs w:val="28"/>
        </w:rPr>
      </w:pPr>
      <w:r>
        <w:rPr>
          <w:rFonts w:hint="eastAsia" w:ascii="宋体" w:cs="宋体"/>
          <w:kern w:val="0"/>
          <w:sz w:val="28"/>
          <w:szCs w:val="28"/>
        </w:rPr>
        <w:t>2020年决算数</w:t>
      </w:r>
      <w:r>
        <w:rPr>
          <w:rFonts w:hint="eastAsia" w:ascii="宋体" w:cs="宋体"/>
          <w:kern w:val="0"/>
          <w:sz w:val="28"/>
          <w:szCs w:val="28"/>
          <w:lang w:val="en-US" w:eastAsia="zh-CN"/>
        </w:rPr>
        <w:t>1050.64</w:t>
      </w:r>
      <w:r>
        <w:rPr>
          <w:rFonts w:hint="eastAsia" w:ascii="宋体" w:cs="宋体"/>
          <w:kern w:val="0"/>
          <w:sz w:val="28"/>
          <w:szCs w:val="28"/>
        </w:rPr>
        <w:t>万元，其中，一般公共决算拨款</w:t>
      </w:r>
      <w:r>
        <w:rPr>
          <w:rFonts w:hint="eastAsia" w:ascii="宋体" w:cs="宋体"/>
          <w:kern w:val="0"/>
          <w:sz w:val="28"/>
          <w:szCs w:val="28"/>
          <w:lang w:val="en-US" w:eastAsia="zh-CN"/>
        </w:rPr>
        <w:t>1050.64</w:t>
      </w:r>
      <w:r>
        <w:rPr>
          <w:rFonts w:hint="eastAsia" w:ascii="宋体" w:cs="宋体"/>
          <w:kern w:val="0"/>
          <w:sz w:val="28"/>
          <w:szCs w:val="28"/>
        </w:rPr>
        <w:t>万元，政府性基金拨款0万元，财政专户管理的非税收入拨款</w:t>
      </w:r>
      <w:r>
        <w:rPr>
          <w:rFonts w:hint="eastAsia" w:ascii="宋体" w:cs="宋体"/>
          <w:kern w:val="0"/>
          <w:sz w:val="28"/>
          <w:szCs w:val="28"/>
          <w:lang w:val="en-US" w:eastAsia="zh-CN"/>
        </w:rPr>
        <w:t>0</w:t>
      </w:r>
      <w:r>
        <w:rPr>
          <w:rFonts w:hint="eastAsia" w:ascii="宋体" w:cs="宋体"/>
          <w:kern w:val="0"/>
          <w:sz w:val="28"/>
          <w:szCs w:val="28"/>
        </w:rPr>
        <w:t>万元，上级补助收入0万元。收入较去年</w:t>
      </w:r>
      <w:r>
        <w:rPr>
          <w:rFonts w:hint="eastAsia" w:ascii="宋体" w:cs="宋体"/>
          <w:kern w:val="0"/>
          <w:sz w:val="28"/>
          <w:szCs w:val="28"/>
          <w:lang w:eastAsia="zh-CN"/>
        </w:rPr>
        <w:t>增加</w:t>
      </w:r>
      <w:r>
        <w:rPr>
          <w:rFonts w:hint="eastAsia" w:ascii="宋体" w:cs="宋体"/>
          <w:kern w:val="0"/>
          <w:sz w:val="28"/>
          <w:szCs w:val="28"/>
          <w:lang w:val="en-US" w:eastAsia="zh-CN"/>
        </w:rPr>
        <w:t>202.99</w:t>
      </w:r>
      <w:r>
        <w:rPr>
          <w:rFonts w:hint="eastAsia" w:ascii="宋体" w:cs="宋体"/>
          <w:kern w:val="0"/>
          <w:sz w:val="28"/>
          <w:szCs w:val="28"/>
        </w:rPr>
        <w:t>万元，</w:t>
      </w:r>
      <w:r>
        <w:rPr>
          <w:rFonts w:hint="eastAsia" w:ascii="宋体" w:cs="宋体"/>
          <w:kern w:val="0"/>
          <w:sz w:val="28"/>
          <w:szCs w:val="28"/>
          <w:lang w:eastAsia="zh-CN"/>
        </w:rPr>
        <w:t>增加</w:t>
      </w:r>
      <w:r>
        <w:rPr>
          <w:rFonts w:hint="eastAsia" w:ascii="宋体" w:cs="宋体"/>
          <w:kern w:val="0"/>
          <w:sz w:val="28"/>
          <w:szCs w:val="28"/>
        </w:rPr>
        <w:t>的原因是公用经费的调整。</w:t>
      </w:r>
    </w:p>
    <w:p>
      <w:pPr>
        <w:widowControl/>
        <w:spacing w:line="480" w:lineRule="auto"/>
        <w:ind w:firstLine="480"/>
        <w:rPr>
          <w:rFonts w:hint="eastAsia" w:ascii="宋体" w:cs="宋体"/>
          <w:kern w:val="0"/>
          <w:sz w:val="28"/>
          <w:szCs w:val="28"/>
        </w:rPr>
      </w:pPr>
      <w:r>
        <w:rPr>
          <w:rFonts w:hint="eastAsia" w:ascii="宋体" w:cs="宋体"/>
          <w:kern w:val="0"/>
          <w:sz w:val="28"/>
          <w:szCs w:val="28"/>
        </w:rPr>
        <w:t xml:space="preserve"> 2、支出情况</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20</w:t>
      </w:r>
      <w:r>
        <w:rPr>
          <w:rFonts w:hint="eastAsia" w:ascii="宋体" w:cs="宋体"/>
          <w:kern w:val="0"/>
          <w:sz w:val="28"/>
          <w:szCs w:val="28"/>
          <w:lang w:val="en-US" w:eastAsia="zh-CN"/>
        </w:rPr>
        <w:t>20</w:t>
      </w:r>
      <w:r>
        <w:rPr>
          <w:rFonts w:hint="eastAsia" w:ascii="宋体" w:cs="宋体"/>
          <w:kern w:val="0"/>
          <w:sz w:val="28"/>
          <w:szCs w:val="28"/>
          <w:lang w:eastAsia="zh-CN"/>
        </w:rPr>
        <w:t>年总支出</w:t>
      </w:r>
      <w:r>
        <w:rPr>
          <w:rFonts w:hint="eastAsia" w:ascii="宋体" w:cs="宋体"/>
          <w:kern w:val="0"/>
          <w:sz w:val="28"/>
          <w:szCs w:val="28"/>
          <w:lang w:val="en-US" w:eastAsia="zh-CN"/>
        </w:rPr>
        <w:t>1050.64</w:t>
      </w:r>
      <w:r>
        <w:rPr>
          <w:rFonts w:hint="eastAsia" w:ascii="宋体" w:cs="宋体"/>
          <w:kern w:val="0"/>
          <w:sz w:val="28"/>
          <w:szCs w:val="28"/>
          <w:lang w:eastAsia="zh-CN"/>
        </w:rPr>
        <w:t>万元。</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2020年一般公共决算拨款收入</w:t>
      </w:r>
      <w:r>
        <w:rPr>
          <w:rFonts w:hint="eastAsia" w:ascii="宋体" w:cs="宋体"/>
          <w:kern w:val="0"/>
          <w:sz w:val="28"/>
          <w:szCs w:val="28"/>
          <w:lang w:val="en-US" w:eastAsia="zh-CN"/>
        </w:rPr>
        <w:t>1050.64</w:t>
      </w:r>
      <w:r>
        <w:rPr>
          <w:rFonts w:hint="eastAsia" w:ascii="宋体" w:cs="宋体"/>
          <w:kern w:val="0"/>
          <w:sz w:val="28"/>
          <w:szCs w:val="28"/>
          <w:lang w:eastAsia="zh-CN"/>
        </w:rPr>
        <w:t>万元，具体安排情况如下：</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（一）基本支出：2020年决算数为</w:t>
      </w:r>
      <w:r>
        <w:rPr>
          <w:rFonts w:hint="eastAsia" w:ascii="宋体" w:cs="宋体"/>
          <w:kern w:val="0"/>
          <w:sz w:val="28"/>
          <w:szCs w:val="28"/>
          <w:lang w:val="en-US" w:eastAsia="zh-CN"/>
        </w:rPr>
        <w:t>995.56</w:t>
      </w:r>
      <w:r>
        <w:rPr>
          <w:rFonts w:hint="eastAsia" w:ascii="宋体" w:cs="宋体"/>
          <w:kern w:val="0"/>
          <w:sz w:val="28"/>
          <w:szCs w:val="28"/>
          <w:lang w:eastAsia="zh-CN"/>
        </w:rPr>
        <w:t>万元，是指为保障单位机构正常运转、完成日常工作任务而发生的各项支出，包括用于基本工资、津贴补贴等人员经费以及办公费、印刷费、水电费、办公设备购置等日常公用经费。</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（二）项目支出：2020年决算数为</w:t>
      </w:r>
      <w:r>
        <w:rPr>
          <w:rFonts w:hint="eastAsia" w:ascii="宋体" w:cs="宋体"/>
          <w:kern w:val="0"/>
          <w:sz w:val="28"/>
          <w:szCs w:val="28"/>
          <w:lang w:val="en-US" w:eastAsia="zh-CN"/>
        </w:rPr>
        <w:t>55.08</w:t>
      </w:r>
      <w:r>
        <w:rPr>
          <w:rFonts w:hint="eastAsia" w:ascii="宋体" w:cs="宋体"/>
          <w:kern w:val="0"/>
          <w:sz w:val="28"/>
          <w:szCs w:val="28"/>
          <w:lang w:eastAsia="zh-CN"/>
        </w:rPr>
        <w:t>万元，是指单位为完成特定行政工作任务或事业发展目标而发生的支出，包括有关事业发展专项、专项业务费、基本建设支出等。</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各项支出严格执行“厉行节约、反对浪费”的规定，严格控制“三公”经费支出， “三公”经费及会议费较上年均有所下降。</w:t>
      </w:r>
    </w:p>
    <w:p>
      <w:pPr>
        <w:widowControl/>
        <w:spacing w:line="480" w:lineRule="auto"/>
        <w:ind w:firstLine="480"/>
        <w:rPr>
          <w:rFonts w:hint="eastAsia" w:ascii="宋体" w:cs="宋体"/>
          <w:kern w:val="0"/>
          <w:sz w:val="28"/>
          <w:szCs w:val="28"/>
          <w:lang w:eastAsia="zh-CN"/>
        </w:rPr>
      </w:pPr>
      <w:r>
        <w:rPr>
          <w:rFonts w:hint="eastAsia" w:ascii="宋体" w:cs="宋体"/>
          <w:kern w:val="0"/>
          <w:sz w:val="28"/>
          <w:szCs w:val="28"/>
          <w:lang w:eastAsia="zh-CN"/>
        </w:rPr>
        <w:t>2020年“三公”经费决算数为17.8万元，其中，公务接待费 10.4  万元，公务用车购置及运行费7.4万元（其中，公务用车购置费0万元，公务用车运行费7.4万元），因公出国（境）费0万元。 2020年“三公”经费决算较2019年减少1.6万元。</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（二）专项支出</w:t>
      </w:r>
    </w:p>
    <w:p>
      <w:pPr>
        <w:widowControl/>
        <w:spacing w:line="480" w:lineRule="auto"/>
        <w:ind w:firstLine="480"/>
        <w:rPr>
          <w:rFonts w:hint="eastAsia" w:ascii="宋体" w:cs="宋体"/>
          <w:kern w:val="0"/>
          <w:sz w:val="28"/>
          <w:szCs w:val="28"/>
        </w:rPr>
      </w:pPr>
      <w:r>
        <w:rPr>
          <w:rFonts w:hint="eastAsia" w:ascii="宋体" w:cs="宋体"/>
          <w:kern w:val="0"/>
          <w:sz w:val="28"/>
          <w:szCs w:val="28"/>
        </w:rPr>
        <w:t>（1）专项资金（包括财政资金、自筹资金等）安排落实、总投入等情况分析。</w:t>
      </w:r>
    </w:p>
    <w:p>
      <w:pPr>
        <w:widowControl/>
        <w:spacing w:line="480" w:lineRule="auto"/>
        <w:rPr>
          <w:rFonts w:hint="eastAsia" w:ascii="宋体" w:cs="宋体"/>
          <w:kern w:val="0"/>
          <w:sz w:val="28"/>
          <w:szCs w:val="28"/>
        </w:rPr>
      </w:pPr>
      <w:r>
        <w:rPr>
          <w:rFonts w:hint="eastAsia" w:ascii="宋体" w:cs="宋体"/>
          <w:kern w:val="0"/>
          <w:sz w:val="28"/>
          <w:szCs w:val="28"/>
          <w:lang w:eastAsia="zh-CN"/>
        </w:rPr>
        <w:t>20</w:t>
      </w:r>
      <w:r>
        <w:rPr>
          <w:rFonts w:hint="eastAsia" w:ascii="宋体" w:cs="宋体"/>
          <w:kern w:val="0"/>
          <w:sz w:val="28"/>
          <w:szCs w:val="28"/>
          <w:lang w:val="en-US" w:eastAsia="zh-CN"/>
        </w:rPr>
        <w:t>20</w:t>
      </w:r>
      <w:r>
        <w:rPr>
          <w:rFonts w:hint="eastAsia" w:ascii="宋体" w:cs="宋体"/>
          <w:kern w:val="0"/>
          <w:sz w:val="28"/>
          <w:szCs w:val="28"/>
        </w:rPr>
        <w:t>年专项资金投入</w:t>
      </w:r>
      <w:r>
        <w:rPr>
          <w:rFonts w:hint="eastAsia" w:ascii="宋体" w:cs="宋体"/>
          <w:kern w:val="0"/>
          <w:sz w:val="28"/>
          <w:szCs w:val="28"/>
          <w:lang w:val="en-US" w:eastAsia="zh-CN"/>
        </w:rPr>
        <w:t>55.08</w:t>
      </w:r>
      <w:r>
        <w:rPr>
          <w:rFonts w:hint="eastAsia" w:ascii="宋体" w:cs="宋体"/>
          <w:kern w:val="0"/>
          <w:sz w:val="28"/>
          <w:szCs w:val="28"/>
        </w:rPr>
        <w:t>万元。</w:t>
      </w:r>
    </w:p>
    <w:p>
      <w:pPr>
        <w:widowControl/>
        <w:spacing w:line="480" w:lineRule="auto"/>
        <w:ind w:firstLine="480"/>
        <w:rPr>
          <w:rFonts w:hint="eastAsia" w:ascii="宋体" w:cs="宋体"/>
          <w:kern w:val="0"/>
          <w:sz w:val="28"/>
          <w:szCs w:val="28"/>
        </w:rPr>
      </w:pPr>
      <w:r>
        <w:rPr>
          <w:rFonts w:hint="eastAsia" w:ascii="宋体" w:cs="宋体"/>
          <w:kern w:val="0"/>
          <w:sz w:val="28"/>
          <w:szCs w:val="28"/>
        </w:rPr>
        <w:t>（2）专项资金实际使用情况分析。</w:t>
      </w:r>
    </w:p>
    <w:p>
      <w:pPr>
        <w:widowControl/>
        <w:spacing w:line="480" w:lineRule="auto"/>
        <w:rPr>
          <w:rFonts w:hint="eastAsia" w:ascii="宋体" w:cs="宋体"/>
          <w:kern w:val="0"/>
          <w:sz w:val="28"/>
          <w:szCs w:val="28"/>
        </w:rPr>
      </w:pPr>
      <w:r>
        <w:rPr>
          <w:rFonts w:hint="eastAsia" w:ascii="宋体" w:cs="宋体"/>
          <w:kern w:val="0"/>
          <w:sz w:val="28"/>
          <w:szCs w:val="28"/>
          <w:lang w:eastAsia="zh-CN"/>
        </w:rPr>
        <w:t>20</w:t>
      </w:r>
      <w:r>
        <w:rPr>
          <w:rFonts w:hint="eastAsia" w:ascii="宋体" w:cs="宋体"/>
          <w:kern w:val="0"/>
          <w:sz w:val="28"/>
          <w:szCs w:val="28"/>
          <w:lang w:val="en-US" w:eastAsia="zh-CN"/>
        </w:rPr>
        <w:t>20</w:t>
      </w:r>
      <w:r>
        <w:rPr>
          <w:rFonts w:hint="eastAsia" w:ascii="宋体" w:cs="宋体"/>
          <w:kern w:val="0"/>
          <w:sz w:val="28"/>
          <w:szCs w:val="28"/>
        </w:rPr>
        <w:t>年专项资金支出为</w:t>
      </w:r>
      <w:r>
        <w:rPr>
          <w:rFonts w:hint="eastAsia" w:ascii="宋体" w:cs="宋体"/>
          <w:kern w:val="0"/>
          <w:sz w:val="28"/>
          <w:szCs w:val="28"/>
          <w:lang w:val="en-US" w:eastAsia="zh-CN"/>
        </w:rPr>
        <w:t>55.08</w:t>
      </w:r>
      <w:r>
        <w:rPr>
          <w:rFonts w:hint="eastAsia" w:ascii="宋体" w:cs="宋体"/>
          <w:kern w:val="0"/>
          <w:sz w:val="28"/>
          <w:szCs w:val="28"/>
        </w:rPr>
        <w:t>万元，主要用于</w:t>
      </w:r>
      <w:r>
        <w:rPr>
          <w:rFonts w:hint="eastAsia" w:ascii="宋体" w:cs="宋体"/>
          <w:kern w:val="0"/>
          <w:sz w:val="28"/>
          <w:szCs w:val="28"/>
          <w:lang w:eastAsia="zh-CN"/>
        </w:rPr>
        <w:t>道路交通</w:t>
      </w:r>
      <w:r>
        <w:rPr>
          <w:rFonts w:hint="eastAsia" w:ascii="宋体" w:cs="宋体"/>
          <w:kern w:val="0"/>
          <w:sz w:val="28"/>
          <w:szCs w:val="28"/>
        </w:rPr>
        <w:t>建设及产业发展等</w:t>
      </w:r>
      <w:r>
        <w:rPr>
          <w:rFonts w:hint="eastAsia" w:ascii="宋体" w:cs="宋体"/>
          <w:kern w:val="0"/>
          <w:sz w:val="28"/>
          <w:szCs w:val="28"/>
          <w:lang w:val="en-US" w:eastAsia="zh-CN"/>
        </w:rPr>
        <w:t>3</w:t>
      </w:r>
      <w:r>
        <w:rPr>
          <w:rFonts w:hint="eastAsia" w:ascii="宋体" w:cs="宋体"/>
          <w:kern w:val="0"/>
          <w:sz w:val="28"/>
          <w:szCs w:val="28"/>
        </w:rPr>
        <w:t>个项目。</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（3）专项资金管理情况分析，主要包括管理制度、办法的制订及执行情况。</w:t>
      </w:r>
    </w:p>
    <w:p>
      <w:pPr>
        <w:widowControl/>
        <w:spacing w:line="480" w:lineRule="auto"/>
        <w:ind w:firstLine="480"/>
        <w:rPr>
          <w:rFonts w:hint="eastAsia" w:ascii="宋体" w:cs="宋体"/>
          <w:kern w:val="0"/>
          <w:sz w:val="28"/>
          <w:szCs w:val="28"/>
        </w:rPr>
      </w:pPr>
      <w:r>
        <w:rPr>
          <w:rFonts w:hint="eastAsia" w:ascii="宋体" w:cs="宋体"/>
          <w:kern w:val="0"/>
          <w:sz w:val="28"/>
          <w:szCs w:val="28"/>
        </w:rPr>
        <w:t>各项扶贫专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p>
    <w:p>
      <w:pPr>
        <w:spacing w:line="580" w:lineRule="exact"/>
        <w:rPr>
          <w:rFonts w:hint="eastAsia" w:ascii="黑体" w:hAnsi="黑体" w:eastAsia="黑体" w:cs="黑体"/>
          <w:b/>
          <w:bCs/>
          <w:kern w:val="0"/>
          <w:sz w:val="32"/>
          <w:szCs w:val="32"/>
        </w:rPr>
      </w:pPr>
      <w:r>
        <w:rPr>
          <w:rFonts w:hint="eastAsia" w:ascii="黑体" w:hAnsi="黑体" w:eastAsia="黑体" w:cs="黑体"/>
          <w:b/>
          <w:bCs/>
          <w:kern w:val="0"/>
          <w:sz w:val="32"/>
          <w:szCs w:val="32"/>
        </w:rPr>
        <w:t>三、部门（单位）专项组织实施情况</w:t>
      </w:r>
    </w:p>
    <w:p>
      <w:pPr>
        <w:widowControl/>
        <w:spacing w:line="480" w:lineRule="auto"/>
        <w:ind w:firstLine="560" w:firstLineChars="200"/>
        <w:rPr>
          <w:rFonts w:ascii="宋体" w:cs="宋体"/>
          <w:kern w:val="0"/>
          <w:sz w:val="28"/>
          <w:szCs w:val="28"/>
        </w:rPr>
      </w:pPr>
      <w:r>
        <w:rPr>
          <w:rFonts w:hint="eastAsia" w:ascii="宋体" w:cs="宋体"/>
          <w:kern w:val="0"/>
          <w:sz w:val="28"/>
          <w:szCs w:val="28"/>
        </w:rPr>
        <w:t>（一）专项组织情况分析</w:t>
      </w:r>
    </w:p>
    <w:p>
      <w:pPr>
        <w:widowControl/>
        <w:spacing w:line="480" w:lineRule="auto"/>
        <w:ind w:firstLine="560" w:firstLineChars="200"/>
        <w:rPr>
          <w:rFonts w:ascii="宋体" w:cs="宋体"/>
          <w:kern w:val="0"/>
          <w:sz w:val="28"/>
          <w:szCs w:val="28"/>
        </w:rPr>
      </w:pPr>
      <w:r>
        <w:rPr>
          <w:rFonts w:hint="eastAsia" w:ascii="宋体" w:cs="宋体"/>
          <w:kern w:val="0"/>
          <w:sz w:val="28"/>
          <w:szCs w:val="28"/>
        </w:rPr>
        <w:t>扶贫项目严格按要求先立项再施工，最后验收进行结算，强化项目的监督管理，实行工程项目公示制，按扶贫专项资金的用途专款专用。</w:t>
      </w:r>
    </w:p>
    <w:p>
      <w:pPr>
        <w:widowControl/>
        <w:spacing w:line="480" w:lineRule="auto"/>
        <w:ind w:firstLine="480"/>
        <w:rPr>
          <w:rFonts w:ascii="宋体" w:cs="宋体"/>
          <w:kern w:val="0"/>
          <w:sz w:val="28"/>
          <w:szCs w:val="28"/>
        </w:rPr>
      </w:pPr>
      <w:r>
        <w:rPr>
          <w:rFonts w:hint="eastAsia" w:ascii="宋体" w:cs="宋体"/>
          <w:kern w:val="0"/>
          <w:sz w:val="28"/>
          <w:szCs w:val="28"/>
        </w:rPr>
        <w:t>（二）专项管理情况分析</w:t>
      </w:r>
    </w:p>
    <w:p>
      <w:pPr>
        <w:widowControl/>
        <w:spacing w:line="480" w:lineRule="auto"/>
        <w:ind w:firstLine="480"/>
        <w:rPr>
          <w:rFonts w:ascii="宋体" w:cs="宋体"/>
          <w:kern w:val="0"/>
          <w:sz w:val="28"/>
          <w:szCs w:val="28"/>
        </w:rPr>
      </w:pPr>
      <w:r>
        <w:rPr>
          <w:rFonts w:hint="eastAsia" w:ascii="宋体" w:cs="宋体"/>
          <w:kern w:val="0"/>
          <w:sz w:val="28"/>
          <w:szCs w:val="28"/>
        </w:rPr>
        <w:t>在使用专项资金时，严格执行专项资使用制度和财务制度，同时对各项专项资金的使用流程进行监督，定时上报专项资金拨付使用情况。</w:t>
      </w:r>
    </w:p>
    <w:p>
      <w:pPr>
        <w:spacing w:line="580" w:lineRule="exact"/>
        <w:rPr>
          <w:rFonts w:hint="eastAsia" w:ascii="黑体" w:hAnsi="黑体" w:eastAsia="黑体" w:cs="黑体"/>
          <w:b/>
          <w:bCs/>
          <w:kern w:val="0"/>
          <w:sz w:val="32"/>
          <w:szCs w:val="32"/>
        </w:rPr>
      </w:pPr>
      <w:r>
        <w:rPr>
          <w:rFonts w:hint="eastAsia" w:ascii="黑体" w:hAnsi="黑体" w:eastAsia="黑体" w:cs="黑体"/>
          <w:b/>
          <w:bCs/>
          <w:kern w:val="0"/>
          <w:sz w:val="32"/>
          <w:szCs w:val="32"/>
        </w:rPr>
        <w:t>四、部门（单位）整体支出绩效情况</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1、</w:t>
      </w:r>
      <w:r>
        <w:rPr>
          <w:rFonts w:hint="eastAsia" w:ascii="宋体" w:cs="宋体"/>
          <w:kern w:val="0"/>
          <w:sz w:val="28"/>
          <w:szCs w:val="28"/>
          <w:lang w:eastAsia="zh-CN"/>
        </w:rPr>
        <w:t>20</w:t>
      </w:r>
      <w:r>
        <w:rPr>
          <w:rFonts w:hint="eastAsia" w:ascii="宋体" w:cs="宋体"/>
          <w:kern w:val="0"/>
          <w:sz w:val="28"/>
          <w:szCs w:val="28"/>
          <w:lang w:val="en-US" w:eastAsia="zh-CN"/>
        </w:rPr>
        <w:t>20</w:t>
      </w:r>
      <w:r>
        <w:rPr>
          <w:rFonts w:hint="eastAsia" w:ascii="宋体" w:cs="宋体"/>
          <w:kern w:val="0"/>
          <w:sz w:val="28"/>
          <w:szCs w:val="28"/>
        </w:rPr>
        <w:t>年顺利</w:t>
      </w:r>
      <w:r>
        <w:rPr>
          <w:rFonts w:hint="eastAsia" w:ascii="宋体" w:cs="宋体"/>
          <w:kern w:val="0"/>
          <w:sz w:val="28"/>
          <w:szCs w:val="28"/>
          <w:lang w:eastAsia="zh-CN"/>
        </w:rPr>
        <w:t>脱贫，</w:t>
      </w:r>
      <w:r>
        <w:rPr>
          <w:rFonts w:hint="eastAsia" w:ascii="宋体" w:cs="宋体"/>
          <w:kern w:val="0"/>
          <w:sz w:val="28"/>
          <w:szCs w:val="28"/>
        </w:rPr>
        <w:t>完成扶贫项目建设</w:t>
      </w:r>
      <w:r>
        <w:rPr>
          <w:rFonts w:hint="eastAsia" w:ascii="宋体" w:cs="宋体"/>
          <w:kern w:val="0"/>
          <w:sz w:val="28"/>
          <w:szCs w:val="28"/>
          <w:lang w:val="en-US" w:eastAsia="zh-CN"/>
        </w:rPr>
        <w:t>3</w:t>
      </w:r>
      <w:r>
        <w:rPr>
          <w:rFonts w:hint="eastAsia" w:ascii="宋体" w:cs="宋体"/>
          <w:kern w:val="0"/>
          <w:sz w:val="28"/>
          <w:szCs w:val="28"/>
        </w:rPr>
        <w:t>个共</w:t>
      </w:r>
      <w:r>
        <w:rPr>
          <w:rFonts w:hint="eastAsia" w:ascii="宋体" w:cs="宋体"/>
          <w:kern w:val="0"/>
          <w:sz w:val="28"/>
          <w:szCs w:val="28"/>
          <w:lang w:val="en-US" w:eastAsia="zh-CN"/>
        </w:rPr>
        <w:t>55.08</w:t>
      </w:r>
      <w:r>
        <w:rPr>
          <w:rFonts w:hint="eastAsia" w:ascii="宋体" w:cs="宋体"/>
          <w:kern w:val="0"/>
          <w:sz w:val="28"/>
          <w:szCs w:val="28"/>
        </w:rPr>
        <w:t>万元。</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2、指导全乡</w:t>
      </w:r>
      <w:r>
        <w:rPr>
          <w:rFonts w:hint="eastAsia" w:ascii="宋体" w:cs="宋体"/>
          <w:kern w:val="0"/>
          <w:sz w:val="28"/>
          <w:szCs w:val="28"/>
          <w:lang w:val="en-US" w:eastAsia="zh-CN"/>
        </w:rPr>
        <w:t>9</w:t>
      </w:r>
      <w:r>
        <w:rPr>
          <w:rFonts w:hint="eastAsia" w:ascii="宋体" w:cs="宋体"/>
          <w:kern w:val="0"/>
          <w:sz w:val="28"/>
          <w:szCs w:val="28"/>
        </w:rPr>
        <w:t>个行政村</w:t>
      </w:r>
      <w:r>
        <w:rPr>
          <w:rFonts w:hint="eastAsia" w:ascii="宋体" w:cs="宋体"/>
          <w:kern w:val="0"/>
          <w:sz w:val="28"/>
          <w:szCs w:val="28"/>
          <w:lang w:eastAsia="zh-CN"/>
        </w:rPr>
        <w:t>所有农村党员和机关党支部的</w:t>
      </w:r>
      <w:r>
        <w:rPr>
          <w:rFonts w:hint="eastAsia" w:ascii="宋体" w:cs="宋体"/>
          <w:kern w:val="0"/>
          <w:sz w:val="28"/>
          <w:szCs w:val="28"/>
        </w:rPr>
        <w:t>党建工作，保证了机关党建工作的顺利开展、完善了基层各村的党建工作。</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3、指导全乡近</w:t>
      </w:r>
      <w:r>
        <w:rPr>
          <w:rFonts w:hint="eastAsia" w:ascii="宋体" w:cs="宋体"/>
          <w:kern w:val="0"/>
          <w:sz w:val="28"/>
          <w:szCs w:val="28"/>
          <w:lang w:val="en-US" w:eastAsia="zh-CN"/>
        </w:rPr>
        <w:t>21000</w:t>
      </w:r>
      <w:r>
        <w:rPr>
          <w:rFonts w:hint="eastAsia" w:ascii="宋体" w:cs="宋体"/>
          <w:kern w:val="0"/>
          <w:sz w:val="28"/>
          <w:szCs w:val="28"/>
        </w:rPr>
        <w:t>人开展综治维稳和发展安全生产工作 ，保证了综治民调成绩稳中有升，落实“一单四制”，将一般性生产经营安全事故控制在零发生。</w:t>
      </w:r>
    </w:p>
    <w:p>
      <w:pPr>
        <w:widowControl/>
        <w:spacing w:line="480" w:lineRule="auto"/>
        <w:ind w:firstLine="560" w:firstLineChars="200"/>
        <w:rPr>
          <w:rFonts w:hint="eastAsia" w:ascii="宋体" w:cs="宋体"/>
          <w:kern w:val="0"/>
          <w:sz w:val="28"/>
          <w:szCs w:val="28"/>
        </w:rPr>
      </w:pPr>
      <w:r>
        <w:rPr>
          <w:rFonts w:hint="eastAsia" w:ascii="宋体" w:cs="宋体"/>
          <w:kern w:val="0"/>
          <w:sz w:val="28"/>
          <w:szCs w:val="28"/>
        </w:rPr>
        <w:t>5、完成农村义务征兵</w:t>
      </w:r>
      <w:r>
        <w:rPr>
          <w:rFonts w:hint="eastAsia" w:ascii="宋体" w:cs="宋体"/>
          <w:kern w:val="0"/>
          <w:sz w:val="28"/>
          <w:szCs w:val="28"/>
          <w:lang w:val="en-US" w:eastAsia="zh-CN"/>
        </w:rPr>
        <w:t>3</w:t>
      </w:r>
      <w:r>
        <w:rPr>
          <w:rFonts w:hint="eastAsia" w:ascii="宋体" w:cs="宋体"/>
          <w:kern w:val="0"/>
          <w:sz w:val="28"/>
          <w:szCs w:val="28"/>
        </w:rPr>
        <w:t>人、保证农村义务征兵工作的完成；完成</w:t>
      </w:r>
      <w:r>
        <w:rPr>
          <w:rFonts w:hint="eastAsia" w:ascii="宋体" w:cs="宋体"/>
          <w:kern w:val="0"/>
          <w:sz w:val="28"/>
          <w:szCs w:val="28"/>
          <w:lang w:val="en-US" w:eastAsia="zh-CN"/>
        </w:rPr>
        <w:t>30</w:t>
      </w:r>
      <w:r>
        <w:rPr>
          <w:rFonts w:hint="eastAsia" w:ascii="宋体" w:cs="宋体"/>
          <w:kern w:val="0"/>
          <w:sz w:val="28"/>
          <w:szCs w:val="28"/>
        </w:rPr>
        <w:t>人民兵整组工作、加强了武装阵地建设。</w:t>
      </w:r>
    </w:p>
    <w:p>
      <w:pPr>
        <w:widowControl/>
        <w:spacing w:line="480" w:lineRule="auto"/>
        <w:rPr>
          <w:rFonts w:hint="eastAsia" w:ascii="黑体" w:hAnsi="黑体" w:eastAsia="黑体" w:cs="黑体"/>
          <w:b/>
          <w:bCs/>
          <w:kern w:val="0"/>
          <w:sz w:val="32"/>
          <w:szCs w:val="32"/>
        </w:rPr>
      </w:pPr>
      <w:r>
        <w:rPr>
          <w:rFonts w:hint="eastAsia" w:ascii="黑体" w:hAnsi="黑体" w:eastAsia="黑体" w:cs="黑体"/>
          <w:b/>
          <w:bCs/>
          <w:kern w:val="0"/>
          <w:sz w:val="32"/>
          <w:szCs w:val="32"/>
        </w:rPr>
        <w:t>五、存在的主要问题</w:t>
      </w:r>
    </w:p>
    <w:p>
      <w:pPr>
        <w:widowControl/>
        <w:spacing w:line="480" w:lineRule="auto"/>
        <w:ind w:firstLine="140" w:firstLineChars="50"/>
        <w:rPr>
          <w:rFonts w:hint="eastAsia" w:ascii="宋体" w:cs="宋体"/>
          <w:kern w:val="0"/>
          <w:sz w:val="28"/>
          <w:szCs w:val="28"/>
          <w:lang w:val="en-US" w:eastAsia="zh-CN"/>
        </w:rPr>
      </w:pPr>
      <w:r>
        <w:rPr>
          <w:rFonts w:hint="eastAsia" w:ascii="宋体" w:cs="宋体"/>
          <w:kern w:val="0"/>
          <w:sz w:val="28"/>
          <w:szCs w:val="28"/>
        </w:rPr>
        <w:t>年初编制的预算不够精确，存在调整预算的情况，编制范围不太全面，预算执行情况还有待进一步加强。</w:t>
      </w:r>
      <w:r>
        <w:rPr>
          <w:rFonts w:hint="eastAsia" w:ascii="宋体" w:cs="宋体"/>
          <w:kern w:val="0"/>
          <w:sz w:val="28"/>
          <w:szCs w:val="28"/>
          <w:lang w:val="en-US" w:eastAsia="zh-CN"/>
        </w:rPr>
        <w:t xml:space="preserve"> </w:t>
      </w:r>
    </w:p>
    <w:p>
      <w:pPr>
        <w:widowControl/>
        <w:spacing w:line="480" w:lineRule="auto"/>
        <w:rPr>
          <w:rFonts w:hint="eastAsia" w:ascii="黑体" w:hAnsi="黑体" w:eastAsia="黑体" w:cs="黑体"/>
          <w:b/>
          <w:bCs/>
          <w:kern w:val="0"/>
          <w:sz w:val="32"/>
          <w:szCs w:val="32"/>
        </w:rPr>
      </w:pPr>
      <w:r>
        <w:rPr>
          <w:rFonts w:hint="eastAsia" w:ascii="黑体" w:hAnsi="黑体" w:eastAsia="黑体" w:cs="黑体"/>
          <w:b/>
          <w:bCs/>
          <w:kern w:val="0"/>
          <w:sz w:val="32"/>
          <w:szCs w:val="32"/>
        </w:rPr>
        <w:t>六、改进措施和建议:</w:t>
      </w:r>
    </w:p>
    <w:p>
      <w:pPr>
        <w:widowControl/>
        <w:spacing w:line="480" w:lineRule="auto"/>
        <w:ind w:firstLine="140" w:firstLineChars="50"/>
        <w:rPr>
          <w:rFonts w:hint="eastAsia" w:ascii="宋体" w:cs="宋体"/>
          <w:kern w:val="0"/>
          <w:sz w:val="28"/>
          <w:szCs w:val="28"/>
        </w:rPr>
      </w:pPr>
      <w:r>
        <w:rPr>
          <w:rFonts w:hint="eastAsia" w:ascii="宋体" w:cs="宋体"/>
          <w:kern w:val="0"/>
          <w:sz w:val="28"/>
          <w:szCs w:val="28"/>
        </w:rPr>
        <w:t>1、进一步加强预算的编制工作，提高预算编制的精确度，尽量减少预算执行调整。</w:t>
      </w:r>
    </w:p>
    <w:p>
      <w:pPr>
        <w:widowControl/>
        <w:spacing w:line="480" w:lineRule="auto"/>
        <w:ind w:firstLine="140" w:firstLineChars="50"/>
        <w:rPr>
          <w:rFonts w:hint="eastAsia" w:ascii="宋体" w:cs="宋体"/>
          <w:kern w:val="0"/>
          <w:sz w:val="28"/>
          <w:szCs w:val="28"/>
        </w:rPr>
      </w:pPr>
      <w:r>
        <w:rPr>
          <w:rFonts w:hint="eastAsia" w:ascii="宋体" w:cs="宋体"/>
          <w:kern w:val="0"/>
          <w:sz w:val="28"/>
          <w:szCs w:val="28"/>
        </w:rPr>
        <w:t>2、加强政策学习，提高思想认识。认真学习《预算法》等相关法规、制度，提高单位领导对全面预算管理的重视程度，增强财务人员的预算意识。</w:t>
      </w:r>
    </w:p>
    <w:p>
      <w:pPr>
        <w:widowControl/>
        <w:spacing w:line="480" w:lineRule="auto"/>
        <w:ind w:firstLine="140" w:firstLineChars="50"/>
        <w:rPr>
          <w:rFonts w:hint="eastAsia" w:ascii="宋体" w:cs="宋体"/>
          <w:kern w:val="0"/>
          <w:sz w:val="28"/>
          <w:szCs w:val="28"/>
        </w:rPr>
      </w:pPr>
      <w:r>
        <w:rPr>
          <w:rFonts w:hint="eastAsia" w:ascii="宋体" w:cs="宋体"/>
          <w:kern w:val="0"/>
          <w:sz w:val="28"/>
          <w:szCs w:val="28"/>
        </w:rPr>
        <w:t>3、规范账务处理，提高财务信息质量。严格按照《会计法》等规定执行财务核算，并结合实际情况，完整、准确地披露相关信息，尽可能地做到决算与预算相衔接。</w:t>
      </w:r>
    </w:p>
    <w:p>
      <w:pPr>
        <w:widowControl/>
        <w:spacing w:line="480" w:lineRule="auto"/>
        <w:ind w:firstLine="140" w:firstLineChars="50"/>
        <w:rPr>
          <w:rFonts w:hint="eastAsia" w:ascii="宋体" w:cs="宋体"/>
          <w:kern w:val="0"/>
          <w:sz w:val="28"/>
          <w:szCs w:val="28"/>
        </w:rPr>
      </w:pPr>
      <w:r>
        <w:rPr>
          <w:rFonts w:hint="eastAsia" w:ascii="宋体" w:cs="宋体"/>
          <w:kern w:val="0"/>
          <w:sz w:val="28"/>
          <w:szCs w:val="28"/>
        </w:rPr>
        <w:t>4、希望增加行政运行经费，以保障日常工作顺利进行及目标任务的圆满完成。</w:t>
      </w:r>
    </w:p>
    <w:p>
      <w:pPr>
        <w:widowControl/>
        <w:spacing w:line="480" w:lineRule="auto"/>
        <w:ind w:firstLine="140" w:firstLineChars="50"/>
        <w:rPr>
          <w:rFonts w:hint="eastAsia" w:ascii="宋体" w:cs="宋体"/>
          <w:kern w:val="0"/>
          <w:sz w:val="28"/>
          <w:szCs w:val="28"/>
        </w:rPr>
      </w:pPr>
      <w:r>
        <w:rPr>
          <w:rFonts w:hint="eastAsia" w:ascii="宋体" w:cs="宋体"/>
          <w:kern w:val="0"/>
          <w:sz w:val="28"/>
          <w:szCs w:val="28"/>
        </w:rPr>
        <w:t>5、希望财政部门更多地开展相关业务工作培训，提高财务人员业务水平。</w:t>
      </w:r>
    </w:p>
    <w:p>
      <w:pPr>
        <w:ind w:firstLine="560" w:firstLineChars="200"/>
        <w:jc w:val="left"/>
        <w:rPr>
          <w:rFonts w:cs="黑体" w:asciiTheme="minorEastAsia" w:hAnsiTheme="minorEastAsia"/>
          <w:color w:val="000000"/>
          <w:kern w:val="0"/>
          <w:sz w:val="28"/>
          <w:szCs w:val="28"/>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D35D6"/>
    <w:rsid w:val="0EBD35D6"/>
    <w:rsid w:val="4EC8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next w:val="2"/>
    <w:qFormat/>
    <w:uiPriority w:val="0"/>
    <w:pPr>
      <w:widowControl/>
      <w:spacing w:before="100" w:beforeAutospacing="1" w:after="100" w:afterAutospacing="1"/>
      <w:jc w:val="left"/>
    </w:pPr>
    <w:rPr>
      <w:rFonts w:ascii="宋体" w:hAnsi="宋体" w:cs="宋体"/>
      <w:kern w:val="0"/>
      <w:sz w:val="24"/>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2021-10-09T00:44:00Z</dcterms:created>
  <dc:creator>洪江市沙湾乡人民政府</dc:creator>
  <cp:lastModifiedBy>洪江市沙湾乡人民政府</cp:lastModifiedBy>
  <dcterms:modified xsi:type="dcterms:W3CDTF">2021-10-09T02:53:20Z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