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2021年度</w:t>
      </w:r>
    </w:p>
    <w:p>
      <w:pPr>
        <w:pStyle w:val="12"/>
        <w:jc w:val="center"/>
        <w:rPr>
          <w:sz w:val="84"/>
          <w:szCs w:val="84"/>
        </w:rPr>
      </w:pPr>
      <w:r>
        <w:rPr>
          <w:rFonts w:hint="eastAsia"/>
          <w:sz w:val="84"/>
          <w:szCs w:val="84"/>
          <w:lang w:eastAsia="zh-CN"/>
        </w:rPr>
        <w:t>洪江市岩垅乡人民政府</w:t>
      </w:r>
      <w:r>
        <w:rPr>
          <w:rFonts w:hint="eastAsia"/>
          <w:sz w:val="84"/>
          <w:szCs w:val="84"/>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center"/>
        <w:rPr>
          <w:b/>
          <w:sz w:val="36"/>
          <w:szCs w:val="28"/>
        </w:rPr>
      </w:pPr>
    </w:p>
    <w:p>
      <w:pPr>
        <w:pStyle w:val="12"/>
        <w:spacing w:line="500" w:lineRule="exact"/>
        <w:jc w:val="center"/>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岩垅乡</w:t>
      </w:r>
      <w:r>
        <w:rPr>
          <w:rFonts w:hint="eastAsia"/>
          <w:b/>
          <w:sz w:val="28"/>
          <w:szCs w:val="28"/>
        </w:rPr>
        <w:t>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sz w:val="84"/>
          <w:szCs w:val="84"/>
        </w:rPr>
      </w:pPr>
      <w:r>
        <w:rPr>
          <w:rFonts w:hint="eastAsia"/>
          <w:sz w:val="84"/>
          <w:szCs w:val="84"/>
          <w:lang w:eastAsia="zh-CN"/>
        </w:rPr>
        <w:t>洪江市岩垅乡人民政府</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7"/>
        <w:widowControl/>
        <w:shd w:val="clear" w:color="auto" w:fill="FFFFFF"/>
        <w:spacing w:beforeAutospacing="0" w:afterAutospacing="0" w:line="510" w:lineRule="atLeast"/>
        <w:ind w:firstLine="420"/>
        <w:jc w:val="both"/>
        <w:rPr>
          <w:rFonts w:hint="eastAsia" w:asciiTheme="minorEastAsia" w:hAnsiTheme="minorEastAsia"/>
          <w:sz w:val="32"/>
          <w:szCs w:val="32"/>
        </w:rPr>
      </w:pPr>
      <w:r>
        <w:rPr>
          <w:rFonts w:hint="eastAsia" w:asciiTheme="minorEastAsia" w:hAnsiTheme="minorEastAsia"/>
          <w:sz w:val="32"/>
          <w:szCs w:val="32"/>
        </w:rPr>
        <w:t>（一）洪江市岩垅乡人民政府负责制定和组织实施经济、科技和社会发展计划；制定并组织实施村乡建设规划，部署重点工程建设，地方道路建设及公共设施，水利设施的管理，负责土地、林木、水等自然资源和生态环境的保护，做好护林防火工作；负责行政区域内的民政、计划生育、文化教育、卫生、体育等社会公益事业的综合性工作，维护一切经济单位和个人的正当经济权益，取缔非法经济活动，调解和处理民事纠纷，打击刑事犯罪维护社会稳定；抓好精神文明建设，丰富群众文化活动，树立社会主义新风尚。</w:t>
      </w:r>
    </w:p>
    <w:p>
      <w:pPr>
        <w:ind w:firstLine="800" w:firstLineChars="250"/>
        <w:jc w:val="left"/>
        <w:rPr>
          <w:rFonts w:asciiTheme="minorEastAsia" w:hAnsiTheme="minorEastAsia"/>
          <w:sz w:val="32"/>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lang w:eastAsia="zh-CN"/>
        </w:rPr>
      </w:pPr>
      <w:r>
        <w:rPr>
          <w:rFonts w:hint="eastAsia" w:asciiTheme="minorEastAsia" w:hAnsiTheme="minorEastAsia"/>
          <w:bCs/>
          <w:kern w:val="0"/>
          <w:sz w:val="32"/>
          <w:szCs w:val="32"/>
        </w:rPr>
        <w:t>（一）内设机</w:t>
      </w:r>
      <w:r>
        <w:rPr>
          <w:rFonts w:hint="eastAsia" w:asciiTheme="minorEastAsia" w:hAnsiTheme="minorEastAsia"/>
          <w:bCs/>
          <w:kern w:val="0"/>
          <w:sz w:val="32"/>
          <w:szCs w:val="32"/>
          <w:lang w:eastAsia="zh-CN"/>
        </w:rPr>
        <w:t>构设置。洪江市岩垅乡人民政府内设机构包括：行政机关、计生办、财政所、农业服务站、社会事业服务站、林业站、规划建设国土环保服务站。</w:t>
      </w:r>
    </w:p>
    <w:p>
      <w:pPr>
        <w:widowControl/>
        <w:spacing w:line="600" w:lineRule="exact"/>
        <w:rPr>
          <w:rFonts w:hint="eastAsia" w:asciiTheme="minorEastAsia" w:hAnsiTheme="minorEastAsia"/>
          <w:bCs/>
          <w:kern w:val="0"/>
          <w:sz w:val="32"/>
          <w:szCs w:val="32"/>
          <w:lang w:eastAsia="zh-CN"/>
        </w:rPr>
      </w:pPr>
      <w:r>
        <w:rPr>
          <w:rFonts w:hint="eastAsia" w:asciiTheme="minorEastAsia" w:hAnsiTheme="minorEastAsia"/>
          <w:bCs/>
          <w:kern w:val="0"/>
          <w:sz w:val="32"/>
          <w:szCs w:val="32"/>
          <w:lang w:eastAsia="zh-CN"/>
        </w:rPr>
        <w:t>（二）决算单位构成。洪江市岩垅乡人民政府只有本级，没有其他二级单位，因此，纳入2020年部门决算编制范围的只有洪江市岩垅乡人民政府部门本级。</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4401"/>
        <w:gridCol w:w="805"/>
        <w:gridCol w:w="697"/>
        <w:gridCol w:w="232"/>
        <w:gridCol w:w="101"/>
        <w:gridCol w:w="1247"/>
        <w:gridCol w:w="4001"/>
        <w:gridCol w:w="424"/>
        <w:gridCol w:w="322"/>
        <w:gridCol w:w="335"/>
        <w:gridCol w:w="1505"/>
        <w:gridCol w:w="11"/>
      </w:tblGrid>
      <w:tr>
        <w:tblPrEx>
          <w:tblCellMar>
            <w:top w:w="0" w:type="dxa"/>
            <w:left w:w="108" w:type="dxa"/>
            <w:bottom w:w="0" w:type="dxa"/>
            <w:right w:w="108" w:type="dxa"/>
          </w:tblCellMar>
        </w:tblPrEx>
        <w:trPr>
          <w:trHeight w:val="360" w:hRule="atLeast"/>
        </w:trPr>
        <w:tc>
          <w:tcPr>
            <w:tcW w:w="14081" w:type="dxa"/>
            <w:gridSpan w:val="12"/>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2"/>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洪江市岩垅乡人民政府</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74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587" w:type="dxa"/>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35" w:type="dxa"/>
            <w:gridSpan w:val="4"/>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46" w:type="dxa"/>
            <w:gridSpan w:val="2"/>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0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40"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297" w:hRule="atLeast"/>
        </w:trPr>
        <w:tc>
          <w:tcPr>
            <w:tcW w:w="44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4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4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4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14070"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 w:type="dxa"/>
          <w:trHeight w:val="308" w:hRule="atLeast"/>
        </w:trPr>
        <w:tc>
          <w:tcPr>
            <w:tcW w:w="14070"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15100" w:type="dxa"/>
        <w:tblInd w:w="0" w:type="dxa"/>
        <w:tblLayout w:type="fixed"/>
        <w:tblCellMar>
          <w:top w:w="0" w:type="dxa"/>
          <w:left w:w="0" w:type="dxa"/>
          <w:bottom w:w="0" w:type="dxa"/>
          <w:right w:w="0" w:type="dxa"/>
        </w:tblCellMar>
      </w:tblPr>
      <w:tblGrid>
        <w:gridCol w:w="391"/>
        <w:gridCol w:w="409"/>
        <w:gridCol w:w="3607"/>
        <w:gridCol w:w="1695"/>
        <w:gridCol w:w="1725"/>
        <w:gridCol w:w="1470"/>
        <w:gridCol w:w="990"/>
        <w:gridCol w:w="1170"/>
        <w:gridCol w:w="1800"/>
        <w:gridCol w:w="1843"/>
      </w:tblGrid>
      <w:tr>
        <w:tblPrEx>
          <w:tblCellMar>
            <w:top w:w="0" w:type="dxa"/>
            <w:left w:w="0" w:type="dxa"/>
            <w:bottom w:w="0" w:type="dxa"/>
            <w:right w:w="0" w:type="dxa"/>
          </w:tblCellMar>
        </w:tblPrEx>
        <w:trPr>
          <w:trHeight w:val="435" w:hRule="atLeast"/>
        </w:trPr>
        <w:tc>
          <w:tcPr>
            <w:tcW w:w="15100"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6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607" w:type="dxa"/>
            <w:tcBorders>
              <w:top w:val="nil"/>
              <w:left w:val="nil"/>
              <w:bottom w:val="nil"/>
              <w:right w:val="nil"/>
            </w:tcBorders>
            <w:shd w:val="clear" w:color="000000" w:fill="FFFFFF"/>
            <w:noWrap/>
            <w:tcMar>
              <w:top w:w="15" w:type="dxa"/>
              <w:left w:w="15" w:type="dxa"/>
              <w:bottom w:w="0" w:type="dxa"/>
              <w:right w:w="15" w:type="dxa"/>
            </w:tcMar>
            <w:vAlign w:val="center"/>
          </w:tcPr>
          <w:p>
            <w:pPr>
              <w:tabs>
                <w:tab w:val="left" w:pos="832"/>
                <w:tab w:val="right" w:pos="3907"/>
              </w:tabs>
              <w:jc w:val="left"/>
              <w:rPr>
                <w:rFonts w:ascii="宋体" w:hAnsi="宋体" w:eastAsia="宋体" w:cs="宋体"/>
                <w:sz w:val="24"/>
                <w:szCs w:val="24"/>
              </w:rPr>
            </w:pPr>
            <w:r>
              <w:rPr>
                <w:rFonts w:hint="eastAsia" w:ascii="宋体" w:hAnsi="宋体" w:eastAsia="宋体" w:cs="宋体"/>
                <w:color w:val="000000"/>
                <w:kern w:val="0"/>
                <w:sz w:val="20"/>
                <w:szCs w:val="20"/>
                <w:lang w:eastAsia="zh-CN"/>
              </w:rPr>
              <w:t>洪江市岩垅乡人民政府</w:t>
            </w:r>
            <w:r>
              <w:rPr>
                <w:rFonts w:hint="eastAsia"/>
                <w:lang w:eastAsia="zh-CN"/>
              </w:rPr>
              <w:tab/>
            </w:r>
            <w:r>
              <w:rPr>
                <w:rFonts w:hint="eastAsia"/>
              </w:rPr>
              <w:t>　</w:t>
            </w:r>
          </w:p>
        </w:tc>
        <w:tc>
          <w:tcPr>
            <w:tcW w:w="16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40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60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607"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440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8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440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946.92</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946.92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374.74</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374.74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334.61</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334.61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334.61</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334.61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40.13</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40.13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40.13</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40.13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61.56</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61.56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58.60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58.60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58.60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58.60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20827</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2.97</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2082799</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其他财政对社会保险基金的补助</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2.97</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85.71</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85.71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计划生育事务</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38.79</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38.79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2100717</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38.79</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38.79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18.12</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18.12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18.12</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18.12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21099</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其他卫生健康支出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28.79</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28.79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2109999</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28.79</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28.79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农林水支出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376.60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376.60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农业农村</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185.09</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185.09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185.09</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185.09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扶贫</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156.88</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156.88</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2130505</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103.88</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103.88</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2130599</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53.00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53.00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农村综合改革</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34.62</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34.62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2130705</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34.62</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34.62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220</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20.57</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22001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自然资源事务</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20.57</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2200101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20.57</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27.75</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27.75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27.75</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27.75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cs="宋体" w:eastAsiaTheme="minorEastAsia"/>
                <w:sz w:val="24"/>
                <w:szCs w:val="24"/>
                <w:lang w:eastAsia="zh-CN"/>
              </w:rPr>
            </w:pPr>
            <w:r>
              <w:rPr>
                <w:rFonts w:hint="eastAsia" w:ascii="宋体" w:hAnsi="宋体" w:eastAsia="宋体" w:cs="宋体"/>
                <w:i w:val="0"/>
                <w:iCs w:val="0"/>
                <w:color w:val="000000"/>
                <w:kern w:val="0"/>
                <w:sz w:val="22"/>
                <w:szCs w:val="22"/>
                <w:u w:val="none"/>
                <w:lang w:val="en-US" w:eastAsia="zh-CN" w:bidi="ar"/>
              </w:rPr>
              <w:t>2210201</w:t>
            </w:r>
          </w:p>
        </w:tc>
        <w:tc>
          <w:tcPr>
            <w:tcW w:w="36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27.75</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27.75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1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5432" w:type="dxa"/>
        <w:tblInd w:w="93" w:type="dxa"/>
        <w:tblLayout w:type="fixed"/>
        <w:tblCellMar>
          <w:top w:w="0" w:type="dxa"/>
          <w:left w:w="108" w:type="dxa"/>
          <w:bottom w:w="0" w:type="dxa"/>
          <w:right w:w="108" w:type="dxa"/>
        </w:tblCellMar>
      </w:tblPr>
      <w:tblGrid>
        <w:gridCol w:w="1042"/>
        <w:gridCol w:w="222"/>
        <w:gridCol w:w="3833"/>
        <w:gridCol w:w="1485"/>
        <w:gridCol w:w="1665"/>
        <w:gridCol w:w="1695"/>
        <w:gridCol w:w="1710"/>
        <w:gridCol w:w="1260"/>
        <w:gridCol w:w="2520"/>
      </w:tblGrid>
      <w:tr>
        <w:tblPrEx>
          <w:tblCellMar>
            <w:top w:w="0" w:type="dxa"/>
            <w:left w:w="108" w:type="dxa"/>
            <w:bottom w:w="0" w:type="dxa"/>
            <w:right w:w="108" w:type="dxa"/>
          </w:tblCellMar>
        </w:tblPrEx>
        <w:trPr>
          <w:trHeight w:val="435" w:hRule="atLeast"/>
        </w:trPr>
        <w:tc>
          <w:tcPr>
            <w:tcW w:w="15432"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372"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33" w:type="dxa"/>
            <w:tcBorders>
              <w:top w:val="nil"/>
              <w:left w:val="nil"/>
              <w:bottom w:val="nil"/>
              <w:right w:val="nil"/>
            </w:tcBorders>
            <w:shd w:val="clear" w:color="000000" w:fill="FFFFFF"/>
            <w:noWrap/>
            <w:vAlign w:val="center"/>
          </w:tcPr>
          <w:p>
            <w:pPr>
              <w:widowControl/>
              <w:tabs>
                <w:tab w:val="left" w:pos="815"/>
                <w:tab w:val="right" w:pos="3977"/>
              </w:tabs>
              <w:jc w:val="left"/>
              <w:rPr>
                <w:rFonts w:ascii="宋体" w:hAnsi="宋体" w:eastAsia="宋体" w:cs="宋体"/>
                <w:kern w:val="0"/>
                <w:sz w:val="24"/>
                <w:szCs w:val="24"/>
              </w:rPr>
            </w:pPr>
            <w:r>
              <w:rPr>
                <w:rFonts w:hint="eastAsia" w:ascii="宋体" w:hAnsi="宋体" w:eastAsia="宋体" w:cs="宋体"/>
                <w:color w:val="000000"/>
                <w:kern w:val="0"/>
                <w:sz w:val="20"/>
                <w:szCs w:val="20"/>
                <w:lang w:eastAsia="zh-CN"/>
              </w:rPr>
              <w:t>洪江市岩垅乡人民政府</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48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509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5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83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8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509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9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5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509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946.92</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843.04</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103.88</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374.74</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374.74</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334.61</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334.61</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334.61</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334.61</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40.13</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40.13</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40.13</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40.13</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61.56</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61.56</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58.60</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58.60</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58.60</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58.60</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20827</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2.97</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2.97</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2082799</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其他财政对社会保险基金的补助</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2.97</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2.97</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85.71</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85.71</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计划生育事务</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38.79</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38.79</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2100717</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38.79</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38.79</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18.12</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18.12</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18.12</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18.12</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21099</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其他卫生健康支出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28.79</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28.79</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2109999</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28.79</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28.79</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376.60</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272.72</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103.88</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农业农村</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185.09</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185.09</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2130101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185.09</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185.09</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扶贫</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156.88</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53.00</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103.88</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2130505</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103.88</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103.88</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53.00</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53.00</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34.62</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34.62</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34.62</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34.62</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20.57</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20.57</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22001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自然资源事务</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20.57</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20.57</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2200101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20.57</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20.57</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27.75</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27.75</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27.75</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27.75</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383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27.75</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27.75</w:t>
            </w:r>
          </w:p>
        </w:tc>
        <w:tc>
          <w:tcPr>
            <w:tcW w:w="16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5432"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3547"/>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洪江市岩垅乡人民政府</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tbl>
            <w:tblPr>
              <w:tblStyle w:val="8"/>
              <w:tblW w:w="149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1"/>
              <w:gridCol w:w="550"/>
              <w:gridCol w:w="1295"/>
              <w:gridCol w:w="3917"/>
              <w:gridCol w:w="581"/>
              <w:gridCol w:w="1185"/>
              <w:gridCol w:w="1467"/>
              <w:gridCol w:w="1191"/>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717"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39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9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85"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9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7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3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0"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1"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374.74</w:t>
                  </w:r>
                </w:p>
              </w:tc>
              <w:tc>
                <w:tcPr>
                  <w:tcW w:w="1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374.74</w:t>
                  </w: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000000"/>
                      <w:sz w:val="22"/>
                      <w:szCs w:val="22"/>
                      <w:u w:val="none"/>
                      <w:lang w:val="en-US" w:eastAsia="zh-CN"/>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61.56</w:t>
                  </w:r>
                </w:p>
              </w:tc>
              <w:tc>
                <w:tcPr>
                  <w:tcW w:w="1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61.56</w:t>
                  </w: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85.71</w:t>
                  </w:r>
                </w:p>
              </w:tc>
              <w:tc>
                <w:tcPr>
                  <w:tcW w:w="1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85.71</w:t>
                  </w: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376.60</w:t>
                  </w:r>
                </w:p>
              </w:tc>
              <w:tc>
                <w:tcPr>
                  <w:tcW w:w="1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376.60</w:t>
                  </w: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20.57</w:t>
                  </w:r>
                </w:p>
              </w:tc>
              <w:tc>
                <w:tcPr>
                  <w:tcW w:w="1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20.57</w:t>
                  </w: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27.75</w:t>
                  </w:r>
                </w:p>
              </w:tc>
              <w:tc>
                <w:tcPr>
                  <w:tcW w:w="1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27.75</w:t>
                  </w: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c>
                <w:tcPr>
                  <w:tcW w:w="1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9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c>
                <w:tcPr>
                  <w:tcW w:w="39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c>
                <w:tcPr>
                  <w:tcW w:w="1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946.92</w:t>
                  </w:r>
                </w:p>
              </w:tc>
              <w:tc>
                <w:tcPr>
                  <w:tcW w:w="119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77"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376"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
            <w:pPr>
              <w:widowControl/>
              <w:jc w:val="left"/>
              <w:rPr>
                <w:rFonts w:hint="eastAsia" w:ascii="宋体" w:hAnsi="宋体" w:eastAsia="宋体" w:cs="宋体"/>
                <w:kern w:val="0"/>
                <w:sz w:val="24"/>
                <w:szCs w:val="24"/>
              </w:rPr>
            </w:pP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洪江市岩垅乡人民政府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4433"/>
        <w:gridCol w:w="2760"/>
        <w:gridCol w:w="2826"/>
        <w:gridCol w:w="3000"/>
      </w:tblGrid>
      <w:tr>
        <w:tblPrEx>
          <w:tblCellMar>
            <w:top w:w="0" w:type="dxa"/>
            <w:left w:w="108" w:type="dxa"/>
            <w:bottom w:w="0" w:type="dxa"/>
            <w:right w:w="108" w:type="dxa"/>
          </w:tblCellMar>
        </w:tblPrEx>
        <w:trPr>
          <w:trHeight w:val="405" w:hRule="atLeast"/>
          <w:jc w:val="center"/>
        </w:trPr>
        <w:tc>
          <w:tcPr>
            <w:tcW w:w="563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586"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4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8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43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43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63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8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63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946.92</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843.04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103.88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374.74</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374.74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334.61</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334.61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334.61</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334.61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40.13</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40.13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40.13</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40.13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61.56</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61.56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58.60</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58.60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58.60</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58.60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20827</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2082799</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其他财政对社会保险基金的补助</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85.71</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85.71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计划生育事务</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38.79</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38.79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38.79</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38.79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18.12</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18.12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18.12</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18.12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21099</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其他卫生健康支出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28.79</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2109999</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28.79</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376.60</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272.72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103.88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农业农村</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185.09</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185.09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2130101</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185.09</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185.09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156.88</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103.88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2130505</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103.88</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103.88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53.00</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农村综合改革</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34.62</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34.62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34.62</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34.62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20.57</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22001</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自然资源事务</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20.57</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2200101</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20.57</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27.75</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27.75</w:t>
            </w:r>
          </w:p>
        </w:tc>
        <w:tc>
          <w:tcPr>
            <w:tcW w:w="28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43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7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27.75</w:t>
            </w:r>
          </w:p>
        </w:tc>
        <w:tc>
          <w:tcPr>
            <w:tcW w:w="282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27.75</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810" w:type="dxa"/>
        <w:tblInd w:w="0" w:type="dxa"/>
        <w:tblLayout w:type="fixed"/>
        <w:tblCellMar>
          <w:top w:w="0" w:type="dxa"/>
          <w:left w:w="108" w:type="dxa"/>
          <w:bottom w:w="0" w:type="dxa"/>
          <w:right w:w="108" w:type="dxa"/>
        </w:tblCellMar>
      </w:tblPr>
      <w:tblGrid>
        <w:gridCol w:w="1050"/>
        <w:gridCol w:w="3435"/>
        <w:gridCol w:w="1275"/>
        <w:gridCol w:w="1084"/>
        <w:gridCol w:w="2006"/>
        <w:gridCol w:w="892"/>
        <w:gridCol w:w="1084"/>
        <w:gridCol w:w="3814"/>
        <w:gridCol w:w="1170"/>
      </w:tblGrid>
      <w:tr>
        <w:tblPrEx>
          <w:tblCellMar>
            <w:top w:w="0" w:type="dxa"/>
            <w:left w:w="108" w:type="dxa"/>
            <w:bottom w:w="0" w:type="dxa"/>
            <w:right w:w="108" w:type="dxa"/>
          </w:tblCellMar>
        </w:tblPrEx>
        <w:trPr>
          <w:trHeight w:val="113" w:hRule="atLeast"/>
        </w:trPr>
        <w:tc>
          <w:tcPr>
            <w:tcW w:w="1581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洪江市岩垅乡人民政府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center"/>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628.18</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214.8686</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338.32</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27.20</w:t>
            </w:r>
          </w:p>
          <w:p>
            <w:pPr>
              <w:widowControl/>
              <w:jc w:val="left"/>
              <w:rPr>
                <w:rFonts w:hint="default" w:ascii="宋体" w:hAnsi="宋体" w:eastAsia="宋体" w:cs="宋体"/>
                <w:color w:val="000000"/>
                <w:kern w:val="0"/>
                <w:szCs w:val="20"/>
                <w:lang w:val="en-US" w:eastAsia="zh-CN"/>
              </w:rPr>
            </w:pPr>
          </w:p>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.7.20</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73.09</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21.79</w:t>
            </w:r>
          </w:p>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21.79</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84.84</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2.10</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1.60</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58.60</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2.36</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32.98</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5.49</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21.32</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27.75</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19.62</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5.53</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0.99</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11.28</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19.20</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3.81</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0.76</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64.41</w:t>
            </w:r>
          </w:p>
        </w:tc>
        <w:tc>
          <w:tcPr>
            <w:tcW w:w="10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4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628.18</w:t>
            </w:r>
          </w:p>
        </w:tc>
        <w:tc>
          <w:tcPr>
            <w:tcW w:w="888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214.86</w:t>
            </w:r>
          </w:p>
        </w:tc>
      </w:tr>
      <w:tr>
        <w:tblPrEx>
          <w:tblCellMar>
            <w:top w:w="0" w:type="dxa"/>
            <w:left w:w="108" w:type="dxa"/>
            <w:bottom w:w="0" w:type="dxa"/>
            <w:right w:w="108" w:type="dxa"/>
          </w:tblCellMar>
        </w:tblPrEx>
        <w:trPr>
          <w:trHeight w:val="284" w:hRule="exact"/>
        </w:trPr>
        <w:tc>
          <w:tcPr>
            <w:tcW w:w="15810"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洪江市岩垅乡人民政府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18.80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4.40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14.40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15.09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3.81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3.81</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11.28</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lang w:eastAsia="zh-CN"/>
        </w:rPr>
        <w:t>洪江市岩垅乡人民政府</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both"/>
              <w:rPr>
                <w:rFonts w:ascii="宋体" w:hAnsi="宋体" w:eastAsia="宋体" w:cs="宋体"/>
                <w:kern w:val="0"/>
                <w:sz w:val="20"/>
                <w:szCs w:val="20"/>
              </w:rPr>
            </w:pP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lang w:eastAsia="zh-CN"/>
              </w:rPr>
              <w:t>洪江市岩垅乡人民政府</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无</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一、收入支出决算总体情况说明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946.92</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150.85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13.74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项目资金的减少。</w:t>
      </w: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946.92</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946.92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946.92</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843.04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89.03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103.88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10.97</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四、财政拨款收入支出决算总体情况说明</w:t>
      </w:r>
    </w:p>
    <w:p>
      <w:pPr>
        <w:pStyle w:val="12"/>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lang w:val="en-US" w:eastAsia="zh-CN"/>
        </w:rPr>
        <w:t>946.92</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150.85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13.74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项目资金的减少。</w:t>
      </w:r>
    </w:p>
    <w:p>
      <w:pPr>
        <w:pStyle w:val="12"/>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946.92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150.85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13.74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项目资金的减少。</w:t>
      </w:r>
    </w:p>
    <w:p>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946.92</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374.74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39.57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61.56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6.50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；卫生健康（类）支出</w:t>
      </w:r>
      <w:r>
        <w:rPr>
          <w:rFonts w:hint="eastAsia" w:asciiTheme="minorEastAsia" w:hAnsiTheme="minorEastAsia" w:eastAsiaTheme="minorEastAsia"/>
          <w:sz w:val="32"/>
          <w:szCs w:val="32"/>
          <w:lang w:val="en-US" w:eastAsia="zh-CN"/>
        </w:rPr>
        <w:t>85.71万元，占9.05%；</w:t>
      </w:r>
      <w:r>
        <w:rPr>
          <w:rFonts w:hint="eastAsia" w:asciiTheme="minorEastAsia" w:hAnsiTheme="minorEastAsia" w:eastAsiaTheme="minorEastAsia"/>
          <w:sz w:val="32"/>
          <w:szCs w:val="32"/>
          <w:lang w:eastAsia="zh-CN"/>
        </w:rPr>
        <w:t>农林水支</w:t>
      </w:r>
      <w:r>
        <w:rPr>
          <w:rFonts w:hint="eastAsia" w:asciiTheme="minorEastAsia" w:hAnsiTheme="minorEastAsia" w:eastAsiaTheme="minorEastAsia"/>
          <w:sz w:val="32"/>
          <w:szCs w:val="32"/>
        </w:rPr>
        <w:t>出</w:t>
      </w:r>
      <w:r>
        <w:rPr>
          <w:rFonts w:hint="eastAsia" w:asciiTheme="minorEastAsia" w:hAnsiTheme="minorEastAsia" w:eastAsiaTheme="minorEastAsia"/>
          <w:sz w:val="32"/>
          <w:szCs w:val="32"/>
          <w:lang w:eastAsia="zh-CN"/>
        </w:rPr>
        <w:t>（类）支出</w:t>
      </w:r>
      <w:r>
        <w:rPr>
          <w:rFonts w:hint="eastAsia" w:asciiTheme="minorEastAsia" w:hAnsiTheme="minorEastAsia" w:eastAsiaTheme="minorEastAsia"/>
          <w:sz w:val="32"/>
          <w:szCs w:val="32"/>
          <w:lang w:val="en-US" w:eastAsia="zh-CN"/>
        </w:rPr>
        <w:t>376.60万元，占39.77%；</w:t>
      </w:r>
      <w:r>
        <w:rPr>
          <w:rFonts w:hint="eastAsia" w:asciiTheme="minorEastAsia" w:hAnsiTheme="minorEastAsia" w:eastAsiaTheme="minorEastAsia"/>
          <w:sz w:val="32"/>
          <w:szCs w:val="32"/>
          <w:lang w:eastAsia="zh-CN"/>
        </w:rPr>
        <w:t>自然资源海洋气象等（类）</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20.57万元，占2.17%；</w:t>
      </w:r>
      <w:r>
        <w:rPr>
          <w:rFonts w:hint="eastAsia" w:asciiTheme="minorEastAsia" w:hAnsiTheme="minorEastAsia" w:eastAsiaTheme="minorEastAsia"/>
          <w:sz w:val="32"/>
          <w:szCs w:val="32"/>
          <w:lang w:eastAsia="zh-CN"/>
        </w:rPr>
        <w:t>住房保障（类）支出</w:t>
      </w:r>
      <w:r>
        <w:rPr>
          <w:rFonts w:hint="eastAsia" w:asciiTheme="minorEastAsia" w:hAnsiTheme="minorEastAsia" w:eastAsiaTheme="minorEastAsia"/>
          <w:sz w:val="32"/>
          <w:szCs w:val="32"/>
          <w:lang w:val="en-US" w:eastAsia="zh-CN"/>
        </w:rPr>
        <w:t>27.75万元，占2.94%。</w:t>
      </w:r>
    </w:p>
    <w:p>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829.88</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946.92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114.10</w:t>
      </w:r>
      <w:r>
        <w:rPr>
          <w:rFonts w:hint="eastAsia" w:asciiTheme="minorEastAsia" w:hAnsiTheme="minorEastAsia" w:eastAsiaTheme="minorEastAsia"/>
          <w:sz w:val="32"/>
          <w:szCs w:val="32"/>
        </w:rPr>
        <w:t>%，其中：</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1、一般公共服务（类）政府办公厅（室）及相关机构事务（款）行政运行（项）。</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年初预算为365.54万元，支出决算为374.74万元，完成年初预算的102.52%，决算数大于年初预算数的主要原因是：根据调整预算执行收入支出。</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2、社会保障和就业支出（类）人力资源和社会保障管理事务（款）行政运行（项）。</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年初预算为75.85万元，支出决算为61.56万元，完成年初预算的81.16%，决算数小于年初预算数的主要原因是：根据调整预算执行收入支出。</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3、卫生健康支出（类）计划生育事务（款）计划生育机构（项）。</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年初预算为43.32万元，支出决算为85.71万元，完成年初预算的197.85%，决算数大于年初预算数的主要原因是：根据调整预算执行收入支出。</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4、农林水支出（类）农业农村（款）行政运行（项）。</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w:t>
      </w:r>
      <w:r>
        <w:rPr>
          <w:rFonts w:hint="eastAsia" w:cs="黑体" w:asciiTheme="minorEastAsia" w:hAnsiTheme="minorEastAsia"/>
          <w:color w:val="000000"/>
          <w:kern w:val="0"/>
          <w:sz w:val="32"/>
          <w:szCs w:val="32"/>
          <w:lang w:val="en-US" w:eastAsia="zh-CN" w:bidi="ar-SA"/>
        </w:rPr>
        <w:t>316.48</w:t>
      </w:r>
      <w:r>
        <w:rPr>
          <w:rFonts w:hint="eastAsia" w:cs="黑体" w:asciiTheme="minorEastAsia" w:hAnsiTheme="minorEastAsia" w:eastAsiaTheme="minorEastAsia"/>
          <w:color w:val="000000"/>
          <w:kern w:val="0"/>
          <w:sz w:val="32"/>
          <w:szCs w:val="32"/>
          <w:lang w:val="en-US" w:eastAsia="zh-CN" w:bidi="ar-SA"/>
        </w:rPr>
        <w:t>万元，支出决算为</w:t>
      </w:r>
      <w:r>
        <w:rPr>
          <w:rFonts w:hint="eastAsia" w:cs="黑体" w:asciiTheme="minorEastAsia" w:hAnsiTheme="minorEastAsia"/>
          <w:color w:val="000000"/>
          <w:kern w:val="0"/>
          <w:sz w:val="32"/>
          <w:szCs w:val="32"/>
          <w:lang w:val="en-US" w:eastAsia="zh-CN" w:bidi="ar-SA"/>
        </w:rPr>
        <w:t>376.60</w:t>
      </w:r>
      <w:r>
        <w:rPr>
          <w:rFonts w:hint="eastAsia" w:cs="黑体" w:asciiTheme="minorEastAsia" w:hAnsiTheme="minorEastAsia" w:eastAsiaTheme="minorEastAsia"/>
          <w:color w:val="000000"/>
          <w:kern w:val="0"/>
          <w:sz w:val="32"/>
          <w:szCs w:val="32"/>
          <w:lang w:val="en-US" w:eastAsia="zh-CN" w:bidi="ar-SA"/>
        </w:rPr>
        <w:t>万元，完成年初预算的</w:t>
      </w:r>
      <w:r>
        <w:rPr>
          <w:rFonts w:hint="eastAsia" w:cs="黑体" w:asciiTheme="minorEastAsia" w:hAnsiTheme="minorEastAsia"/>
          <w:color w:val="000000"/>
          <w:kern w:val="0"/>
          <w:sz w:val="32"/>
          <w:szCs w:val="32"/>
          <w:lang w:val="en-US" w:eastAsia="zh-CN" w:bidi="ar-SA"/>
        </w:rPr>
        <w:t>119.00</w:t>
      </w:r>
      <w:r>
        <w:rPr>
          <w:rFonts w:hint="eastAsia" w:cs="黑体" w:asciiTheme="minorEastAsia" w:hAnsiTheme="minorEastAsia" w:eastAsiaTheme="minorEastAsia"/>
          <w:color w:val="000000"/>
          <w:kern w:val="0"/>
          <w:sz w:val="32"/>
          <w:szCs w:val="32"/>
          <w:lang w:val="en-US" w:eastAsia="zh-CN" w:bidi="ar-SA"/>
        </w:rPr>
        <w:t>%，决算数大于年初预算数的主要原因是：根据调整预算执行收入支出。</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5</w:t>
      </w:r>
      <w:r>
        <w:rPr>
          <w:rFonts w:hint="eastAsia" w:cs="黑体" w:asciiTheme="minorEastAsia" w:hAnsiTheme="minorEastAsia" w:eastAsiaTheme="minorEastAsia"/>
          <w:color w:val="000000"/>
          <w:kern w:val="0"/>
          <w:sz w:val="32"/>
          <w:szCs w:val="32"/>
          <w:lang w:val="en-US" w:eastAsia="zh-CN" w:bidi="ar-SA"/>
        </w:rPr>
        <w:t>、自然资源海洋气象等支出（类）自然资源事务（款）行政运行（项）。</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w:t>
      </w:r>
      <w:r>
        <w:rPr>
          <w:rFonts w:hint="eastAsia" w:cs="黑体" w:asciiTheme="minorEastAsia" w:hAnsiTheme="minorEastAsia"/>
          <w:color w:val="000000"/>
          <w:kern w:val="0"/>
          <w:sz w:val="32"/>
          <w:szCs w:val="32"/>
          <w:lang w:val="en-US" w:eastAsia="zh-CN" w:bidi="ar-SA"/>
        </w:rPr>
        <w:t>28.70</w:t>
      </w:r>
      <w:r>
        <w:rPr>
          <w:rFonts w:hint="eastAsia" w:cs="黑体" w:asciiTheme="minorEastAsia" w:hAnsiTheme="minorEastAsia" w:eastAsiaTheme="minorEastAsia"/>
          <w:color w:val="000000"/>
          <w:kern w:val="0"/>
          <w:sz w:val="32"/>
          <w:szCs w:val="32"/>
          <w:lang w:val="en-US" w:eastAsia="zh-CN" w:bidi="ar-SA"/>
        </w:rPr>
        <w:t>万元，支出决算为</w:t>
      </w:r>
      <w:r>
        <w:rPr>
          <w:rFonts w:hint="eastAsia" w:cs="黑体" w:asciiTheme="minorEastAsia" w:hAnsiTheme="minorEastAsia"/>
          <w:color w:val="000000"/>
          <w:kern w:val="0"/>
          <w:sz w:val="32"/>
          <w:szCs w:val="32"/>
          <w:lang w:val="en-US" w:eastAsia="zh-CN" w:bidi="ar-SA"/>
        </w:rPr>
        <w:t>20.57</w:t>
      </w:r>
      <w:r>
        <w:rPr>
          <w:rFonts w:hint="eastAsia" w:cs="黑体" w:asciiTheme="minorEastAsia" w:hAnsiTheme="minorEastAsia" w:eastAsiaTheme="minorEastAsia"/>
          <w:color w:val="000000"/>
          <w:kern w:val="0"/>
          <w:sz w:val="32"/>
          <w:szCs w:val="32"/>
          <w:lang w:val="en-US" w:eastAsia="zh-CN" w:bidi="ar-SA"/>
        </w:rPr>
        <w:t>万元，完成年初预算的</w:t>
      </w:r>
      <w:r>
        <w:rPr>
          <w:rFonts w:hint="eastAsia" w:cs="黑体" w:asciiTheme="minorEastAsia" w:hAnsiTheme="minorEastAsia"/>
          <w:color w:val="000000"/>
          <w:kern w:val="0"/>
          <w:sz w:val="32"/>
          <w:szCs w:val="32"/>
          <w:lang w:val="en-US" w:eastAsia="zh-CN" w:bidi="ar-SA"/>
        </w:rPr>
        <w:t>71.67</w:t>
      </w:r>
      <w:r>
        <w:rPr>
          <w:rFonts w:hint="eastAsia" w:cs="黑体" w:asciiTheme="minorEastAsia" w:hAnsiTheme="minorEastAsia" w:eastAsiaTheme="minorEastAsia"/>
          <w:color w:val="000000"/>
          <w:kern w:val="0"/>
          <w:sz w:val="32"/>
          <w:szCs w:val="32"/>
          <w:lang w:val="en-US" w:eastAsia="zh-CN" w:bidi="ar-SA"/>
        </w:rPr>
        <w:t>%，决算数大于年初预算数的主要原因是：根据调整预算执行收入支出。</w:t>
      </w:r>
    </w:p>
    <w:p>
      <w:pPr>
        <w:pStyle w:val="7"/>
        <w:widowControl/>
        <w:spacing w:beforeAutospacing="0" w:afterAutospacing="0" w:line="510" w:lineRule="atLeast"/>
        <w:ind w:firstLine="42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6</w:t>
      </w:r>
      <w:r>
        <w:rPr>
          <w:rFonts w:hint="eastAsia" w:cs="黑体" w:asciiTheme="minorEastAsia" w:hAnsiTheme="minorEastAsia" w:eastAsiaTheme="minorEastAsia"/>
          <w:color w:val="000000"/>
          <w:kern w:val="0"/>
          <w:sz w:val="32"/>
          <w:szCs w:val="32"/>
          <w:lang w:val="en-US" w:eastAsia="zh-CN" w:bidi="ar-SA"/>
        </w:rPr>
        <w:t>、住房保障支出（类）住房改革支出（款）住房公积金（项）</w:t>
      </w:r>
    </w:p>
    <w:p>
      <w:pPr>
        <w:pStyle w:val="13"/>
        <w:widowControl/>
        <w:ind w:firstLine="64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年初预算为0万元，支出决算为</w:t>
      </w:r>
      <w:r>
        <w:rPr>
          <w:rFonts w:hint="eastAsia" w:cs="黑体" w:asciiTheme="minorEastAsia" w:hAnsiTheme="minorEastAsia"/>
          <w:color w:val="000000"/>
          <w:kern w:val="0"/>
          <w:sz w:val="32"/>
          <w:szCs w:val="32"/>
          <w:lang w:val="en-US" w:eastAsia="zh-CN" w:bidi="ar-SA"/>
        </w:rPr>
        <w:t>27.75</w:t>
      </w:r>
      <w:r>
        <w:rPr>
          <w:rFonts w:hint="eastAsia" w:cs="黑体" w:asciiTheme="minorEastAsia" w:hAnsiTheme="minorEastAsia" w:eastAsiaTheme="minorEastAsia"/>
          <w:color w:val="000000"/>
          <w:kern w:val="0"/>
          <w:sz w:val="32"/>
          <w:szCs w:val="32"/>
          <w:lang w:val="en-US" w:eastAsia="zh-CN" w:bidi="ar-SA"/>
        </w:rPr>
        <w:t>万元，决算数大于年初预算数的</w:t>
      </w:r>
      <w:r>
        <w:rPr>
          <w:rFonts w:hint="eastAsia" w:cs="黑体" w:asciiTheme="minorEastAsia" w:hAnsiTheme="minorEastAsia"/>
          <w:color w:val="000000"/>
          <w:kern w:val="0"/>
          <w:sz w:val="32"/>
          <w:szCs w:val="32"/>
          <w:lang w:val="en-US" w:eastAsia="zh-CN" w:bidi="ar-SA"/>
        </w:rPr>
        <w:t>100%,</w:t>
      </w:r>
      <w:r>
        <w:rPr>
          <w:rFonts w:hint="eastAsia" w:cs="黑体" w:asciiTheme="minorEastAsia" w:hAnsiTheme="minorEastAsia" w:eastAsiaTheme="minorEastAsia"/>
          <w:color w:val="000000"/>
          <w:kern w:val="0"/>
          <w:sz w:val="32"/>
          <w:szCs w:val="32"/>
          <w:lang w:val="en-US" w:eastAsia="zh-CN" w:bidi="ar-SA"/>
        </w:rPr>
        <w:t>主要原因是：</w:t>
      </w:r>
      <w:r>
        <w:rPr>
          <w:rFonts w:hint="eastAsia" w:ascii="宋体" w:hAnsi="宋体" w:eastAsia="宋体" w:cs="Arial"/>
          <w:color w:val="000000"/>
          <w:kern w:val="0"/>
          <w:sz w:val="32"/>
          <w:szCs w:val="32"/>
        </w:rPr>
        <w:t>该项为追加款项，年初预算中未编制</w:t>
      </w:r>
      <w:r>
        <w:rPr>
          <w:rFonts w:hint="eastAsia" w:cs="黑体" w:asciiTheme="minorEastAsia" w:hAnsiTheme="minorEastAsia" w:eastAsiaTheme="minorEastAsia"/>
          <w:color w:val="000000"/>
          <w:kern w:val="0"/>
          <w:sz w:val="32"/>
          <w:szCs w:val="32"/>
          <w:lang w:val="en-US" w:eastAsia="zh-CN" w:bidi="ar-SA"/>
        </w:rPr>
        <w:t>。</w:t>
      </w:r>
    </w:p>
    <w:p>
      <w:pPr>
        <w:pStyle w:val="12"/>
        <w:ind w:firstLine="800" w:firstLineChars="250"/>
        <w:rPr>
          <w:rFonts w:hint="eastAsia" w:asciiTheme="minorEastAsia" w:hAnsiTheme="minorEastAsia" w:eastAsiaTheme="minorEastAsia"/>
          <w:i/>
          <w:color w:val="FF0000"/>
          <w:sz w:val="32"/>
          <w:szCs w:val="32"/>
        </w:rPr>
      </w:pPr>
    </w:p>
    <w:p>
      <w:pPr>
        <w:pStyle w:val="12"/>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843.04</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628.18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74.51</w:t>
      </w:r>
      <w:r>
        <w:rPr>
          <w:rFonts w:hint="eastAsia" w:asciiTheme="minorEastAsia" w:hAnsiTheme="minorEastAsia" w:eastAsiaTheme="minorEastAsia"/>
          <w:sz w:val="32"/>
          <w:szCs w:val="32"/>
        </w:rPr>
        <w:t>%,主要包括基本工资、津贴补贴、奖金、伙食补助费；公用经费</w:t>
      </w:r>
      <w:r>
        <w:rPr>
          <w:rFonts w:hint="eastAsia" w:asciiTheme="minorEastAsia" w:hAnsiTheme="minorEastAsia" w:eastAsiaTheme="minorEastAsia"/>
          <w:sz w:val="32"/>
          <w:szCs w:val="32"/>
          <w:lang w:val="en-US" w:eastAsia="zh-CN"/>
        </w:rPr>
        <w:t>214.86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25.49</w:t>
      </w:r>
      <w:r>
        <w:rPr>
          <w:rFonts w:hint="eastAsia" w:asciiTheme="minorEastAsia" w:hAnsiTheme="minorEastAsia" w:eastAsiaTheme="minorEastAsia"/>
          <w:sz w:val="32"/>
          <w:szCs w:val="32"/>
        </w:rPr>
        <w:t>%，主要包括办公费、印刷费、咨询费、手续费。</w:t>
      </w:r>
    </w:p>
    <w:p>
      <w:pPr>
        <w:pStyle w:val="12"/>
        <w:rPr>
          <w:rFonts w:hAnsi="黑体"/>
          <w:b/>
          <w:sz w:val="32"/>
          <w:szCs w:val="32"/>
        </w:rPr>
      </w:pPr>
      <w:r>
        <w:rPr>
          <w:rFonts w:hint="eastAsia" w:hAnsi="黑体"/>
          <w:b/>
          <w:sz w:val="32"/>
          <w:szCs w:val="32"/>
        </w:rPr>
        <w:t>七、一般公共预算财政拨款“三公”经费支出决算情况说明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18.80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15.09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80.27</w:t>
      </w:r>
      <w:r>
        <w:rPr>
          <w:rFonts w:hint="eastAsia" w:asciiTheme="minorEastAsia" w:hAnsiTheme="minorEastAsia" w:eastAsiaTheme="minorEastAsia"/>
          <w:sz w:val="32"/>
          <w:szCs w:val="32"/>
        </w:rPr>
        <w:t>%，其中：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14.40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11.28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78.33</w:t>
      </w:r>
      <w:r>
        <w:rPr>
          <w:rFonts w:hint="eastAsia" w:asciiTheme="minorEastAsia" w:hAnsiTheme="minorEastAsia" w:eastAsiaTheme="minorEastAsia"/>
          <w:sz w:val="32"/>
          <w:szCs w:val="32"/>
        </w:rPr>
        <w:t>%，决算数小于预算数的主要原因是是</w:t>
      </w:r>
      <w:r>
        <w:rPr>
          <w:rFonts w:hint="eastAsia" w:asciiTheme="minorEastAsia" w:hAnsiTheme="minorEastAsia" w:eastAsiaTheme="minorEastAsia"/>
          <w:sz w:val="32"/>
          <w:szCs w:val="32"/>
          <w:lang w:val="en-US" w:eastAsia="zh-CN"/>
        </w:rPr>
        <w:t>厉行节俭，严控“三公”开支</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5.11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82.82</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上年招待费结账</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4.40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86.59</w:t>
      </w:r>
      <w:r>
        <w:rPr>
          <w:rFonts w:hint="eastAsia" w:asciiTheme="minorEastAsia" w:hAnsiTheme="minorEastAsia" w:eastAsiaTheme="minorEastAsia"/>
          <w:sz w:val="32"/>
          <w:szCs w:val="32"/>
        </w:rPr>
        <w:t>%，决算数小于预算数的主要原因是是</w:t>
      </w:r>
      <w:r>
        <w:rPr>
          <w:rFonts w:hint="eastAsia" w:asciiTheme="minorEastAsia" w:hAnsiTheme="minorEastAsia" w:eastAsiaTheme="minorEastAsia"/>
          <w:sz w:val="32"/>
          <w:szCs w:val="32"/>
          <w:lang w:val="en-US" w:eastAsia="zh-CN"/>
        </w:rPr>
        <w:t>厉行节俭，严控“三公”开支</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0.56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12.81</w:t>
      </w:r>
      <w:r>
        <w:rPr>
          <w:rFonts w:hint="eastAsia" w:asciiTheme="minorEastAsia" w:hAnsiTheme="minorEastAsia" w:eastAsiaTheme="minorEastAsia"/>
          <w:sz w:val="32"/>
          <w:szCs w:val="32"/>
        </w:rPr>
        <w:t>%,减少的主要原因是是</w:t>
      </w:r>
      <w:r>
        <w:rPr>
          <w:rFonts w:hint="eastAsia" w:asciiTheme="minorEastAsia" w:hAnsiTheme="minorEastAsia" w:eastAsiaTheme="minorEastAsia"/>
          <w:sz w:val="32"/>
          <w:szCs w:val="32"/>
          <w:lang w:val="en-US" w:eastAsia="zh-CN"/>
        </w:rPr>
        <w:t>厉行节俭，严控“三公”开支</w:t>
      </w:r>
      <w:r>
        <w:rPr>
          <w:rFonts w:hint="eastAsia" w:asciiTheme="minorEastAsia" w:hAnsiTheme="minorEastAsia" w:eastAsiaTheme="minorEastAsia"/>
          <w:sz w:val="32"/>
          <w:szCs w:val="32"/>
        </w:rPr>
        <w:t>。</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11.28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74.75</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3.81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25.25</w:t>
      </w:r>
      <w:r>
        <w:rPr>
          <w:rFonts w:hint="eastAsia" w:asciiTheme="minorEastAsia" w:hAnsiTheme="minorEastAsia" w:eastAsiaTheme="minorEastAsia"/>
          <w:sz w:val="32"/>
          <w:szCs w:val="32"/>
        </w:rPr>
        <w:t>%。其中：</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仿宋_GB2312" w:hAnsi="仿宋" w:eastAsia="仿宋_GB2312" w:cs="仿宋"/>
          <w:color w:val="000000"/>
          <w:sz w:val="32"/>
          <w:szCs w:val="32"/>
          <w:lang w:val="en-US" w:eastAsia="zh-CN"/>
        </w:rPr>
        <w:t>11.28</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92</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1002</w:t>
      </w:r>
      <w:r>
        <w:rPr>
          <w:rFonts w:hint="eastAsia" w:asciiTheme="minorEastAsia" w:hAnsiTheme="minorEastAsia" w:eastAsiaTheme="minorEastAsia"/>
          <w:sz w:val="32"/>
          <w:szCs w:val="32"/>
        </w:rPr>
        <w:t>人次，主要是主要是迎接各类检查、调研</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仿宋_GB2312" w:hAnsi="仿宋" w:eastAsia="仿宋_GB2312" w:cs="仿宋"/>
          <w:color w:val="000000"/>
          <w:sz w:val="32"/>
          <w:szCs w:val="32"/>
          <w:lang w:val="en-US" w:eastAsia="zh-CN"/>
        </w:rPr>
        <w:t>3.81</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仿宋_GB2312" w:hAnsi="仿宋" w:eastAsia="仿宋_GB2312" w:cs="仿宋"/>
          <w:color w:val="000000"/>
          <w:sz w:val="32"/>
          <w:szCs w:val="32"/>
          <w:lang w:val="en-US" w:eastAsia="zh-CN"/>
        </w:rPr>
        <w:t>3.81</w:t>
      </w:r>
      <w:r>
        <w:rPr>
          <w:rFonts w:hint="eastAsia" w:asciiTheme="minorEastAsia" w:hAnsiTheme="minorEastAsia"/>
          <w:sz w:val="32"/>
          <w:szCs w:val="32"/>
        </w:rPr>
        <w:t>万元，主要是公车维护、加油、买保险支出，截止2021年12月31日，我单位开支财政拨款的公务用车保有量为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2"/>
        <w:rPr>
          <w:rFonts w:hAnsi="黑体"/>
          <w:b/>
          <w:sz w:val="32"/>
          <w:szCs w:val="32"/>
        </w:rPr>
      </w:pPr>
      <w:r>
        <w:rPr>
          <w:rFonts w:hint="eastAsia" w:hAnsi="黑体"/>
          <w:b/>
          <w:sz w:val="32"/>
          <w:szCs w:val="32"/>
        </w:rPr>
        <w:t>八、政府性基金预算收入支出决算情况</w:t>
      </w:r>
    </w:p>
    <w:p>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w:t>
      </w:r>
    </w:p>
    <w:p>
      <w:pPr>
        <w:pStyle w:val="12"/>
        <w:rPr>
          <w:rFonts w:hAnsi="黑体"/>
          <w:b/>
          <w:sz w:val="32"/>
          <w:szCs w:val="32"/>
        </w:rPr>
      </w:pPr>
      <w:r>
        <w:rPr>
          <w:rFonts w:hint="eastAsia" w:hAnsi="黑体"/>
          <w:b/>
          <w:sz w:val="32"/>
          <w:szCs w:val="32"/>
        </w:rPr>
        <w:t>九、机关运行经费支出说明</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sz w:val="32"/>
          <w:szCs w:val="32"/>
          <w:lang w:val="en-US" w:eastAsia="zh-CN"/>
        </w:rPr>
        <w:t>214.86</w:t>
      </w:r>
      <w:r>
        <w:rPr>
          <w:rFonts w:hint="eastAsia" w:asciiTheme="minorEastAsia" w:hAnsiTheme="minorEastAsia" w:eastAsiaTheme="minorEastAsia"/>
          <w:sz w:val="32"/>
          <w:szCs w:val="32"/>
        </w:rPr>
        <w:t>万元，比年初预算数</w:t>
      </w:r>
      <w:r>
        <w:rPr>
          <w:rFonts w:hint="eastAsia" w:asciiTheme="minorEastAsia" w:hAnsiTheme="minorEastAsia"/>
          <w:sz w:val="32"/>
          <w:szCs w:val="32"/>
          <w:lang w:eastAsia="zh-CN"/>
        </w:rPr>
        <w:t>减少</w:t>
      </w:r>
      <w:r>
        <w:rPr>
          <w:rFonts w:hint="eastAsia" w:asciiTheme="minorEastAsia" w:hAnsiTheme="minorEastAsia"/>
          <w:sz w:val="32"/>
          <w:szCs w:val="32"/>
          <w:lang w:val="en-US" w:eastAsia="zh-CN"/>
        </w:rPr>
        <w:t>74.43</w:t>
      </w:r>
      <w:r>
        <w:rPr>
          <w:rFonts w:hint="eastAsia" w:asciiTheme="minorEastAsia" w:hAnsiTheme="minorEastAsia" w:eastAsiaTheme="minorEastAsia"/>
          <w:sz w:val="32"/>
          <w:szCs w:val="32"/>
        </w:rPr>
        <w:t>万元，</w:t>
      </w:r>
      <w:r>
        <w:rPr>
          <w:rFonts w:hint="eastAsia" w:asciiTheme="minorEastAsia" w:hAnsiTheme="minorEastAsia"/>
          <w:sz w:val="32"/>
          <w:szCs w:val="32"/>
          <w:lang w:eastAsia="zh-CN"/>
        </w:rPr>
        <w:t>减少</w:t>
      </w:r>
      <w:r>
        <w:rPr>
          <w:rFonts w:hint="eastAsia" w:asciiTheme="minorEastAsia" w:hAnsiTheme="minorEastAsia"/>
          <w:sz w:val="32"/>
          <w:szCs w:val="32"/>
          <w:lang w:val="en-US" w:eastAsia="zh-CN"/>
        </w:rPr>
        <w:t>25.7</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%。主要原因是</w:t>
      </w:r>
      <w:r>
        <w:rPr>
          <w:rFonts w:hint="default" w:cs="黑体" w:asciiTheme="minorEastAsia" w:hAnsiTheme="minorEastAsia"/>
          <w:color w:val="000000"/>
          <w:kern w:val="0"/>
          <w:sz w:val="32"/>
          <w:szCs w:val="32"/>
          <w:lang w:eastAsia="zh-CN"/>
        </w:rPr>
        <w:t>根据调整预算执行收入支出</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十、一般性支出情况说明</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2021年本部门开支会议费</w:t>
      </w:r>
      <w:r>
        <w:rPr>
          <w:rFonts w:hint="eastAsia" w:ascii="仿宋_GB2312" w:hAnsi="仿宋" w:eastAsia="仿宋_GB2312"/>
          <w:sz w:val="32"/>
          <w:szCs w:val="32"/>
          <w:lang w:val="en-US" w:eastAsia="zh-CN"/>
        </w:rPr>
        <w:t>0.99</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eastAsia="zh-CN"/>
        </w:rPr>
        <w:t>工作部署</w:t>
      </w:r>
      <w:r>
        <w:rPr>
          <w:rFonts w:hint="eastAsia" w:asciiTheme="minorEastAsia" w:hAnsiTheme="minorEastAsia" w:eastAsiaTheme="minorEastAsia"/>
          <w:sz w:val="32"/>
          <w:szCs w:val="32"/>
        </w:rPr>
        <w:t>会议，</w:t>
      </w:r>
      <w:r>
        <w:rPr>
          <w:rFonts w:hint="eastAsia" w:asciiTheme="minorEastAsia" w:hAnsiTheme="minorEastAsia" w:eastAsiaTheme="minorEastAsia"/>
          <w:sz w:val="32"/>
          <w:szCs w:val="32"/>
          <w:lang w:eastAsia="zh-CN"/>
        </w:rPr>
        <w:t>参会</w:t>
      </w:r>
      <w:r>
        <w:rPr>
          <w:rFonts w:hint="eastAsia" w:asciiTheme="minorEastAsia" w:hAnsiTheme="minorEastAsia" w:eastAsiaTheme="minorEastAsia"/>
          <w:sz w:val="32"/>
          <w:szCs w:val="32"/>
          <w:lang w:val="en-US" w:eastAsia="zh-CN"/>
        </w:rPr>
        <w:t>928</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次</w:t>
      </w:r>
      <w:r>
        <w:rPr>
          <w:rFonts w:hint="eastAsia" w:asciiTheme="minorEastAsia" w:hAnsiTheme="minorEastAsia" w:eastAsiaTheme="minorEastAsia"/>
          <w:sz w:val="32"/>
          <w:szCs w:val="32"/>
        </w:rPr>
        <w:t>，内容为</w:t>
      </w:r>
      <w:r>
        <w:rPr>
          <w:rFonts w:hint="eastAsia" w:asciiTheme="minorEastAsia" w:hAnsiTheme="minorEastAsia" w:eastAsiaTheme="minorEastAsia"/>
          <w:sz w:val="32"/>
          <w:szCs w:val="32"/>
          <w:lang w:eastAsia="zh-CN"/>
        </w:rPr>
        <w:t>人大、乡村振兴、耕地抛荒整治、、粮食生产、疫情防控等</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2"/>
        <w:rPr>
          <w:rFonts w:hAnsi="黑体"/>
          <w:b/>
          <w:sz w:val="32"/>
          <w:szCs w:val="32"/>
        </w:rPr>
      </w:pPr>
      <w:r>
        <w:rPr>
          <w:rFonts w:hint="eastAsia" w:hAnsi="黑体"/>
          <w:b/>
          <w:sz w:val="32"/>
          <w:szCs w:val="32"/>
        </w:rPr>
        <w:t>十一、政府采购支出说明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120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十二、国有资产占用情况说明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辆，机要通信用车XX辆、应急保障用车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2"/>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w:t>
      </w:r>
      <w:r>
        <w:rPr>
          <w:rFonts w:hint="eastAsia" w:cs="黑体" w:asciiTheme="minorEastAsia" w:hAnsiTheme="minorEastAsia"/>
          <w:color w:val="000000"/>
          <w:kern w:val="0"/>
          <w:sz w:val="32"/>
          <w:szCs w:val="32"/>
          <w:lang w:val="en-US" w:eastAsia="zh-CN"/>
        </w:rPr>
        <w:t>。</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目标</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：做好党建工作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cs="黑体" w:asciiTheme="minorEastAsia" w:hAnsiTheme="minorEastAsia"/>
          <w:color w:val="000000"/>
          <w:kern w:val="0"/>
          <w:sz w:val="32"/>
          <w:szCs w:val="32"/>
          <w:lang w:val="en-US" w:eastAsia="zh-CN"/>
        </w:rPr>
        <w:t>完成情况：我乡就党员联系服务群众“五个到户”工作进行了全面的组织部署，组织开展了10余场乡村两级动员培训会，动员培训430余人次，促进全乡党员干部、村“两委干部”、驻村工作队、村民小组长投入到“五个到户”工作的开展中。8月31日前按照就近就便、分类联户、动态管理的原则完成了全乡3891户村民与490名左右乡村党员干部、驻村工作队、农村党员村民小组长等联系人的联户结对工作。9月党员联系服务群众“五个到户”走访工作全面开展，截至12月我乡共召开了144场民情碰头会、8场民情例会，累计解决农户问题90个。经过四个月的集中走访，切实强化了党群关系，促进了党员干部深入群众、扎实工作。</w:t>
      </w:r>
    </w:p>
    <w:p>
      <w:pPr>
        <w:ind w:firstLine="640" w:firstLineChars="20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目标</w:t>
      </w:r>
      <w:r>
        <w:rPr>
          <w:rFonts w:hint="eastAsia" w:cs="黑体" w:asciiTheme="minorEastAsia" w:hAnsiTheme="minorEastAsia"/>
          <w:color w:val="000000"/>
          <w:kern w:val="0"/>
          <w:sz w:val="32"/>
          <w:szCs w:val="32"/>
          <w:lang w:val="en-US" w:eastAsia="zh-CN"/>
        </w:rPr>
        <w:t>2：扎实开展乡村振兴工作</w:t>
      </w:r>
    </w:p>
    <w:p>
      <w:pPr>
        <w:numPr>
          <w:ilvl w:val="0"/>
          <w:numId w:val="0"/>
        </w:numPr>
        <w:jc w:val="left"/>
        <w:rPr>
          <w:rFonts w:hint="eastAsia" w:ascii="宋体" w:hAnsi="宋体" w:eastAsia="宋体" w:cs="宋体"/>
          <w:sz w:val="32"/>
          <w:szCs w:val="32"/>
          <w:lang w:val="en-US" w:eastAsia="zh-CN"/>
        </w:rPr>
      </w:pPr>
      <w:r>
        <w:rPr>
          <w:rFonts w:hint="eastAsia" w:cs="黑体" w:asciiTheme="minorEastAsia" w:hAnsiTheme="minorEastAsia"/>
          <w:color w:val="000000"/>
          <w:kern w:val="0"/>
          <w:sz w:val="32"/>
          <w:szCs w:val="32"/>
        </w:rPr>
        <w:t>完成情况：</w:t>
      </w:r>
      <w:r>
        <w:rPr>
          <w:rFonts w:hint="eastAsia" w:ascii="宋体" w:hAnsi="宋体" w:eastAsia="宋体" w:cs="宋体"/>
          <w:sz w:val="32"/>
          <w:szCs w:val="32"/>
          <w:lang w:val="en-US" w:eastAsia="zh-CN"/>
        </w:rPr>
        <w:t>对监测对象按程序和标准“应纳尽纳”，2021年度岩垅乡共计纳入监测和11户17人。</w:t>
      </w:r>
      <w:r>
        <w:rPr>
          <w:rFonts w:hint="eastAsia" w:ascii="宋体" w:hAnsi="宋体" w:eastAsia="宋体" w:cs="宋体"/>
          <w:b/>
          <w:bCs/>
          <w:sz w:val="32"/>
          <w:szCs w:val="32"/>
          <w:lang w:val="en-US" w:eastAsia="zh-CN"/>
        </w:rPr>
        <w:t>三是</w:t>
      </w:r>
      <w:r>
        <w:rPr>
          <w:rFonts w:hint="eastAsia" w:ascii="宋体" w:hAnsi="宋体" w:eastAsia="宋体" w:cs="宋体"/>
          <w:sz w:val="32"/>
          <w:szCs w:val="32"/>
          <w:lang w:val="en-US" w:eastAsia="zh-CN"/>
        </w:rPr>
        <w:t>对每一户监测户都安排有专人进行结对帮扶，2021年度新纳入监测户全部由联村领导进行结对帮扶并全面落实帮扶责任；</w:t>
      </w:r>
      <w:r>
        <w:rPr>
          <w:rFonts w:hint="eastAsia" w:ascii="宋体" w:hAnsi="宋体" w:eastAsia="宋体" w:cs="宋体"/>
          <w:b w:val="0"/>
          <w:bCs w:val="0"/>
          <w:sz w:val="32"/>
          <w:szCs w:val="32"/>
          <w:lang w:val="en-US" w:eastAsia="zh-CN"/>
        </w:rPr>
        <w:t>全年</w:t>
      </w:r>
      <w:r>
        <w:rPr>
          <w:rFonts w:hint="eastAsia"/>
          <w:sz w:val="32"/>
          <w:szCs w:val="32"/>
          <w:lang w:val="en-US" w:eastAsia="zh-CN"/>
        </w:rPr>
        <w:t>省防贫监测和帮扶平台岩垅乡共计消除风险预警282条，其中大病风险60条，收入风险40条，就业风险166条，教育风险16条；</w:t>
      </w:r>
      <w:r>
        <w:rPr>
          <w:rFonts w:hint="eastAsia" w:ascii="宋体" w:hAnsi="宋体" w:eastAsia="宋体" w:cs="宋体"/>
          <w:color w:val="auto"/>
          <w:sz w:val="32"/>
          <w:szCs w:val="32"/>
          <w:lang w:val="en-US" w:eastAsia="zh-CN"/>
        </w:rPr>
        <w:t xml:space="preserve"> 岩垅乡2021年度拆除三无船舶20艘，禁捕退捕行动中共计收缴地笼渔网60余套，发放禁捕手册500余份，张贴标语200余份，张挂横幅50幅。</w:t>
      </w:r>
    </w:p>
    <w:p>
      <w:pPr>
        <w:ind w:firstLine="640" w:firstLineChars="20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 xml:space="preserve">  目标</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抓好安全生产工作</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left"/>
        <w:textAlignment w:val="auto"/>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完成情况：</w:t>
      </w:r>
      <w:r>
        <w:rPr>
          <w:rFonts w:hint="eastAsia" w:cs="黑体" w:asciiTheme="minorEastAsia" w:hAnsiTheme="minorEastAsia"/>
          <w:color w:val="000000"/>
          <w:kern w:val="0"/>
          <w:sz w:val="32"/>
          <w:szCs w:val="32"/>
          <w:lang w:eastAsia="zh-CN"/>
        </w:rPr>
        <w:t>坚持马路市场</w:t>
      </w:r>
      <w:r>
        <w:rPr>
          <w:rFonts w:hint="eastAsia" w:cs="黑体" w:asciiTheme="minorEastAsia" w:hAnsiTheme="minorEastAsia"/>
          <w:color w:val="000000"/>
          <w:kern w:val="0"/>
          <w:sz w:val="32"/>
          <w:szCs w:val="32"/>
          <w:lang w:val="en-US" w:eastAsia="zh-CN"/>
        </w:rPr>
        <w:t>常态化管理。每逢赶集日期间，由分管领导带领乡综合执法大队、村辅警、派出所执法人员等分别在集镇和集镇4个路口进行巡逻执勤。劝导占道经营的流动商贩，处罚违停车辆，截止目前劝导占道经营32起，处罚违停车辆6台,罚没金额600元，收缴并销毁摩托车伞棚200余副。同时新增顽瘴痼疾固定标语9处，切实巩固马路市场整治成效，坚决遏制马路市场反弹;</w:t>
      </w:r>
      <w:r>
        <w:rPr>
          <w:rFonts w:hint="eastAsia" w:cs="黑体" w:asciiTheme="minorEastAsia" w:hAnsiTheme="minorEastAsia"/>
          <w:color w:val="000000"/>
          <w:kern w:val="0"/>
          <w:sz w:val="32"/>
          <w:szCs w:val="32"/>
          <w:lang w:eastAsia="zh-CN"/>
        </w:rPr>
        <w:t>扎实开展安全生产专项整治三年行动和安全生产领域“打非治违”三年行动，以日常和专项检查相结合，严格履行党政同责、一岗双责，落实领导干部带队检查，定期开展重点时段、节假日前后各类专项检查。截止目前，全乡先后组织</w:t>
      </w:r>
      <w:r>
        <w:rPr>
          <w:rFonts w:hint="eastAsia" w:cs="黑体" w:asciiTheme="minorEastAsia" w:hAnsiTheme="minorEastAsia"/>
          <w:color w:val="000000"/>
          <w:kern w:val="0"/>
          <w:sz w:val="32"/>
          <w:szCs w:val="32"/>
          <w:lang w:val="en-US" w:eastAsia="zh-CN"/>
        </w:rPr>
        <w:t>27</w:t>
      </w:r>
      <w:r>
        <w:rPr>
          <w:rFonts w:hint="eastAsia" w:cs="黑体" w:asciiTheme="minorEastAsia" w:hAnsiTheme="minorEastAsia"/>
          <w:color w:val="000000"/>
          <w:kern w:val="0"/>
          <w:sz w:val="32"/>
          <w:szCs w:val="32"/>
          <w:lang w:eastAsia="zh-CN"/>
        </w:rPr>
        <w:t>个检查组，出动检查派出检查人员</w:t>
      </w:r>
      <w:r>
        <w:rPr>
          <w:rFonts w:hint="eastAsia" w:cs="黑体" w:asciiTheme="minorEastAsia" w:hAnsiTheme="minorEastAsia"/>
          <w:color w:val="000000"/>
          <w:kern w:val="0"/>
          <w:sz w:val="32"/>
          <w:szCs w:val="32"/>
          <w:lang w:val="en-US" w:eastAsia="zh-CN"/>
        </w:rPr>
        <w:t>99</w:t>
      </w:r>
      <w:r>
        <w:rPr>
          <w:rFonts w:hint="eastAsia" w:cs="黑体" w:asciiTheme="minorEastAsia" w:hAnsiTheme="minorEastAsia"/>
          <w:color w:val="000000"/>
          <w:kern w:val="0"/>
          <w:sz w:val="32"/>
          <w:szCs w:val="32"/>
          <w:lang w:eastAsia="zh-CN"/>
        </w:rPr>
        <w:t>人次，对辖区</w:t>
      </w:r>
      <w:r>
        <w:rPr>
          <w:rFonts w:hint="eastAsia" w:cs="黑体" w:asciiTheme="minorEastAsia" w:hAnsiTheme="minorEastAsia"/>
          <w:color w:val="000000"/>
          <w:kern w:val="0"/>
          <w:sz w:val="32"/>
          <w:szCs w:val="32"/>
          <w:lang w:val="en-US" w:eastAsia="zh-CN"/>
        </w:rPr>
        <w:t>4</w:t>
      </w:r>
      <w:r>
        <w:rPr>
          <w:rFonts w:hint="eastAsia" w:cs="黑体" w:asciiTheme="minorEastAsia" w:hAnsiTheme="minorEastAsia"/>
          <w:color w:val="000000"/>
          <w:kern w:val="0"/>
          <w:sz w:val="32"/>
          <w:szCs w:val="32"/>
          <w:lang w:eastAsia="zh-CN"/>
        </w:rPr>
        <w:t>个烟花爆竹和</w:t>
      </w:r>
      <w:r>
        <w:rPr>
          <w:rFonts w:hint="eastAsia" w:cs="黑体" w:asciiTheme="minorEastAsia" w:hAnsiTheme="minorEastAsia"/>
          <w:color w:val="000000"/>
          <w:kern w:val="0"/>
          <w:sz w:val="32"/>
          <w:szCs w:val="32"/>
          <w:lang w:val="en-US" w:eastAsia="zh-CN"/>
        </w:rPr>
        <w:t>3家超市</w:t>
      </w:r>
      <w:r>
        <w:rPr>
          <w:rFonts w:hint="eastAsia" w:cs="黑体" w:asciiTheme="minorEastAsia" w:hAnsiTheme="minorEastAsia"/>
          <w:color w:val="000000"/>
          <w:kern w:val="0"/>
          <w:sz w:val="32"/>
          <w:szCs w:val="32"/>
          <w:lang w:eastAsia="zh-CN"/>
        </w:rPr>
        <w:t>进行了</w:t>
      </w:r>
      <w:r>
        <w:rPr>
          <w:rFonts w:hint="eastAsia" w:cs="黑体" w:asciiTheme="minorEastAsia" w:hAnsiTheme="minorEastAsia"/>
          <w:color w:val="000000"/>
          <w:kern w:val="0"/>
          <w:sz w:val="32"/>
          <w:szCs w:val="32"/>
          <w:lang w:val="en-US" w:eastAsia="zh-CN"/>
        </w:rPr>
        <w:t>91</w:t>
      </w:r>
      <w:r>
        <w:rPr>
          <w:rFonts w:hint="eastAsia" w:cs="黑体" w:asciiTheme="minorEastAsia" w:hAnsiTheme="minorEastAsia"/>
          <w:color w:val="000000"/>
          <w:kern w:val="0"/>
          <w:sz w:val="32"/>
          <w:szCs w:val="32"/>
          <w:lang w:eastAsia="zh-CN"/>
        </w:rPr>
        <w:t>次的反复检查，下达简易处罚</w:t>
      </w:r>
      <w:r>
        <w:rPr>
          <w:rFonts w:hint="eastAsia" w:cs="黑体" w:asciiTheme="minorEastAsia" w:hAnsiTheme="minorEastAsia"/>
          <w:color w:val="000000"/>
          <w:kern w:val="0"/>
          <w:sz w:val="32"/>
          <w:szCs w:val="32"/>
          <w:lang w:val="en-US" w:eastAsia="zh-CN"/>
        </w:rPr>
        <w:t>8</w:t>
      </w:r>
      <w:r>
        <w:rPr>
          <w:rFonts w:hint="eastAsia" w:cs="黑体" w:asciiTheme="minorEastAsia" w:hAnsiTheme="minorEastAsia"/>
          <w:color w:val="000000"/>
          <w:kern w:val="0"/>
          <w:sz w:val="32"/>
          <w:szCs w:val="32"/>
          <w:lang w:eastAsia="zh-CN"/>
        </w:rPr>
        <w:t>起，罚款</w:t>
      </w:r>
      <w:r>
        <w:rPr>
          <w:rFonts w:hint="eastAsia" w:cs="黑体" w:asciiTheme="minorEastAsia" w:hAnsiTheme="minorEastAsia"/>
          <w:color w:val="000000"/>
          <w:kern w:val="0"/>
          <w:sz w:val="32"/>
          <w:szCs w:val="32"/>
          <w:lang w:val="en-US" w:eastAsia="zh-CN"/>
        </w:rPr>
        <w:t>1600</w:t>
      </w:r>
      <w:r>
        <w:rPr>
          <w:rFonts w:hint="eastAsia" w:cs="黑体" w:asciiTheme="minorEastAsia" w:hAnsiTheme="minorEastAsia"/>
          <w:color w:val="000000"/>
          <w:kern w:val="0"/>
          <w:sz w:val="32"/>
          <w:szCs w:val="32"/>
          <w:lang w:eastAsia="zh-CN"/>
        </w:rPr>
        <w:t>元，下达责令限期整改指令书</w:t>
      </w:r>
      <w:r>
        <w:rPr>
          <w:rFonts w:hint="eastAsia" w:cs="黑体" w:asciiTheme="minorEastAsia" w:hAnsiTheme="minorEastAsia"/>
          <w:color w:val="000000"/>
          <w:kern w:val="0"/>
          <w:sz w:val="32"/>
          <w:szCs w:val="32"/>
          <w:lang w:val="en-US" w:eastAsia="zh-CN"/>
        </w:rPr>
        <w:t>14</w:t>
      </w:r>
      <w:r>
        <w:rPr>
          <w:rFonts w:hint="eastAsia" w:cs="黑体" w:asciiTheme="minorEastAsia" w:hAnsiTheme="minorEastAsia"/>
          <w:color w:val="000000"/>
          <w:kern w:val="0"/>
          <w:sz w:val="32"/>
          <w:szCs w:val="32"/>
          <w:lang w:eastAsia="zh-CN"/>
        </w:rPr>
        <w:t>份，均已整改到位</w:t>
      </w:r>
      <w:r>
        <w:rPr>
          <w:rFonts w:hint="eastAsia" w:cs="黑体" w:asciiTheme="minorEastAsia" w:hAnsiTheme="minorEastAsia"/>
          <w:color w:val="000000"/>
          <w:kern w:val="0"/>
          <w:sz w:val="32"/>
          <w:szCs w:val="32"/>
          <w:lang w:val="en-US" w:eastAsia="zh-CN"/>
        </w:rPr>
        <w:t>。</w:t>
      </w:r>
    </w:p>
    <w:p>
      <w:pPr>
        <w:ind w:firstLine="960" w:firstLineChars="300"/>
        <w:rPr>
          <w:rFonts w:hint="default" w:cs="黑体" w:asciiTheme="minorEastAsia" w:hAnsiTheme="minorEastAsia"/>
          <w:color w:val="000000"/>
          <w:kern w:val="0"/>
          <w:sz w:val="32"/>
          <w:szCs w:val="32"/>
          <w:lang w:val="en-US" w:eastAsia="zh-CN"/>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一、财政拨款收入：指单位本年度从市级财政部门取得的财政拨款。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二、上级补助收入：指事业单位从主管部门和上级单位取得的非财政补助收入。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三、事业收入：指事业单位开展专业业务活动及其辅助活动取得的收入，事业单位收到的财政专户实际核拨的教育收费等资金在此反映。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四、经营收入：指事业单位在专业业务活动及其辅助活动之外开展非独立核算经营活动取得的收入。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五、附属单位缴款：指事业单位附属独立核算单位按照有关规定上缴的收入。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六、其他收入：指单位取得的除上述“财政拨款收入”、“事业收入”、“经营收入”等以外的各项收入。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七、用事业基金弥补收支差额：指事业单位用事业基金弥补当年收支差额的数额。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八、年初结转和结余：指单位上年结转本年使用的基本支出结转、项目支出结转和结余和经营结余。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九、一般公共服务（类）人大事务（款）行政运行（项）：指人大常委会办公厅用于保障机构正常运行、开展日常工作的基本支出。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十、结余分配：指事业单位按规定对非财政补助结余资金提取的职工福利基金、事业基金和缴纳的所得税，以及减少单位按规定应缴回的基本建设竣工项目结余资金。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十一、年末结转和结余资金：指本年度或以前年度预算安排、因客观条件发生变化无法按原计划实施，需要延迟到以后年度按有关规定继续使用的资金。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十二、基本支出：指为保障机构正常运转、完成日常工作任务而发生的人员支出和公用支出。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十三、项目支出：指在基本支出之外为完成特定的行政任务或事业发展目标所发生的支出。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十四、上缴上级支出：指事业单位按照财政部门和主管部门的规定上缴上级单位的支出。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十五、经营支出：指事业单位在专业业务活动及其辅助活动之外开展非独立核算经营活动发生的支出。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十六、对附属单位补助支出：指事业单位用财政补助收入之外的收入对附属单位补助发生的支出。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十七、“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420"/>
        <w:jc w:val="both"/>
        <w:textAlignment w:val="auto"/>
        <w:rPr>
          <w:rFonts w:hint="eastAsia" w:ascii="宋体" w:hAnsi="宋体" w:eastAsia="宋体" w:cs="仿宋"/>
          <w:kern w:val="2"/>
          <w:sz w:val="32"/>
          <w:szCs w:val="32"/>
          <w:lang w:val="en-US" w:eastAsia="zh-CN" w:bidi="ar-SA"/>
        </w:rPr>
      </w:pPr>
      <w:r>
        <w:rPr>
          <w:rFonts w:hint="eastAsia" w:ascii="宋体" w:hAnsi="宋体" w:eastAsia="宋体" w:cs="仿宋"/>
          <w:kern w:val="2"/>
          <w:sz w:val="32"/>
          <w:szCs w:val="32"/>
          <w:lang w:val="en-US" w:eastAsia="zh-CN" w:bidi="ar-SA"/>
        </w:rPr>
        <w:t>十八、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bookmarkStart w:id="3" w:name="_GoBack"/>
      <w:bookmarkEnd w:id="3"/>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MTUyNzdmNGU4MTYxYTRiMDg3MTljYTg4Yjk3M2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3577F4F"/>
    <w:rsid w:val="06B775E9"/>
    <w:rsid w:val="3AF34BAE"/>
    <w:rsid w:val="3B637CC9"/>
    <w:rsid w:val="4F8A5930"/>
    <w:rsid w:val="518A570C"/>
    <w:rsid w:val="75747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snapToGrid/>
      <w:spacing w:before="0" w:beforeAutospacing="0" w:after="0" w:afterAutospacing="0" w:line="360" w:lineRule="auto"/>
      <w:ind w:left="0" w:right="0" w:firstLine="200" w:firstLineChars="200"/>
      <w:jc w:val="both"/>
      <w:textAlignment w:val="auto"/>
      <w:outlineLvl w:val="9"/>
    </w:pPr>
    <w:rPr>
      <w:rFonts w:ascii="Times New Roman" w:hAnsi="Times New Roman" w:eastAsia="宋体" w:cs="Times New Roman"/>
      <w:snapToGrid/>
      <w:color w:val="auto"/>
      <w:spacing w:val="0"/>
      <w:w w:val="100"/>
      <w:kern w:val="2"/>
      <w:position w:val="0"/>
      <w:sz w:val="30"/>
      <w:szCs w:val="30"/>
      <w:u w:val="none" w:color="auto"/>
      <w:vertAlign w:val="baseline"/>
      <w:lang w:val="en-US" w:eastAsia="zh-CN" w:bidi="ar-SA"/>
    </w:rPr>
  </w:style>
  <w:style w:type="paragraph" w:customStyle="1" w:styleId="3">
    <w:name w:val="p0"/>
    <w:next w:val="4"/>
    <w:qFormat/>
    <w:uiPriority w:val="0"/>
    <w:pPr>
      <w:spacing w:line="365" w:lineRule="atLeast"/>
      <w:ind w:left="1"/>
    </w:pPr>
    <w:rPr>
      <w:rFonts w:ascii="Times New Roman" w:hAnsi="Times New Roman" w:eastAsia="宋体" w:cs="Times New Roman"/>
      <w:sz w:val="24"/>
      <w:lang w:val="en-US" w:eastAsia="zh-CN" w:bidi="ar-SA"/>
    </w:rPr>
  </w:style>
  <w:style w:type="paragraph" w:styleId="4">
    <w:name w:val="header"/>
    <w:basedOn w:val="1"/>
    <w:next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customStyle="1" w:styleId="10">
    <w:name w:val="页眉 Char"/>
    <w:basedOn w:val="9"/>
    <w:link w:val="4"/>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9431</Words>
  <Characters>12354</Characters>
  <Lines>69</Lines>
  <Paragraphs>19</Paragraphs>
  <TotalTime>0</TotalTime>
  <ScaleCrop>false</ScaleCrop>
  <LinksUpToDate>false</LinksUpToDate>
  <CharactersWithSpaces>12645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2022-08-23T03:42:00Z</cp:lastPrinted>
  <dcterms:modified xsi:type="dcterms:W3CDTF">2022-08-29T03:11:48Z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7B4866009CCA41AB8B5CA94A9D146258</vt:lpwstr>
  </property>
</Properties>
</file>